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1E8600C0" w14:textId="77777777" w:rsidR="00424DB6" w:rsidRDefault="00424DB6" w:rsidP="004712C9">
      <w:pPr>
        <w:suppressLineNumbers/>
        <w:jc w:val="center"/>
        <w:rPr>
          <w:rFonts w:ascii="Garamond" w:hAnsi="Garamond"/>
          <w:sz w:val="20"/>
          <w:szCs w:val="20"/>
        </w:rPr>
      </w:pPr>
    </w:p>
    <w:p w14:paraId="0C7925DE" w14:textId="7EEB28B7"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75F3761F" w14:textId="092F2BAB" w:rsidR="003717DB" w:rsidRPr="0066241A" w:rsidRDefault="00E61436" w:rsidP="004712C9">
      <w:pPr>
        <w:suppressLineNumbers/>
        <w:rPr>
          <w:rFonts w:ascii="Garamond" w:hAnsi="Garamond"/>
          <w:b/>
          <w:bCs/>
          <w:sz w:val="22"/>
          <w:szCs w:val="22"/>
          <w:u w:val="single"/>
        </w:rPr>
      </w:pPr>
      <w:r>
        <w:rPr>
          <w:rFonts w:ascii="Garamond" w:hAnsi="Garamond"/>
          <w:b/>
          <w:bCs/>
          <w:sz w:val="22"/>
          <w:szCs w:val="22"/>
          <w:u w:val="single"/>
        </w:rPr>
        <w:t>Abstract:</w:t>
      </w:r>
    </w:p>
    <w:p w14:paraId="7006494F" w14:textId="71AAECF9" w:rsidR="003717DB" w:rsidRDefault="0026256C" w:rsidP="00424DB6">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r w:rsidR="00424DB6" w:rsidRPr="001018D7">
        <w:rPr>
          <w:rFonts w:ascii="Garamond" w:hAnsi="Garamond"/>
          <w:sz w:val="22"/>
          <w:szCs w:val="22"/>
        </w:rPr>
        <w:t>observe</w:t>
      </w:r>
      <w:r w:rsidRPr="001018D7">
        <w:rPr>
          <w:rFonts w:ascii="Garamond" w:hAnsi="Garamond"/>
          <w:sz w:val="22"/>
          <w:szCs w:val="22"/>
        </w:rPr>
        <w:t xml:space="preserve"> </w:t>
      </w:r>
      <w:r w:rsidR="00C92AB0">
        <w:rPr>
          <w:rFonts w:ascii="Garamond" w:hAnsi="Garamond"/>
          <w:sz w:val="22"/>
          <w:szCs w:val="22"/>
        </w:rPr>
        <w:t xml:space="preserve">some level of </w:t>
      </w:r>
      <w:r w:rsidRPr="001018D7">
        <w:rPr>
          <w:rFonts w:ascii="Garamond" w:hAnsi="Garamond"/>
          <w:sz w:val="22"/>
          <w:szCs w:val="22"/>
        </w:rPr>
        <w:t>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1018D7">
        <w:rPr>
          <w:rFonts w:ascii="Garamond" w:hAnsi="Garamond"/>
          <w:sz w:val="22"/>
          <w:szCs w:val="22"/>
        </w:rPr>
        <w:t xml:space="preserve"> </w:t>
      </w:r>
    </w:p>
    <w:p w14:paraId="493050FD" w14:textId="77777777" w:rsidR="00C013DD" w:rsidRDefault="00C013DD" w:rsidP="00424DB6">
      <w:pPr>
        <w:suppressLineNumbers/>
        <w:spacing w:line="480" w:lineRule="auto"/>
        <w:ind w:firstLine="720"/>
        <w:rPr>
          <w:rFonts w:ascii="Garamond" w:hAnsi="Garamond"/>
          <w:sz w:val="22"/>
          <w:szCs w:val="22"/>
        </w:rPr>
      </w:pPr>
    </w:p>
    <w:p w14:paraId="31631E8F" w14:textId="77777777" w:rsidR="00C013DD" w:rsidRDefault="00C013DD" w:rsidP="00424DB6">
      <w:pPr>
        <w:suppressLineNumbers/>
        <w:spacing w:line="480" w:lineRule="auto"/>
        <w:ind w:firstLine="720"/>
        <w:rPr>
          <w:rFonts w:ascii="Garamond" w:hAnsi="Garamond"/>
          <w:sz w:val="22"/>
          <w:szCs w:val="22"/>
        </w:rPr>
      </w:pPr>
    </w:p>
    <w:p w14:paraId="0807D546" w14:textId="77777777" w:rsidR="00424DB6" w:rsidRPr="00424DB6" w:rsidRDefault="00424DB6" w:rsidP="00424DB6">
      <w:pPr>
        <w:suppressLineNumbers/>
        <w:spacing w:line="480" w:lineRule="auto"/>
        <w:ind w:firstLine="720"/>
        <w:rPr>
          <w:rFonts w:ascii="Garamond" w:hAnsi="Garamond"/>
          <w:sz w:val="22"/>
          <w:szCs w:val="22"/>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lastRenderedPageBreak/>
        <w:t xml:space="preserve">Introduction: </w:t>
      </w:r>
      <w:r w:rsidRPr="006D1917">
        <w:rPr>
          <w:rFonts w:ascii="Garamond" w:hAnsi="Garamond"/>
          <w:sz w:val="22"/>
          <w:szCs w:val="22"/>
        </w:rPr>
        <w:t xml:space="preserve"> </w:t>
      </w:r>
    </w:p>
    <w:p w14:paraId="6DA4DC8E" w14:textId="571C7DE5" w:rsidR="00D86CD4" w:rsidRPr="007F098D" w:rsidRDefault="00AD4BE1" w:rsidP="00946A92">
      <w:pPr>
        <w:spacing w:line="480" w:lineRule="auto"/>
        <w:ind w:firstLine="720"/>
        <w:rPr>
          <w:rFonts w:ascii="Garamond" w:hAnsi="Garamond"/>
        </w:rPr>
      </w:pPr>
      <w:r w:rsidRPr="007F098D">
        <w:rPr>
          <w:rFonts w:ascii="Garamond" w:hAnsi="Garamond"/>
        </w:rPr>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9F6624" w:rsidRPr="007F098D">
        <w:rPr>
          <w:rFonts w:ascii="Garamond" w:hAnsi="Garamond"/>
        </w:rPr>
        <w:t xml:space="preserve">population </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r w:rsidR="00B01FE3" w:rsidRPr="007F098D">
        <w:rPr>
          <w:rFonts w:ascii="Garamond" w:hAnsi="Garamond"/>
        </w:rPr>
        <w:fldChar w:fldCharType="begin"/>
      </w:r>
      <w:r w:rsidR="007E1736">
        <w:rPr>
          <w:rFonts w:ascii="Garamond" w:hAnsi="Garamond"/>
        </w:rPr>
        <w:instrText xml:space="preserve"> ADDIN ZOTERO_ITEM CSL_CITATION {"citationID":"VDgUGdsR","properties":{"formattedCitation":"(Nesbitt &amp; Moore, 2016; Schindler et al., 2015)","plainCitation":"(Nesbitt &amp; Moore, 2016; Schindler et al., 2015)","dontUpdate":true,"noteIndex":0},"citationItems":[{"id":3361,"uris":["http://zotero.org/users/8421274/items/U6M4JZTI"],"itemData":{"id":3361,"type":"article-journal","abstract":"Indigenous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(Schindler et al., 2015)</w:t>
      </w:r>
      <w:r w:rsidR="00B01FE3" w:rsidRPr="007F098D">
        <w:rPr>
          <w:rFonts w:ascii="Garamond" w:hAnsi="Garamond"/>
        </w:rPr>
        <w:fldChar w:fldCharType="end"/>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4B4B6F53" w:rsidR="00ED2A48" w:rsidRPr="007F098D" w:rsidRDefault="009F6624" w:rsidP="007E1736">
      <w:pPr>
        <w:spacing w:line="480" w:lineRule="auto"/>
        <w:ind w:firstLine="720"/>
        <w:rPr>
          <w:rFonts w:ascii="Garamond" w:hAnsi="Garamond"/>
        </w:rPr>
      </w:pPr>
      <w:r w:rsidRPr="007F098D">
        <w:rPr>
          <w:rFonts w:ascii="Garamond" w:hAnsi="Garamond"/>
        </w:rPr>
        <w:t>Pacific salmon returning to North American watersheds</w:t>
      </w:r>
      <w:r w:rsidR="0047513B" w:rsidRPr="007F098D">
        <w:rPr>
          <w:rFonts w:ascii="Garamond" w:hAnsi="Garamond"/>
        </w:rPr>
        <w:t xml:space="preserve"> exhibit significant diversity in run timing and spatial distribution across large</w:t>
      </w:r>
      <w:r w:rsidRPr="007F098D">
        <w:rPr>
          <w:rFonts w:ascii="Garamond" w:hAnsi="Garamond"/>
        </w:rPr>
        <w:t xml:space="preserve"> and</w:t>
      </w:r>
      <w:r w:rsidR="0047513B" w:rsidRPr="007F098D">
        <w:rPr>
          <w:rFonts w:ascii="Garamond" w:hAnsi="Garamond"/>
        </w:rPr>
        <w:t xml:space="preserve"> complex</w:t>
      </w:r>
      <w:r w:rsidRPr="007F098D">
        <w:rPr>
          <w:rFonts w:ascii="Garamond" w:hAnsi="Garamond"/>
        </w:rPr>
        <w:t xml:space="preserve"> </w:t>
      </w:r>
      <w:r w:rsidR="0047513B" w:rsidRPr="007F098D">
        <w:rPr>
          <w:rFonts w:ascii="Garamond" w:hAnsi="Garamond"/>
        </w:rPr>
        <w:t>river systems</w:t>
      </w:r>
      <w:r w:rsidR="007E1736">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7E1736">
        <w:rPr>
          <w:rFonts w:ascii="Garamond" w:hAnsi="Garamond"/>
        </w:rPr>
        <w:fldChar w:fldCharType="separate"/>
      </w:r>
      <w:r w:rsidR="007E1736">
        <w:rPr>
          <w:rFonts w:ascii="Garamond" w:hAnsi="Garamond"/>
          <w:noProof/>
        </w:rPr>
        <w:t>(Griffiths et al., 2014; Nesbitt &amp; Moore, 2016; Schindler et al., 2010)</w:t>
      </w:r>
      <w:r w:rsidR="007E1736">
        <w:rPr>
          <w:rFonts w:ascii="Garamond" w:hAnsi="Garamond"/>
        </w:rPr>
        <w:fldChar w:fldCharType="end"/>
      </w:r>
      <w:r w:rsidR="007E1736">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spatial stocks </w:t>
      </w:r>
      <w:r w:rsidR="005078D8" w:rsidRPr="007F098D">
        <w:rPr>
          <w:rFonts w:ascii="Garamond" w:hAnsi="Garamond"/>
        </w:rPr>
        <w:t xml:space="preserve">which vary in their relative </w:t>
      </w:r>
      <w:r w:rsidR="00D86CD4" w:rsidRPr="007F098D">
        <w:rPr>
          <w:rFonts w:ascii="Garamond" w:hAnsi="Garamond"/>
        </w:rPr>
        <w:t>strength,</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5078D8" w:rsidRPr="007F098D">
        <w:rPr>
          <w:rFonts w:ascii="Garamond" w:hAnsi="Garamond"/>
        </w:rPr>
        <w:t xml:space="preserve">As a result, downstream fisheries </w:t>
      </w:r>
      <w:r w:rsidR="0047513B" w:rsidRPr="007F098D">
        <w:rPr>
          <w:rFonts w:ascii="Garamond" w:hAnsi="Garamond"/>
        </w:rPr>
        <w:t>that</w:t>
      </w:r>
      <w:r w:rsidR="005078D8" w:rsidRPr="007F098D">
        <w:rPr>
          <w:rFonts w:ascii="Garamond" w:hAnsi="Garamond"/>
        </w:rPr>
        <w:t xml:space="preserve"> harvest migrating fish risk overexploitation of vulnerable stocks which co-migrate with more robust </w:t>
      </w:r>
      <w:r w:rsidR="00E95A9F" w:rsidRPr="007F098D">
        <w:rPr>
          <w:rFonts w:ascii="Garamond" w:hAnsi="Garamond"/>
        </w:rPr>
        <w:t>ones</w:t>
      </w:r>
      <w:r w:rsidR="005078D8" w:rsidRPr="007F098D">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ED2A48" w:rsidRPr="007F098D">
        <w:rPr>
          <w:rFonts w:ascii="Garamond" w:hAnsi="Garamond"/>
        </w:rPr>
        <w:t>The timing, strength, and duration of</w:t>
      </w:r>
      <w:r w:rsidR="00946A92" w:rsidRPr="007F098D">
        <w:rPr>
          <w:rFonts w:ascii="Garamond" w:hAnsi="Garamond"/>
        </w:rPr>
        <w:t xml:space="preserve"> these fisheries </w:t>
      </w:r>
      <w:r w:rsidR="00ED2A48" w:rsidRPr="007F098D">
        <w:rPr>
          <w:rFonts w:ascii="Garamond" w:hAnsi="Garamond"/>
        </w:rPr>
        <w:t xml:space="preserve">are the </w:t>
      </w:r>
      <w:r w:rsidR="00946A92" w:rsidRPr="007F098D">
        <w:rPr>
          <w:rFonts w:ascii="Garamond" w:hAnsi="Garamond"/>
        </w:rPr>
        <w:t>result of the aggregate dynamics of upstream stock components</w:t>
      </w:r>
      <w:r w:rsidR="007E1736">
        <w:rPr>
          <w:rFonts w:ascii="Garamond" w:hAnsi="Garamond"/>
        </w:rPr>
        <w:fldChar w:fldCharType="begin"/>
      </w:r>
      <w:r w:rsidR="007E1736">
        <w:rPr>
          <w:rFonts w:ascii="Garamond" w:hAnsi="Garamond"/>
        </w:rPr>
        <w:instrText xml:space="preserve"> ADDIN ZOTERO_ITEM CSL_CITATION {"citationID":"cRw1bfjv","properties":{"formattedCitation":"(Nesbitt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7E1736">
        <w:rPr>
          <w:rFonts w:ascii="Garamond" w:hAnsi="Garamond"/>
        </w:rPr>
        <w:fldChar w:fldCharType="separate"/>
      </w:r>
      <w:r w:rsidR="007E1736">
        <w:rPr>
          <w:rFonts w:ascii="Garamond" w:hAnsi="Garamond"/>
          <w:noProof/>
        </w:rPr>
        <w:t>(Nesbitt &amp; Moore, 2016)</w:t>
      </w:r>
      <w:r w:rsidR="007E1736">
        <w:rPr>
          <w:rFonts w:ascii="Garamond" w:hAnsi="Garamond"/>
        </w:rPr>
        <w:fldChar w:fldCharType="end"/>
      </w:r>
      <w:r w:rsidR="007E1736">
        <w:rPr>
          <w:rFonts w:ascii="Garamond" w:hAnsi="Garamond"/>
        </w:rPr>
        <w:t xml:space="preserve">. </w:t>
      </w:r>
      <w:r w:rsidR="00D36A10" w:rsidRPr="007F098D">
        <w:rPr>
          <w:rFonts w:ascii="Garamond" w:hAnsi="Garamond"/>
        </w:rPr>
        <w:t xml:space="preserve">Maintaining life history diversity across the full stock complex stabilizes downstream resources by distributing risk across several loosely or negatively correlated populations. </w:t>
      </w:r>
      <w:r w:rsidR="00C1704A" w:rsidRPr="007F098D">
        <w:rPr>
          <w:rFonts w:ascii="Garamond" w:hAnsi="Garamond"/>
        </w:rPr>
        <w:t>Moreover, maximizing diversity in run timing may extend fishing opportunities by allowing harvest of multiple stock components migrating at different times.</w:t>
      </w:r>
    </w:p>
    <w:p w14:paraId="05748622" w14:textId="699E6193" w:rsidR="0070135F" w:rsidRPr="007F098D" w:rsidRDefault="002574F7" w:rsidP="002574F7">
      <w:pPr>
        <w:spacing w:line="480" w:lineRule="auto"/>
        <w:ind w:firstLine="720"/>
        <w:rPr>
          <w:rFonts w:ascii="Garamond" w:hAnsi="Garamond"/>
        </w:rPr>
      </w:pPr>
      <w:r w:rsidRPr="007F098D">
        <w:rPr>
          <w:rFonts w:ascii="Garamond" w:hAnsi="Garamond"/>
        </w:rPr>
        <w:lastRenderedPageBreak/>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t xml:space="preserve">populations </w:t>
      </w:r>
      <w:r w:rsidR="0070135F" w:rsidRPr="007F098D">
        <w:rPr>
          <w:rFonts w:ascii="Garamond" w:hAnsi="Garamond"/>
        </w:rPr>
        <w:t xml:space="preserve">support subsistence fishing opportunities for dozens of communities, almost all of which are rural and indigenous </w:t>
      </w:r>
      <w:r w:rsidR="002811E4" w:rsidRPr="007E1736">
        <w:rPr>
          <w:rFonts w:ascii="Garamond" w:hAnsi="Garamond"/>
        </w:rPr>
        <w:t xml:space="preserve">(Clark et al., 2018; </w:t>
      </w:r>
      <w:proofErr w:type="spellStart"/>
      <w:r w:rsidR="002811E4" w:rsidRPr="007E1736">
        <w:rPr>
          <w:rFonts w:ascii="Garamond" w:hAnsi="Garamond"/>
        </w:rPr>
        <w:t>Esquible</w:t>
      </w:r>
      <w:proofErr w:type="spellEnd"/>
      <w:r w:rsidR="002811E4" w:rsidRPr="007E1736">
        <w:rPr>
          <w:rFonts w:ascii="Garamond" w:hAnsi="Garamond"/>
        </w:rPr>
        <w:t xml:space="preserve"> et al., 2024).</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7F35F9" w:rsidRPr="007E1736">
        <w:rPr>
          <w:rFonts w:ascii="Garamond" w:hAnsi="Garamond"/>
        </w:rPr>
        <w:t>(</w:t>
      </w:r>
      <w:proofErr w:type="spellStart"/>
      <w:r w:rsidR="007F35F9" w:rsidRPr="007E1736">
        <w:rPr>
          <w:rFonts w:ascii="Garamond" w:hAnsi="Garamond"/>
        </w:rPr>
        <w:t>Esquible</w:t>
      </w:r>
      <w:proofErr w:type="spellEnd"/>
      <w:r w:rsidR="007F35F9" w:rsidRPr="007E1736">
        <w:rPr>
          <w:rFonts w:ascii="Garamond" w:hAnsi="Garamond"/>
        </w:rPr>
        <w:t xml:space="preserve"> et al., 2024).</w:t>
      </w:r>
      <w:r w:rsidR="007F35F9" w:rsidRPr="007F098D">
        <w:rPr>
          <w:rFonts w:ascii="Garamond" w:hAnsi="Garamond"/>
        </w:rPr>
        <w:t xml:space="preserve"> 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180C73BC"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river 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E1736">
        <w:rPr>
          <w:rFonts w:ascii="Garamond" w:hAnsi="Garamond"/>
        </w:rPr>
        <w:fldChar w:fldCharType="begin"/>
      </w:r>
      <w:r w:rsidR="007E1736">
        <w:rPr>
          <w:rFonts w:ascii="Garamond" w:hAnsi="Garamond"/>
        </w:rPr>
        <w:instrText xml:space="preserve"> ADDIN ZOTERO_ITEM CSL_CITATION {"citationID":"DfGnnmMb","properties":{"formattedCitation":"(Clark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7E1736">
        <w:rPr>
          <w:rFonts w:ascii="Cambria Math" w:hAnsi="Cambria Math" w:cs="Cambria Math"/>
        </w:rPr>
        <w:instrText>‐</w:instrText>
      </w:r>
      <w:r w:rsidR="007E1736">
        <w:rPr>
          <w:rFonts w:ascii="Garamond" w:hAnsi="Garamond"/>
        </w:rPr>
        <w:instrText>wide effects of body size, sex, spawning location, and year on the timing of spawning</w:instrText>
      </w:r>
      <w:r w:rsidR="007E1736">
        <w:rPr>
          <w:rFonts w:ascii="Cambria Math" w:hAnsi="Cambria Math" w:cs="Cambria Math"/>
        </w:rPr>
        <w:instrText>‐</w:instrText>
      </w:r>
      <w:r w:rsidR="007E1736">
        <w:rPr>
          <w:rFonts w:ascii="Garamond" w:hAnsi="Garamond"/>
        </w:rPr>
        <w:instrText>run migration into the Togiak River. Migration data and spawning fate were collected using radiotelemetry and analyzed with mixed effects models to account for among</w:instrText>
      </w:r>
      <w:r w:rsidR="007E1736">
        <w:rPr>
          <w:rFonts w:ascii="Cambria Math" w:hAnsi="Cambria Math" w:cs="Cambria Math"/>
        </w:rPr>
        <w:instrText>‐</w:instrText>
      </w:r>
      <w:r w:rsidR="007E1736">
        <w:rPr>
          <w:rFonts w:ascii="Garamond" w:hAnsi="Garamond"/>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7E1736">
        <w:rPr>
          <w:rFonts w:ascii="Garamond" w:hAnsi="Garamond"/>
        </w:rPr>
        <w:fldChar w:fldCharType="separate"/>
      </w:r>
      <w:r w:rsidR="007E1736">
        <w:rPr>
          <w:rFonts w:ascii="Garamond" w:hAnsi="Garamond"/>
          <w:noProof/>
        </w:rPr>
        <w:t>(Clark et al., 2015)</w:t>
      </w:r>
      <w:r w:rsidR="007E1736">
        <w:rPr>
          <w:rFonts w:ascii="Garamond" w:hAnsi="Garamond"/>
        </w:rPr>
        <w:fldChar w:fldCharType="end"/>
      </w:r>
      <w:r w:rsidR="007E1736">
        <w:rPr>
          <w:rFonts w:ascii="Garamond" w:hAnsi="Garamond"/>
        </w:rPr>
        <w:t xml:space="preserve">, </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7D2894" w:rsidRPr="007F098D">
        <w:rPr>
          <w:rFonts w:ascii="Garamond" w:hAnsi="Garamond"/>
          <w:highlight w:val="yellow"/>
        </w:rPr>
        <w:t>(</w:t>
      </w:r>
      <w:r w:rsidR="007E1736">
        <w:rPr>
          <w:rFonts w:ascii="Garamond" w:hAnsi="Garamond"/>
          <w:highlight w:val="yellow"/>
        </w:rPr>
        <w:t>Cite</w:t>
      </w:r>
      <w:r w:rsidR="007D2894" w:rsidRPr="007F098D">
        <w:rPr>
          <w:rFonts w:ascii="Garamond" w:hAnsi="Garamond"/>
          <w:highlight w:val="yellow"/>
        </w:rPr>
        <w:t>)</w:t>
      </w:r>
      <w:r w:rsidR="007E1736">
        <w:rPr>
          <w:rFonts w:ascii="Garamond" w:hAnsi="Garamond"/>
        </w:rPr>
        <w:t>,</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lastRenderedPageBreak/>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(Lipka &amp; Elison, 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346853E5"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lastRenderedPageBreak/>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7E1736">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2002)","dontUpdate":true,"noteIndex":0},"citationItems":[{"id":"qdfHghSJ/KSW9LWYv","uris":["http://zotero.org/users/8421274/items/IY3FLHLM"],"itemData":{"id":915,"type":"article-journal","abstract":"Strontium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7E1736">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1998)","noteIndex":0},"citationItems":[{"id":"qdfHghSJ/KSW9LWYv","uris":["http://zotero.org/users/8421274/items/IY3FLHLM"],"itemData":{"id":"dI01jIsp/qEdWN4pU","type":"article-journal","abstract":"Strontium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18B3B9A0"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(Figure 1)</w:t>
      </w:r>
      <w:r w:rsidR="00AB074C"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7E1736">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To prevent over-assignment to tributaries with exceptionally 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selected </w:t>
      </w:r>
      <w:r w:rsidR="00AF7B74" w:rsidRPr="00EE2480">
        <w:rPr>
          <w:rFonts w:ascii="Garamond" w:hAnsi="Garamond" w:cs="Times New Roman"/>
        </w:rPr>
        <w:t xml:space="preserve">by visually examining the histogram for a cutoff which adjusted the values for a small </w:t>
      </w:r>
      <w:r w:rsidR="00AF7B74" w:rsidRPr="00EE2480">
        <w:rPr>
          <w:rFonts w:ascii="Garamond" w:hAnsi="Garamond" w:cs="Times New Roman"/>
        </w:rPr>
        <w:lastRenderedPageBreak/>
        <w:t xml:space="preserve">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almon’s known 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t>
      </w:r>
      <w:r w:rsidRPr="00EE2480">
        <w:rPr>
          <w:rFonts w:ascii="Garamond" w:hAnsi="Garamond"/>
        </w:rPr>
        <w:lastRenderedPageBreak/>
        <w:t xml:space="preserve">were included in assignments (assigned a prior value of 1), while smaller tributaries were excluded (assigned a value of 0). </w:t>
      </w:r>
      <w:r w:rsidRPr="00EE2480">
        <w:rPr>
          <w:rFonts w:ascii="Garamond" w:eastAsia="Times New Roman" w:hAnsi="Garamond" w:cs="Times New Roman"/>
          <w:kern w:val="0"/>
          <w14:ligatures w14:val="none"/>
        </w:rPr>
        <w:t>Second, a habitat suitability prior (</w:t>
      </w:r>
      <w:proofErr w:type="spellStart"/>
      <w:r w:rsidRPr="00EE2480">
        <w:rPr>
          <w:rFonts w:ascii="Garamond" w:eastAsia="Times New Roman" w:hAnsi="Garamond" w:cs="Times New Roman"/>
          <w:kern w:val="0"/>
          <w14:ligatures w14:val="none"/>
        </w:rPr>
        <w:t>PHabitat</w:t>
      </w:r>
      <w:proofErr w:type="spellEnd"/>
      <w:r w:rsidRPr="00EE2480">
        <w:rPr>
          <w:rFonts w:ascii="Garamond" w:eastAsia="Times New Roman" w:hAnsi="Garamond" w:cs="Times New Roman"/>
          <w:kern w:val="0"/>
          <w14:ligatures w14:val="none"/>
        </w:rPr>
        <w:t xml:space="preserve">)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(Makhlouf et al., 2025)</w:t>
      </w:r>
      <w:r w:rsidR="00EF730C" w:rsidRPr="00EE2480">
        <w:rPr>
          <w:rFonts w:ascii="Garamond" w:eastAsia="Times New Roman" w:hAnsi="Garamond" w:cs="Times New Roman"/>
          <w:kern w:val="0"/>
          <w14:ligatures w14:val="none"/>
        </w:rPr>
        <w:fldChar w:fldCharType="end"/>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 xml:space="preserve">From these tributaries, reaches identified as </w:t>
      </w:r>
      <w:r w:rsidR="00983880" w:rsidRPr="00EE2480">
        <w:rPr>
          <w:rFonts w:ascii="Garamond" w:eastAsia="Times New Roman" w:hAnsi="Garamond" w:cs="Times New Roman"/>
          <w:kern w:val="0"/>
          <w14:ligatures w14:val="none"/>
        </w:rPr>
        <w:t xml:space="preserve">consistently </w:t>
      </w:r>
      <w:r w:rsidRPr="00EE2480">
        <w:rPr>
          <w:rFonts w:ascii="Garamond" w:eastAsia="Times New Roman" w:hAnsi="Garamond" w:cs="Times New Roman"/>
          <w:kern w:val="0"/>
          <w14:ligatures w14:val="none"/>
        </w:rPr>
        <w:t>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r w:rsidR="0015783A" w:rsidRPr="00EE2480">
        <w:rPr>
          <w:rFonts w:ascii="Garamond" w:hAnsi="Garamond"/>
        </w:rPr>
        <w:t xml:space="preserve"> </w:t>
      </w:r>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6E76BE97" w:rsidR="00E352BB" w:rsidRPr="00EE2480" w:rsidRDefault="000C429D" w:rsidP="00EE2480">
      <w:pPr>
        <w:spacing w:line="480" w:lineRule="auto"/>
        <w:ind w:firstLine="720"/>
        <w:rPr>
          <w:rFonts w:ascii="Garamond" w:hAnsi="Garamond"/>
        </w:rPr>
      </w:pPr>
      <w:r w:rsidRPr="00EE2480">
        <w:rPr>
          <w:rFonts w:ascii="Garamond" w:hAnsi="Garamond"/>
        </w:rPr>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r w:rsidR="00401EE2" w:rsidRPr="00EE2480">
        <w:rPr>
          <w:rFonts w:ascii="Garamond" w:hAnsi="Garamond"/>
        </w:rPr>
        <w:t>(Liller reference?)</w:t>
      </w:r>
      <w:r w:rsidR="007F747D" w:rsidRPr="00EE2480">
        <w:rPr>
          <w:rStyle w:val="CommentReference"/>
          <w:rFonts w:ascii="Garamond" w:hAnsi="Garamond"/>
          <w:sz w:val="24"/>
          <w:szCs w:val="24"/>
        </w:rPr>
        <w:t xml:space="preserve">. From the </w:t>
      </w:r>
      <w:r w:rsidR="007F747D" w:rsidRPr="00EE2480">
        <w:rPr>
          <w:rStyle w:val="CommentReference"/>
          <w:rFonts w:ascii="Garamond" w:hAnsi="Garamond"/>
          <w:sz w:val="24"/>
          <w:szCs w:val="24"/>
        </w:rPr>
        <w:lastRenderedPageBreak/>
        <w:t>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E352BB" w:rsidRPr="00EE2480">
        <w:rPr>
          <w:rStyle w:val="CommentReference"/>
          <w:rFonts w:ascii="Garamond" w:hAnsi="Garamond"/>
          <w:sz w:val="24"/>
          <w:szCs w:val="24"/>
        </w:rPr>
        <w:t xml:space="preserve">groups </w:t>
      </w:r>
      <w:r w:rsidR="009E68C7" w:rsidRPr="00EE2480">
        <w:rPr>
          <w:rStyle w:val="CommentReference"/>
          <w:rFonts w:ascii="Garamond" w:hAnsi="Garamond"/>
          <w:sz w:val="24"/>
          <w:szCs w:val="24"/>
        </w:rPr>
        <w:t xml:space="preserve">of comparable size and spatial relevance to ensure complete basin coverage.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7B889A86"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proofErr w:type="gramStart"/>
      <w:r w:rsidR="005F27E4" w:rsidRPr="00E26D9D">
        <w:rPr>
          <w:rFonts w:ascii="Garamond" w:hAnsi="Garamond" w:cs="Times New Roman"/>
        </w:rPr>
        <w:t>3 day</w:t>
      </w:r>
      <w:proofErr w:type="gramEnd"/>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77264AD" w14:textId="77777777" w:rsidR="00424DB6" w:rsidRDefault="00424DB6" w:rsidP="004A0003">
      <w:pPr>
        <w:spacing w:line="480" w:lineRule="auto"/>
        <w:rPr>
          <w:rFonts w:ascii="Garamond" w:hAnsi="Garamond"/>
          <w:b/>
          <w:bCs/>
          <w:sz w:val="32"/>
          <w:szCs w:val="32"/>
        </w:rPr>
      </w:pPr>
    </w:p>
    <w:p w14:paraId="1B967039" w14:textId="5E0E6F18"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lastRenderedPageBreak/>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Pr="005463B2" w:rsidRDefault="00D625F2" w:rsidP="005A53C9">
      <w:pPr>
        <w:pStyle w:val="whitespace-normal"/>
        <w:spacing w:line="480" w:lineRule="auto"/>
        <w:rPr>
          <w:rFonts w:ascii="Garamond" w:hAnsi="Garamond"/>
        </w:rPr>
      </w:pPr>
      <w:r w:rsidRPr="00AD7B82">
        <w:rPr>
          <w:rFonts w:ascii="Garamond" w:hAnsi="Garamond"/>
          <w:b/>
          <w:bCs/>
          <w:sz w:val="22"/>
          <w:szCs w:val="22"/>
        </w:rPr>
        <w:tab/>
      </w:r>
      <w:r w:rsidR="005C58CB" w:rsidRPr="005463B2">
        <w:rPr>
          <w:rFonts w:ascii="Garamond" w:hAnsi="Garamond"/>
        </w:rPr>
        <w:t xml:space="preserve">Across all years of our dataset (2017-2021), returns to the 21 stock units exhibited </w:t>
      </w:r>
      <w:r w:rsidR="00C50733" w:rsidRPr="005463B2">
        <w:rPr>
          <w:rFonts w:ascii="Garamond" w:hAnsi="Garamond"/>
        </w:rPr>
        <w:t>a</w:t>
      </w:r>
      <w:r w:rsidR="005C58CB" w:rsidRPr="005463B2">
        <w:rPr>
          <w:rFonts w:ascii="Garamond" w:hAnsi="Garamond"/>
        </w:rPr>
        <w:t xml:space="preserve"> </w:t>
      </w:r>
      <w:r w:rsidR="00C50733" w:rsidRPr="005463B2">
        <w:rPr>
          <w:rFonts w:ascii="Garamond" w:hAnsi="Garamond"/>
        </w:rPr>
        <w:t xml:space="preserve">general transition </w:t>
      </w:r>
      <w:r w:rsidR="005C58CB" w:rsidRPr="005463B2">
        <w:rPr>
          <w:rFonts w:ascii="Garamond" w:hAnsi="Garamond"/>
        </w:rPr>
        <w:t>from upstream to downstream stock</w:t>
      </w:r>
      <w:r w:rsidR="00C50733" w:rsidRPr="005463B2">
        <w:rPr>
          <w:rFonts w:ascii="Garamond" w:hAnsi="Garamond"/>
        </w:rPr>
        <w:t>s</w:t>
      </w:r>
      <w:r w:rsidR="005C58CB" w:rsidRPr="005463B2">
        <w:rPr>
          <w:rFonts w:ascii="Garamond" w:hAnsi="Garamond"/>
        </w:rPr>
        <w:t xml:space="preserve"> as the season progressed. Early season returns (Q1: start of run through June 11</w:t>
      </w:r>
      <w:r w:rsidR="00B27EC5" w:rsidRPr="005463B2">
        <w:rPr>
          <w:rFonts w:ascii="Garamond" w:hAnsi="Garamond"/>
        </w:rPr>
        <w:t>, Figure 3a.</w:t>
      </w:r>
      <w:r w:rsidR="005C58CB" w:rsidRPr="005463B2">
        <w:rPr>
          <w:rFonts w:ascii="Garamond" w:hAnsi="Garamond"/>
        </w:rPr>
        <w:t xml:space="preserve">) were </w:t>
      </w:r>
      <w:r w:rsidR="007708F4" w:rsidRPr="005463B2">
        <w:rPr>
          <w:rFonts w:ascii="Garamond" w:hAnsi="Garamond"/>
        </w:rPr>
        <w:t xml:space="preserve">represented </w:t>
      </w:r>
      <w:r w:rsidR="00E355B2" w:rsidRPr="005463B2">
        <w:rPr>
          <w:rFonts w:ascii="Garamond" w:hAnsi="Garamond"/>
        </w:rPr>
        <w:t xml:space="preserve">primarily </w:t>
      </w:r>
      <w:r w:rsidR="005C58CB" w:rsidRPr="005463B2">
        <w:rPr>
          <w:rFonts w:ascii="Garamond" w:hAnsi="Garamond"/>
        </w:rPr>
        <w:t>by stocks from the upper portions of the watershed</w:t>
      </w:r>
      <w:r w:rsidR="00E355B2" w:rsidRPr="005463B2">
        <w:rPr>
          <w:rFonts w:ascii="Garamond" w:hAnsi="Garamond"/>
        </w:rPr>
        <w:t xml:space="preserve"> including</w:t>
      </w:r>
      <w:r w:rsidR="005C58CB" w:rsidRPr="005463B2">
        <w:rPr>
          <w:rFonts w:ascii="Garamond" w:hAnsi="Garamond"/>
        </w:rPr>
        <w:t xml:space="preserve"> </w:t>
      </w:r>
      <w:r w:rsidR="00121BC7" w:rsidRPr="005463B2">
        <w:rPr>
          <w:rFonts w:ascii="Garamond" w:hAnsi="Garamond"/>
        </w:rPr>
        <w:t xml:space="preserve">Big River ( </w:t>
      </w:r>
      <w:r w:rsidR="00E355B2" w:rsidRPr="005463B2">
        <w:rPr>
          <w:rFonts w:ascii="Garamond" w:hAnsi="Garamond"/>
        </w:rPr>
        <w:t>median 12.8%, range 4.6 – 16.1%), Swift River (median: 11.6%, range 5.7-14.4%), Stony River (median: 10.5%, range 9.6-12.4%), and Upper Kuskokwim Main (median: 8.9%, range 5.5-10.8%)</w:t>
      </w:r>
      <w:r w:rsidR="00B27EC5" w:rsidRPr="005463B2">
        <w:rPr>
          <w:rFonts w:ascii="Garamond" w:hAnsi="Garamond"/>
        </w:rPr>
        <w:t xml:space="preserve">. </w:t>
      </w:r>
      <w:r w:rsidR="00E355B2" w:rsidRPr="005463B2">
        <w:rPr>
          <w:rFonts w:ascii="Garamond" w:hAnsi="Garamond"/>
        </w:rPr>
        <w:t xml:space="preserve">Notably, the uppermost stocks (North, East, and South Fork Kuskokwim) consistently contributed very little (&lt; 2.5%) and the </w:t>
      </w:r>
      <w:proofErr w:type="spellStart"/>
      <w:r w:rsidR="00E355B2" w:rsidRPr="005463B2">
        <w:rPr>
          <w:rFonts w:ascii="Garamond" w:hAnsi="Garamond"/>
        </w:rPr>
        <w:t>Takotna</w:t>
      </w:r>
      <w:proofErr w:type="spellEnd"/>
      <w:r w:rsidR="00E355B2" w:rsidRPr="005463B2">
        <w:rPr>
          <w:rFonts w:ascii="Garamond" w:hAnsi="Garamond"/>
        </w:rPr>
        <w:t xml:space="preserve"> and Nixon fork </w:t>
      </w:r>
      <w:r w:rsidR="00B27EC5" w:rsidRPr="005463B2">
        <w:rPr>
          <w:rFonts w:ascii="Garamond" w:hAnsi="Garamond"/>
        </w:rPr>
        <w:t>stock as well as the</w:t>
      </w:r>
      <w:r w:rsidR="00E355B2" w:rsidRPr="005463B2">
        <w:rPr>
          <w:rFonts w:ascii="Garamond" w:hAnsi="Garamond"/>
        </w:rPr>
        <w:t xml:space="preserve"> </w:t>
      </w:r>
      <w:proofErr w:type="spellStart"/>
      <w:r w:rsidR="00E355B2" w:rsidRPr="005463B2">
        <w:rPr>
          <w:rFonts w:ascii="Garamond" w:hAnsi="Garamond"/>
        </w:rPr>
        <w:t>Tatlawiksuk</w:t>
      </w:r>
      <w:proofErr w:type="spellEnd"/>
      <w:r w:rsidR="00E355B2" w:rsidRPr="005463B2">
        <w:rPr>
          <w:rFonts w:ascii="Garamond" w:hAnsi="Garamond"/>
        </w:rPr>
        <w:t xml:space="preserve"> </w:t>
      </w:r>
      <w:r w:rsidR="00B27EC5" w:rsidRPr="005463B2">
        <w:rPr>
          <w:rFonts w:ascii="Garamond" w:hAnsi="Garamond"/>
        </w:rPr>
        <w:t xml:space="preserve">river </w:t>
      </w:r>
      <w:r w:rsidR="00E355B2" w:rsidRPr="005463B2">
        <w:rPr>
          <w:rFonts w:ascii="Garamond" w:hAnsi="Garamond"/>
        </w:rPr>
        <w:t xml:space="preserve">stock each contributed only modestly (median 3% and 5% respectively) despite their position near the top of the watershed. The second quartile </w:t>
      </w:r>
      <w:proofErr w:type="gramStart"/>
      <w:r w:rsidR="00E355B2" w:rsidRPr="005463B2">
        <w:rPr>
          <w:rFonts w:ascii="Garamond" w:hAnsi="Garamond"/>
        </w:rPr>
        <w:t xml:space="preserve">( </w:t>
      </w:r>
      <w:r w:rsidR="00C10AF2" w:rsidRPr="005463B2">
        <w:rPr>
          <w:rFonts w:ascii="Garamond" w:hAnsi="Garamond"/>
        </w:rPr>
        <w:t>June</w:t>
      </w:r>
      <w:proofErr w:type="gramEnd"/>
      <w:r w:rsidR="00C10AF2" w:rsidRPr="005463B2">
        <w:rPr>
          <w:rFonts w:ascii="Garamond" w:hAnsi="Garamond"/>
        </w:rPr>
        <w:t xml:space="preserve"> 12</w:t>
      </w:r>
      <w:r w:rsidR="00C10AF2" w:rsidRPr="005463B2">
        <w:rPr>
          <w:rFonts w:ascii="Garamond" w:hAnsi="Garamond"/>
          <w:vertAlign w:val="superscript"/>
        </w:rPr>
        <w:t>th</w:t>
      </w:r>
      <w:r w:rsidR="00C10AF2" w:rsidRPr="005463B2">
        <w:rPr>
          <w:rFonts w:ascii="Garamond" w:hAnsi="Garamond"/>
        </w:rPr>
        <w:t xml:space="preserve"> – 21</w:t>
      </w:r>
      <w:r w:rsidR="00C10AF2" w:rsidRPr="005463B2">
        <w:rPr>
          <w:rFonts w:ascii="Garamond" w:hAnsi="Garamond"/>
          <w:vertAlign w:val="superscript"/>
        </w:rPr>
        <w:t>st</w:t>
      </w:r>
      <w:r w:rsidR="00B27EC5" w:rsidRPr="005463B2">
        <w:rPr>
          <w:rFonts w:ascii="Garamond" w:hAnsi="Garamond"/>
        </w:rPr>
        <w:t>, Figure 3b.)</w:t>
      </w:r>
      <w:r w:rsidR="00C10AF2" w:rsidRPr="005463B2">
        <w:rPr>
          <w:rFonts w:ascii="Garamond" w:hAnsi="Garamond"/>
        </w:rPr>
        <w:t xml:space="preserve"> saw a more even distribution of returns across much of the middle watershed, with Upper Kuskokwim Main, Big River, </w:t>
      </w:r>
      <w:proofErr w:type="spellStart"/>
      <w:r w:rsidR="00C10AF2" w:rsidRPr="005463B2">
        <w:rPr>
          <w:rFonts w:ascii="Garamond" w:hAnsi="Garamond"/>
        </w:rPr>
        <w:t>Takotna</w:t>
      </w:r>
      <w:proofErr w:type="spellEnd"/>
      <w:r w:rsidR="00C10AF2" w:rsidRPr="005463B2">
        <w:rPr>
          <w:rFonts w:ascii="Garamond" w:hAnsi="Garamond"/>
        </w:rPr>
        <w:t xml:space="preserve"> River and Nixon Fork, Swift River, </w:t>
      </w:r>
      <w:proofErr w:type="spellStart"/>
      <w:r w:rsidR="00C10AF2" w:rsidRPr="005463B2">
        <w:rPr>
          <w:rFonts w:ascii="Garamond" w:hAnsi="Garamond"/>
        </w:rPr>
        <w:t>Holitna</w:t>
      </w:r>
      <w:proofErr w:type="spellEnd"/>
      <w:r w:rsidR="00C10AF2" w:rsidRPr="005463B2">
        <w:rPr>
          <w:rFonts w:ascii="Garamond" w:hAnsi="Garamond"/>
        </w:rPr>
        <w:t xml:space="preserve"> River, </w:t>
      </w:r>
      <w:proofErr w:type="spellStart"/>
      <w:r w:rsidR="00C10AF2" w:rsidRPr="005463B2">
        <w:rPr>
          <w:rFonts w:ascii="Garamond" w:hAnsi="Garamond"/>
        </w:rPr>
        <w:t>Hoholitna</w:t>
      </w:r>
      <w:proofErr w:type="spellEnd"/>
      <w:r w:rsidR="00C10AF2" w:rsidRPr="005463B2">
        <w:rPr>
          <w:rFonts w:ascii="Garamond" w:hAnsi="Garamond"/>
        </w:rPr>
        <w:t xml:space="preserve"> River, Middle Kuskokwim Main, Aniak</w:t>
      </w:r>
      <w:r w:rsidR="00B27EC5" w:rsidRPr="005463B2">
        <w:rPr>
          <w:rFonts w:ascii="Garamond" w:hAnsi="Garamond"/>
        </w:rPr>
        <w:t xml:space="preserve"> River</w:t>
      </w:r>
      <w:r w:rsidR="00C10AF2" w:rsidRPr="005463B2">
        <w:rPr>
          <w:rFonts w:ascii="Garamond" w:hAnsi="Garamond"/>
        </w:rPr>
        <w:t xml:space="preserve">, and </w:t>
      </w:r>
      <w:proofErr w:type="spellStart"/>
      <w:r w:rsidR="00C10AF2" w:rsidRPr="005463B2">
        <w:rPr>
          <w:rFonts w:ascii="Garamond" w:hAnsi="Garamond"/>
        </w:rPr>
        <w:t>Kisar</w:t>
      </w:r>
      <w:r w:rsidR="00881286" w:rsidRPr="005463B2">
        <w:rPr>
          <w:rFonts w:ascii="Garamond" w:hAnsi="Garamond"/>
        </w:rPr>
        <w:t>a</w:t>
      </w:r>
      <w:r w:rsidR="00C10AF2" w:rsidRPr="005463B2">
        <w:rPr>
          <w:rFonts w:ascii="Garamond" w:hAnsi="Garamond"/>
        </w:rPr>
        <w:t>lik</w:t>
      </w:r>
      <w:proofErr w:type="spellEnd"/>
      <w:r w:rsidR="00C10AF2" w:rsidRPr="005463B2">
        <w:rPr>
          <w:rFonts w:ascii="Garamond" w:hAnsi="Garamond"/>
        </w:rPr>
        <w:t xml:space="preserve"> all contributing between 5 and 10%. Only the Stony River had an average contribution of greater than 10% (median 11.5%) with a relative constrained range (10.7 – 12.2%) indicating consistent contribution to the 2</w:t>
      </w:r>
      <w:r w:rsidR="00C10AF2" w:rsidRPr="005463B2">
        <w:rPr>
          <w:rFonts w:ascii="Garamond" w:hAnsi="Garamond"/>
          <w:vertAlign w:val="superscript"/>
        </w:rPr>
        <w:t>nd</w:t>
      </w:r>
      <w:r w:rsidR="00C10AF2" w:rsidRPr="005463B2">
        <w:rPr>
          <w:rFonts w:ascii="Garamond" w:hAnsi="Garamond"/>
        </w:rPr>
        <w:t xml:space="preserve"> quartile. This pattern largely holds in the 3</w:t>
      </w:r>
      <w:r w:rsidR="00C10AF2" w:rsidRPr="005463B2">
        <w:rPr>
          <w:rFonts w:ascii="Garamond" w:hAnsi="Garamond"/>
          <w:vertAlign w:val="superscript"/>
        </w:rPr>
        <w:t>rd</w:t>
      </w:r>
      <w:r w:rsidR="00C10AF2" w:rsidRPr="005463B2">
        <w:rPr>
          <w:rFonts w:ascii="Garamond" w:hAnsi="Garamond"/>
        </w:rPr>
        <w:t xml:space="preserve"> quartile (June 22</w:t>
      </w:r>
      <w:r w:rsidR="00C10AF2" w:rsidRPr="005463B2">
        <w:rPr>
          <w:rFonts w:ascii="Garamond" w:hAnsi="Garamond"/>
          <w:vertAlign w:val="superscript"/>
        </w:rPr>
        <w:t>nd</w:t>
      </w:r>
      <w:r w:rsidR="00C10AF2" w:rsidRPr="005463B2">
        <w:rPr>
          <w:rFonts w:ascii="Garamond" w:hAnsi="Garamond"/>
        </w:rPr>
        <w:t>-</w:t>
      </w:r>
      <w:r w:rsidR="00B27EC5" w:rsidRPr="005463B2">
        <w:rPr>
          <w:rFonts w:ascii="Garamond" w:hAnsi="Garamond"/>
        </w:rPr>
        <w:t xml:space="preserve"> </w:t>
      </w:r>
      <w:r w:rsidR="00C10AF2" w:rsidRPr="005463B2">
        <w:rPr>
          <w:rFonts w:ascii="Garamond" w:hAnsi="Garamond"/>
        </w:rPr>
        <w:t>July</w:t>
      </w:r>
      <w:r w:rsidR="00881286" w:rsidRPr="005463B2">
        <w:rPr>
          <w:rFonts w:ascii="Garamond" w:hAnsi="Garamond"/>
        </w:rPr>
        <w:t xml:space="preserve"> </w:t>
      </w:r>
      <w:r w:rsidR="00C10AF2" w:rsidRPr="005463B2">
        <w:rPr>
          <w:rFonts w:ascii="Garamond" w:hAnsi="Garamond"/>
        </w:rPr>
        <w:t>1st</w:t>
      </w:r>
      <w:r w:rsidR="00B27EC5" w:rsidRPr="005463B2">
        <w:rPr>
          <w:rFonts w:ascii="Garamond" w:hAnsi="Garamond"/>
        </w:rPr>
        <w:t>, Figure 3c.</w:t>
      </w:r>
      <w:r w:rsidR="00C10AF2" w:rsidRPr="005463B2">
        <w:rPr>
          <w:rFonts w:ascii="Garamond" w:hAnsi="Garamond"/>
        </w:rPr>
        <w:t xml:space="preserve">), but with increased contribution from the </w:t>
      </w:r>
      <w:proofErr w:type="spellStart"/>
      <w:r w:rsidR="00C10AF2" w:rsidRPr="005463B2">
        <w:rPr>
          <w:rFonts w:ascii="Garamond" w:hAnsi="Garamond"/>
        </w:rPr>
        <w:t>Holitna</w:t>
      </w:r>
      <w:proofErr w:type="spellEnd"/>
      <w:r w:rsidR="00C10AF2" w:rsidRPr="005463B2">
        <w:rPr>
          <w:rFonts w:ascii="Garamond" w:hAnsi="Garamond"/>
        </w:rPr>
        <w:t xml:space="preserve"> River (median; 10.4%, range 9.5-13.6%), </w:t>
      </w:r>
      <w:proofErr w:type="spellStart"/>
      <w:r w:rsidR="00C10AF2" w:rsidRPr="005463B2">
        <w:rPr>
          <w:rFonts w:ascii="Garamond" w:hAnsi="Garamond"/>
        </w:rPr>
        <w:t>Hoholitna</w:t>
      </w:r>
      <w:proofErr w:type="spellEnd"/>
      <w:r w:rsidR="00C10AF2" w:rsidRPr="005463B2">
        <w:rPr>
          <w:rFonts w:ascii="Garamond" w:hAnsi="Garamond"/>
        </w:rPr>
        <w:t xml:space="preserve"> River (median 9.6%, range 8.8-12.2%), and Aniak river (median 8.2%, range 5.7-10.1%). </w:t>
      </w:r>
      <w:r w:rsidR="002D12FE" w:rsidRPr="005463B2">
        <w:rPr>
          <w:rFonts w:ascii="Garamond" w:hAnsi="Garamond"/>
        </w:rPr>
        <w:t>Late season returns (July 2</w:t>
      </w:r>
      <w:r w:rsidR="002D12FE" w:rsidRPr="005463B2">
        <w:rPr>
          <w:rFonts w:ascii="Garamond" w:hAnsi="Garamond"/>
          <w:vertAlign w:val="superscript"/>
        </w:rPr>
        <w:t>nd</w:t>
      </w:r>
      <w:r w:rsidR="002D12FE" w:rsidRPr="005463B2">
        <w:rPr>
          <w:rFonts w:ascii="Garamond" w:hAnsi="Garamond"/>
        </w:rPr>
        <w:t xml:space="preserve"> onward</w:t>
      </w:r>
      <w:r w:rsidR="00B27EC5" w:rsidRPr="005463B2">
        <w:rPr>
          <w:rFonts w:ascii="Garamond" w:hAnsi="Garamond"/>
        </w:rPr>
        <w:t>, Figure 3d.</w:t>
      </w:r>
      <w:r w:rsidR="002D12FE" w:rsidRPr="005463B2">
        <w:rPr>
          <w:rFonts w:ascii="Garamond" w:hAnsi="Garamond"/>
        </w:rPr>
        <w:t>) displayed further decreasing contribution from Upper Kuskokwim stocks (</w:t>
      </w:r>
      <w:proofErr w:type="spellStart"/>
      <w:r w:rsidR="002D12FE" w:rsidRPr="005463B2">
        <w:rPr>
          <w:rFonts w:ascii="Garamond" w:hAnsi="Garamond"/>
        </w:rPr>
        <w:t>i.e</w:t>
      </w:r>
      <w:proofErr w:type="spellEnd"/>
      <w:r w:rsidR="002D12FE" w:rsidRPr="005463B2">
        <w:rPr>
          <w:rFonts w:ascii="Garamond" w:hAnsi="Garamond"/>
        </w:rPr>
        <w:t xml:space="preserve"> Upper Kuskokwim Main, Big River, </w:t>
      </w:r>
      <w:proofErr w:type="spellStart"/>
      <w:r w:rsidR="002D12FE" w:rsidRPr="005463B2">
        <w:rPr>
          <w:rFonts w:ascii="Garamond" w:hAnsi="Garamond"/>
        </w:rPr>
        <w:t>Takotna</w:t>
      </w:r>
      <w:proofErr w:type="spellEnd"/>
      <w:r w:rsidR="002D12FE" w:rsidRPr="005463B2">
        <w:rPr>
          <w:rFonts w:ascii="Garamond" w:hAnsi="Garamond"/>
        </w:rPr>
        <w:t xml:space="preserve"> River and Nixon Fork, </w:t>
      </w:r>
      <w:proofErr w:type="spellStart"/>
      <w:r w:rsidR="002D12FE" w:rsidRPr="005463B2">
        <w:rPr>
          <w:rFonts w:ascii="Garamond" w:hAnsi="Garamond"/>
        </w:rPr>
        <w:t>Tatlawiksuk</w:t>
      </w:r>
      <w:proofErr w:type="spellEnd"/>
      <w:r w:rsidR="002D12FE" w:rsidRPr="005463B2">
        <w:rPr>
          <w:rFonts w:ascii="Garamond" w:hAnsi="Garamond"/>
        </w:rPr>
        <w:t xml:space="preserve"> River, and Swift River). The </w:t>
      </w:r>
      <w:proofErr w:type="spellStart"/>
      <w:r w:rsidR="002D12FE" w:rsidRPr="005463B2">
        <w:rPr>
          <w:rFonts w:ascii="Garamond" w:hAnsi="Garamond"/>
        </w:rPr>
        <w:t>Hoholitna</w:t>
      </w:r>
      <w:proofErr w:type="spellEnd"/>
      <w:r w:rsidR="002D12FE" w:rsidRPr="005463B2">
        <w:rPr>
          <w:rFonts w:ascii="Garamond" w:hAnsi="Garamond"/>
        </w:rPr>
        <w:t xml:space="preserve"> and Middle Kuskokwim River saw slight decreases and increases in contribution, respectively, but with </w:t>
      </w:r>
      <w:r w:rsidR="00536536" w:rsidRPr="005463B2">
        <w:rPr>
          <w:rFonts w:ascii="Garamond" w:hAnsi="Garamond"/>
        </w:rPr>
        <w:t xml:space="preserve">an associated </w:t>
      </w:r>
      <w:r w:rsidR="002D12FE" w:rsidRPr="005463B2">
        <w:rPr>
          <w:rFonts w:ascii="Garamond" w:hAnsi="Garamond"/>
        </w:rPr>
        <w:t xml:space="preserve">increase in range indicating variability </w:t>
      </w:r>
      <w:r w:rsidR="00536536" w:rsidRPr="005463B2">
        <w:rPr>
          <w:rFonts w:ascii="Garamond" w:hAnsi="Garamond"/>
        </w:rPr>
        <w:t xml:space="preserve">across </w:t>
      </w:r>
      <w:r w:rsidR="002D12FE" w:rsidRPr="005463B2">
        <w:rPr>
          <w:rFonts w:ascii="Garamond" w:hAnsi="Garamond"/>
        </w:rPr>
        <w:t xml:space="preserve">the </w:t>
      </w:r>
      <w:r w:rsidR="002D12FE" w:rsidRPr="005463B2">
        <w:rPr>
          <w:rFonts w:ascii="Garamond" w:hAnsi="Garamond"/>
        </w:rPr>
        <w:lastRenderedPageBreak/>
        <w:t>dataset. Contribution from the Aniak</w:t>
      </w:r>
      <w:r w:rsidR="00536536" w:rsidRPr="005463B2">
        <w:rPr>
          <w:rFonts w:ascii="Garamond" w:hAnsi="Garamond"/>
        </w:rPr>
        <w:t xml:space="preserve"> (median; 11.6%), </w:t>
      </w:r>
      <w:proofErr w:type="spellStart"/>
      <w:r w:rsidR="002D12FE" w:rsidRPr="005463B2">
        <w:rPr>
          <w:rFonts w:ascii="Garamond" w:hAnsi="Garamond"/>
        </w:rPr>
        <w:t>Tuluksak</w:t>
      </w:r>
      <w:proofErr w:type="spellEnd"/>
      <w:r w:rsidR="00536536" w:rsidRPr="005463B2">
        <w:rPr>
          <w:rFonts w:ascii="Garamond" w:hAnsi="Garamond"/>
        </w:rPr>
        <w:t xml:space="preserve"> (median; 6.1%)</w:t>
      </w:r>
      <w:r w:rsidR="002D12FE" w:rsidRPr="005463B2">
        <w:rPr>
          <w:rFonts w:ascii="Garamond" w:hAnsi="Garamond"/>
        </w:rPr>
        <w:t xml:space="preserve">, </w:t>
      </w:r>
      <w:proofErr w:type="spellStart"/>
      <w:r w:rsidR="002D12FE" w:rsidRPr="005463B2">
        <w:rPr>
          <w:rFonts w:ascii="Garamond" w:hAnsi="Garamond"/>
        </w:rPr>
        <w:t>Kisaralik</w:t>
      </w:r>
      <w:proofErr w:type="spellEnd"/>
      <w:r w:rsidR="00536536" w:rsidRPr="005463B2">
        <w:rPr>
          <w:rFonts w:ascii="Garamond" w:hAnsi="Garamond"/>
        </w:rPr>
        <w:t xml:space="preserve"> (median 8.2%) </w:t>
      </w:r>
      <w:r w:rsidR="002D12FE" w:rsidRPr="005463B2">
        <w:rPr>
          <w:rFonts w:ascii="Garamond" w:hAnsi="Garamond"/>
        </w:rPr>
        <w:t>and Kwethluk</w:t>
      </w:r>
      <w:r w:rsidR="00536536" w:rsidRPr="005463B2">
        <w:rPr>
          <w:rFonts w:ascii="Garamond" w:hAnsi="Garamond"/>
        </w:rPr>
        <w:t xml:space="preserve"> (median 6.7%) </w:t>
      </w:r>
      <w:r w:rsidR="002D12FE" w:rsidRPr="005463B2">
        <w:rPr>
          <w:rFonts w:ascii="Garamond" w:hAnsi="Garamond"/>
        </w:rPr>
        <w:t>all reached their peak contribution during this period, consistent with</w:t>
      </w:r>
      <w:r w:rsidR="00881286" w:rsidRPr="005463B2">
        <w:rPr>
          <w:rFonts w:ascii="Garamond" w:hAnsi="Garamond"/>
        </w:rPr>
        <w:t xml:space="preserve"> a pattern of</w:t>
      </w:r>
      <w:r w:rsidR="002D12FE" w:rsidRPr="005463B2">
        <w:rPr>
          <w:rFonts w:ascii="Garamond" w:hAnsi="Garamond"/>
        </w:rPr>
        <w:t xml:space="preserve"> late returns for stocks in the lower portion of the watershed. </w:t>
      </w:r>
    </w:p>
    <w:p w14:paraId="0F6E3C68" w14:textId="2E4673EF" w:rsidR="00EE1A96" w:rsidRPr="005463B2" w:rsidRDefault="00536536" w:rsidP="009D3148">
      <w:pPr>
        <w:pStyle w:val="whitespace-normal"/>
        <w:spacing w:line="480" w:lineRule="auto"/>
        <w:ind w:firstLine="720"/>
        <w:rPr>
          <w:rFonts w:ascii="Garamond" w:hAnsi="Garamond"/>
        </w:rPr>
      </w:pPr>
      <w:r w:rsidRPr="005463B2">
        <w:rPr>
          <w:rFonts w:ascii="Garamond" w:hAnsi="Garamond"/>
        </w:rPr>
        <w:t xml:space="preserve">Cumulative distribution plots </w:t>
      </w:r>
      <w:r w:rsidR="006D6AEE" w:rsidRPr="005463B2">
        <w:rPr>
          <w:rFonts w:ascii="Garamond" w:hAnsi="Garamond"/>
        </w:rPr>
        <w:t xml:space="preserve">(Figure 4) </w:t>
      </w:r>
      <w:r w:rsidR="00655F63" w:rsidRPr="005463B2">
        <w:rPr>
          <w:rFonts w:ascii="Garamond" w:hAnsi="Garamond"/>
        </w:rPr>
        <w:t xml:space="preserve">further emphasized </w:t>
      </w:r>
      <w:r w:rsidRPr="005463B2">
        <w:rPr>
          <w:rFonts w:ascii="Garamond" w:hAnsi="Garamond"/>
        </w:rPr>
        <w:t xml:space="preserve">the above </w:t>
      </w:r>
      <w:r w:rsidR="004A0003" w:rsidRPr="005463B2">
        <w:rPr>
          <w:rFonts w:ascii="Garamond" w:hAnsi="Garamond"/>
        </w:rPr>
        <w:t>patterns but</w:t>
      </w:r>
      <w:r w:rsidRPr="005463B2">
        <w:rPr>
          <w:rFonts w:ascii="Garamond" w:hAnsi="Garamond"/>
        </w:rPr>
        <w:t xml:space="preserve"> illustrated </w:t>
      </w:r>
      <w:r w:rsidR="00CF03CC" w:rsidRPr="005463B2">
        <w:rPr>
          <w:rFonts w:ascii="Garamond" w:hAnsi="Garamond"/>
        </w:rPr>
        <w:t xml:space="preserve">variation in run timing among stocks at a finer </w:t>
      </w:r>
      <w:r w:rsidRPr="005463B2">
        <w:rPr>
          <w:rFonts w:ascii="Garamond" w:hAnsi="Garamond"/>
        </w:rPr>
        <w:t xml:space="preserve">temporal scale and independent of the total contribution of each stock to the overall run. </w:t>
      </w:r>
      <w:r w:rsidR="004A0003" w:rsidRPr="005463B2">
        <w:rPr>
          <w:rFonts w:ascii="Garamond" w:hAnsi="Garamond"/>
        </w:rPr>
        <w:t xml:space="preserve">The results display a clear pattern of earliest returning stocks (closer to red) arriving earlier in the season, with 50% of the run for stocks such as the East Fork Kuskokwim and Big River arriving within </w:t>
      </w:r>
      <w:r w:rsidR="00724D0B" w:rsidRPr="005463B2">
        <w:rPr>
          <w:rFonts w:ascii="Garamond" w:hAnsi="Garamond"/>
        </w:rPr>
        <w:t>14 and 16</w:t>
      </w:r>
      <w:r w:rsidR="004A0003" w:rsidRPr="005463B2">
        <w:rPr>
          <w:rFonts w:ascii="Garamond" w:hAnsi="Garamond"/>
        </w:rPr>
        <w:t xml:space="preserve"> days </w:t>
      </w:r>
      <w:r w:rsidR="00724D0B" w:rsidRPr="005463B2">
        <w:rPr>
          <w:rFonts w:ascii="Garamond" w:hAnsi="Garamond"/>
        </w:rPr>
        <w:t xml:space="preserve">from </w:t>
      </w:r>
      <w:r w:rsidR="004A0003" w:rsidRPr="005463B2">
        <w:rPr>
          <w:rFonts w:ascii="Garamond" w:hAnsi="Garamond"/>
        </w:rPr>
        <w:t>the start of the run</w:t>
      </w:r>
      <w:r w:rsidR="00724D0B" w:rsidRPr="005463B2">
        <w:rPr>
          <w:rFonts w:ascii="Garamond" w:hAnsi="Garamond"/>
        </w:rPr>
        <w:t xml:space="preserve">, on average. </w:t>
      </w:r>
      <w:r w:rsidR="004A0003" w:rsidRPr="005463B2">
        <w:rPr>
          <w:rFonts w:ascii="Garamond" w:hAnsi="Garamond"/>
        </w:rPr>
        <w:t xml:space="preserve">In contrast, lower Kuskokwim stocks arrive later in the season, with stocks such as the </w:t>
      </w:r>
      <w:proofErr w:type="spellStart"/>
      <w:r w:rsidR="004A0003" w:rsidRPr="005463B2">
        <w:rPr>
          <w:rFonts w:ascii="Garamond" w:hAnsi="Garamond"/>
        </w:rPr>
        <w:t>Hoholitna</w:t>
      </w:r>
      <w:proofErr w:type="spellEnd"/>
      <w:r w:rsidR="004A0003" w:rsidRPr="005463B2">
        <w:rPr>
          <w:rFonts w:ascii="Garamond" w:hAnsi="Garamond"/>
        </w:rPr>
        <w:t xml:space="preserve"> and Aniak river reaching 50% of their total run nearly </w:t>
      </w:r>
      <w:r w:rsidR="00724D0B" w:rsidRPr="005463B2">
        <w:rPr>
          <w:rFonts w:ascii="Garamond" w:hAnsi="Garamond"/>
        </w:rPr>
        <w:t xml:space="preserve">23 </w:t>
      </w:r>
      <w:r w:rsidR="004A0003" w:rsidRPr="005463B2">
        <w:rPr>
          <w:rFonts w:ascii="Garamond" w:hAnsi="Garamond"/>
        </w:rPr>
        <w:t>days from the start of the season</w:t>
      </w:r>
      <w:r w:rsidR="00663FC6" w:rsidRPr="005463B2">
        <w:rPr>
          <w:rFonts w:ascii="Garamond" w:hAnsi="Garamond"/>
        </w:rPr>
        <w:t xml:space="preserve"> on average</w:t>
      </w:r>
      <w:r w:rsidR="00724D0B" w:rsidRPr="005463B2">
        <w:rPr>
          <w:rFonts w:ascii="Garamond" w:hAnsi="Garamond"/>
        </w:rPr>
        <w:t>.</w:t>
      </w:r>
      <w:r w:rsidR="004A0003" w:rsidRPr="005463B2">
        <w:rPr>
          <w:rFonts w:ascii="Garamond" w:hAnsi="Garamond"/>
        </w:rPr>
        <w:t xml:space="preserve"> </w:t>
      </w:r>
      <w:r w:rsidR="006D6AEE" w:rsidRPr="005463B2">
        <w:rPr>
          <w:rFonts w:ascii="Garamond" w:hAnsi="Garamond"/>
        </w:rPr>
        <w:t>Some variability in this pattern does exist</w:t>
      </w:r>
      <w:r w:rsidR="00663FC6" w:rsidRPr="005463B2">
        <w:rPr>
          <w:rFonts w:ascii="Garamond" w:hAnsi="Garamond"/>
        </w:rPr>
        <w:t xml:space="preserve">, with some </w:t>
      </w:r>
      <w:r w:rsidR="006D6AEE" w:rsidRPr="005463B2">
        <w:rPr>
          <w:rFonts w:ascii="Garamond" w:hAnsi="Garamond"/>
        </w:rPr>
        <w:t>middle Kuskokwim stocks (yellow or orange) appear</w:t>
      </w:r>
      <w:r w:rsidR="00663FC6" w:rsidRPr="005463B2">
        <w:rPr>
          <w:rFonts w:ascii="Garamond" w:hAnsi="Garamond"/>
        </w:rPr>
        <w:t>ing</w:t>
      </w:r>
      <w:r w:rsidR="006D6AEE" w:rsidRPr="005463B2">
        <w:rPr>
          <w:rFonts w:ascii="Garamond" w:hAnsi="Garamond"/>
        </w:rPr>
        <w:t xml:space="preserve"> to arrive </w:t>
      </w:r>
      <w:r w:rsidR="00663FC6" w:rsidRPr="005463B2">
        <w:rPr>
          <w:rFonts w:ascii="Garamond" w:hAnsi="Garamond"/>
        </w:rPr>
        <w:t xml:space="preserve">with or </w:t>
      </w:r>
      <w:r w:rsidR="006D6AEE" w:rsidRPr="005463B2">
        <w:rPr>
          <w:rFonts w:ascii="Garamond" w:hAnsi="Garamond"/>
        </w:rPr>
        <w:t>after</w:t>
      </w:r>
      <w:r w:rsidR="00663FC6" w:rsidRPr="005463B2">
        <w:rPr>
          <w:rFonts w:ascii="Garamond" w:hAnsi="Garamond"/>
        </w:rPr>
        <w:t xml:space="preserve"> those in the lower Kuskokwim in some years</w:t>
      </w:r>
      <w:r w:rsidR="006D6AEE" w:rsidRPr="005463B2">
        <w:rPr>
          <w:rFonts w:ascii="Garamond" w:hAnsi="Garamond"/>
        </w:rPr>
        <w:t xml:space="preserve">. However, the general downstream trajectory of returning stocks remains consistent across our dataset independent of the relative </w:t>
      </w:r>
      <w:r w:rsidR="00470C70" w:rsidRPr="005463B2">
        <w:rPr>
          <w:rFonts w:ascii="Garamond" w:hAnsi="Garamond"/>
        </w:rPr>
        <w:t>timing (</w:t>
      </w:r>
      <w:r w:rsidR="00CF03CC" w:rsidRPr="005463B2">
        <w:rPr>
          <w:rFonts w:ascii="Garamond" w:hAnsi="Garamond"/>
        </w:rPr>
        <w:t>i.e. early returning vs late returning</w:t>
      </w:r>
      <w:r w:rsidR="006D6AEE" w:rsidRPr="005463B2">
        <w:rPr>
          <w:rFonts w:ascii="Garamond" w:hAnsi="Garamond"/>
        </w:rPr>
        <w:t>) or duration (</w:t>
      </w:r>
      <w:r w:rsidR="001419E1" w:rsidRPr="005463B2">
        <w:rPr>
          <w:rFonts w:ascii="Garamond" w:hAnsi="Garamond"/>
        </w:rPr>
        <w:t xml:space="preserve">protracted </w:t>
      </w:r>
      <w:r w:rsidR="00CF03CC" w:rsidRPr="005463B2">
        <w:rPr>
          <w:rFonts w:ascii="Garamond" w:hAnsi="Garamond"/>
        </w:rPr>
        <w:t xml:space="preserve">vs </w:t>
      </w:r>
      <w:r w:rsidR="00470C70" w:rsidRPr="005463B2">
        <w:rPr>
          <w:rFonts w:ascii="Garamond" w:hAnsi="Garamond"/>
        </w:rPr>
        <w:t xml:space="preserve">extended) </w:t>
      </w:r>
      <w:r w:rsidR="006D6AEE" w:rsidRPr="005463B2">
        <w:rPr>
          <w:rFonts w:ascii="Garamond" w:hAnsi="Garamond"/>
        </w:rPr>
        <w:t xml:space="preserve">of the run. </w:t>
      </w:r>
    </w:p>
    <w:p w14:paraId="425125A7" w14:textId="3D2EEC4D" w:rsidR="00397FF6" w:rsidRPr="005463B2" w:rsidRDefault="00397FF6" w:rsidP="006D6AEE">
      <w:pPr>
        <w:pStyle w:val="whitespace-normal"/>
        <w:spacing w:line="480" w:lineRule="auto"/>
        <w:rPr>
          <w:rFonts w:ascii="Garamond" w:hAnsi="Garamond"/>
        </w:rPr>
      </w:pPr>
      <w:r w:rsidRPr="005463B2">
        <w:rPr>
          <w:rFonts w:ascii="Garamond" w:hAnsi="Garamond"/>
          <w:b/>
          <w:bCs/>
        </w:rPr>
        <w:t xml:space="preserve">Front end closure protections </w:t>
      </w:r>
    </w:p>
    <w:p w14:paraId="67527FF1" w14:textId="5635D073" w:rsidR="00966E61" w:rsidRPr="005463B2" w:rsidRDefault="00881286" w:rsidP="00881286">
      <w:pPr>
        <w:pStyle w:val="whitespace-normal"/>
        <w:spacing w:line="480" w:lineRule="auto"/>
        <w:ind w:firstLine="720"/>
        <w:rPr>
          <w:rFonts w:ascii="Garamond" w:hAnsi="Garamond"/>
        </w:rPr>
      </w:pPr>
      <w:r w:rsidRPr="005463B2">
        <w:rPr>
          <w:rFonts w:ascii="Garamond" w:hAnsi="Garamond"/>
        </w:rPr>
        <w:t>E</w:t>
      </w:r>
      <w:r w:rsidR="00470C70" w:rsidRPr="005463B2">
        <w:rPr>
          <w:rFonts w:ascii="Garamond" w:hAnsi="Garamond"/>
        </w:rPr>
        <w:t>arly returning upper Kuskokwim stocks</w:t>
      </w:r>
      <w:r w:rsidRPr="005463B2">
        <w:rPr>
          <w:rFonts w:ascii="Garamond" w:hAnsi="Garamond"/>
        </w:rPr>
        <w:t xml:space="preserve"> are</w:t>
      </w:r>
      <w:r w:rsidR="00470C70" w:rsidRPr="005463B2">
        <w:rPr>
          <w:rFonts w:ascii="Garamond" w:hAnsi="Garamond"/>
        </w:rPr>
        <w:t xml:space="preserve"> clearly </w:t>
      </w:r>
      <w:r w:rsidR="004F324B" w:rsidRPr="005463B2">
        <w:rPr>
          <w:rFonts w:ascii="Garamond" w:hAnsi="Garamond"/>
        </w:rPr>
        <w:t xml:space="preserve">afforded </w:t>
      </w:r>
      <w:r w:rsidR="00470C70" w:rsidRPr="005463B2">
        <w:rPr>
          <w:rFonts w:ascii="Garamond" w:hAnsi="Garamond"/>
        </w:rPr>
        <w:t>higher protection</w:t>
      </w:r>
      <w:r w:rsidRPr="005463B2">
        <w:rPr>
          <w:rFonts w:ascii="Garamond" w:hAnsi="Garamond"/>
        </w:rPr>
        <w:t xml:space="preserve"> by the implementation of a front-end closure</w:t>
      </w:r>
      <w:r w:rsidR="004F324B" w:rsidRPr="005463B2">
        <w:rPr>
          <w:rFonts w:ascii="Garamond" w:hAnsi="Garamond"/>
        </w:rPr>
        <w:t xml:space="preserve"> management strategy</w:t>
      </w:r>
      <w:r w:rsidRPr="005463B2">
        <w:rPr>
          <w:rFonts w:ascii="Garamond" w:hAnsi="Garamond"/>
        </w:rPr>
        <w:t xml:space="preserve">. </w:t>
      </w:r>
      <w:r w:rsidR="00470C70" w:rsidRPr="005463B2">
        <w:rPr>
          <w:rFonts w:ascii="Garamond" w:hAnsi="Garamond"/>
        </w:rPr>
        <w:t xml:space="preserve">Nearly all stocks upstream of Swift River received median protection &gt;10% of the total stock contribution across all years of our dataset, with several notable </w:t>
      </w:r>
      <w:r w:rsidR="00A234BB" w:rsidRPr="005463B2">
        <w:rPr>
          <w:rFonts w:ascii="Garamond" w:hAnsi="Garamond"/>
        </w:rPr>
        <w:t>outliers</w:t>
      </w:r>
      <w:r w:rsidRPr="005463B2">
        <w:rPr>
          <w:rFonts w:ascii="Garamond" w:hAnsi="Garamond"/>
        </w:rPr>
        <w:t xml:space="preserve"> </w:t>
      </w:r>
      <w:proofErr w:type="gramStart"/>
      <w:r w:rsidRPr="005463B2">
        <w:rPr>
          <w:rFonts w:ascii="Garamond" w:hAnsi="Garamond"/>
        </w:rPr>
        <w:t>(</w:t>
      </w:r>
      <w:r w:rsidR="00470C70" w:rsidRPr="005463B2">
        <w:rPr>
          <w:rFonts w:ascii="Garamond" w:hAnsi="Garamond"/>
        </w:rPr>
        <w:t xml:space="preserve"> &gt;</w:t>
      </w:r>
      <w:proofErr w:type="gramEnd"/>
      <w:r w:rsidR="00470C70" w:rsidRPr="005463B2">
        <w:rPr>
          <w:rFonts w:ascii="Garamond" w:hAnsi="Garamond"/>
        </w:rPr>
        <w:t>30% protection</w:t>
      </w:r>
      <w:r w:rsidRPr="005463B2">
        <w:rPr>
          <w:rFonts w:ascii="Garamond" w:hAnsi="Garamond"/>
        </w:rPr>
        <w:t>)</w:t>
      </w:r>
      <w:r w:rsidR="00470C70" w:rsidRPr="005463B2">
        <w:rPr>
          <w:rFonts w:ascii="Garamond" w:hAnsi="Garamond"/>
        </w:rPr>
        <w:t xml:space="preserve"> in some years. An exception is the </w:t>
      </w:r>
      <w:proofErr w:type="spellStart"/>
      <w:r w:rsidR="00470C70" w:rsidRPr="005463B2">
        <w:rPr>
          <w:rFonts w:ascii="Garamond" w:hAnsi="Garamond"/>
        </w:rPr>
        <w:t>Takotna</w:t>
      </w:r>
      <w:proofErr w:type="spellEnd"/>
      <w:r w:rsidR="00470C70" w:rsidRPr="005463B2">
        <w:rPr>
          <w:rFonts w:ascii="Garamond" w:hAnsi="Garamond"/>
        </w:rPr>
        <w:t xml:space="preserve"> river and Nixon Fork stock, which received a median protection of only 6.6%. Several stocks which contribute only minimally to the overall run are afforded significant protection. For example, </w:t>
      </w:r>
      <w:r w:rsidR="00470C70" w:rsidRPr="005463B2">
        <w:rPr>
          <w:rFonts w:ascii="Garamond" w:hAnsi="Garamond"/>
        </w:rPr>
        <w:lastRenderedPageBreak/>
        <w:t>although the East Fork Kuskokwim contributes minimally to the total run</w:t>
      </w:r>
      <w:r w:rsidR="00DC75BB" w:rsidRPr="005463B2">
        <w:rPr>
          <w:rFonts w:ascii="Garamond" w:hAnsi="Garamond"/>
        </w:rPr>
        <w:t xml:space="preserve"> (~2-3% annually), approximately one-quarter of its total returns are protected by a front-end closure. </w:t>
      </w:r>
      <w:r w:rsidR="00470C70" w:rsidRPr="005463B2">
        <w:rPr>
          <w:rFonts w:ascii="Garamond" w:hAnsi="Garamond"/>
        </w:rPr>
        <w:t>Stocks positioned lower in the watershed received less protection due to their late</w:t>
      </w:r>
      <w:r w:rsidR="004F324B" w:rsidRPr="005463B2">
        <w:rPr>
          <w:rFonts w:ascii="Garamond" w:hAnsi="Garamond"/>
        </w:rPr>
        <w:t>r</w:t>
      </w:r>
      <w:r w:rsidR="00470C70" w:rsidRPr="005463B2">
        <w:rPr>
          <w:rFonts w:ascii="Garamond" w:hAnsi="Garamond"/>
        </w:rPr>
        <w:t xml:space="preserve"> arrival, with all stocks downstream or the Swift River receiving </w:t>
      </w:r>
      <w:r w:rsidR="00966E61" w:rsidRPr="005463B2">
        <w:rPr>
          <w:rFonts w:ascii="Garamond" w:hAnsi="Garamond"/>
        </w:rPr>
        <w:t xml:space="preserve">median protection of less than 10%. The stony and </w:t>
      </w:r>
      <w:proofErr w:type="spellStart"/>
      <w:r w:rsidR="00966E61" w:rsidRPr="005463B2">
        <w:rPr>
          <w:rFonts w:ascii="Garamond" w:hAnsi="Garamond"/>
        </w:rPr>
        <w:t>Hoholitna</w:t>
      </w:r>
      <w:proofErr w:type="spellEnd"/>
      <w:r w:rsidR="00966E61" w:rsidRPr="005463B2">
        <w:rPr>
          <w:rFonts w:ascii="Garamond" w:hAnsi="Garamond"/>
        </w:rPr>
        <w:t xml:space="preserve"> River stocks, however, contain outliers of 22.1% and 18.4%, indicating that a front</w:t>
      </w:r>
      <w:r w:rsidRPr="005463B2">
        <w:rPr>
          <w:rFonts w:ascii="Garamond" w:hAnsi="Garamond"/>
        </w:rPr>
        <w:t>-</w:t>
      </w:r>
      <w:r w:rsidR="00966E61" w:rsidRPr="005463B2">
        <w:rPr>
          <w:rFonts w:ascii="Garamond" w:hAnsi="Garamond"/>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0A61717D" w:rsidR="00F3736F" w:rsidRPr="003F1234" w:rsidRDefault="00A3396F" w:rsidP="00A3396F">
      <w:pPr>
        <w:pStyle w:val="whitespace-normal"/>
        <w:spacing w:line="480" w:lineRule="auto"/>
        <w:ind w:firstLine="720"/>
        <w:rPr>
          <w:rFonts w:ascii="Garamond" w:hAnsi="Garamond"/>
        </w:rPr>
      </w:pPr>
      <w:r w:rsidRPr="003F1234">
        <w:rPr>
          <w:rFonts w:ascii="Garamond" w:hAnsi="Garamond"/>
        </w:rPr>
        <w:t xml:space="preserve">Data which illustrate spatiotemporal patterns of ecosystem dynamics at refined spatial scales are valuable in their ability to uncover important ecosystem dynamics which are obscured by overall population trends. Here, we illustrate </w:t>
      </w:r>
      <w:r w:rsidR="00F3736F" w:rsidRPr="003F1234">
        <w:rPr>
          <w:rFonts w:ascii="Garamond" w:hAnsi="Garamond"/>
        </w:rPr>
        <w:t xml:space="preserve">spatiotemporal patterns of Chinook salmon in the Kuskokwim river-basin at a finer spatial scale and over a longer time-period than had previously been available. </w:t>
      </w:r>
      <w:r w:rsidRPr="003F1234">
        <w:rPr>
          <w:rFonts w:ascii="Garamond" w:hAnsi="Garamond"/>
        </w:rPr>
        <w:t xml:space="preserve">Our data corroborate preliminarily observed relationships between run timing and watershed position, wherein the earliest returning fish contribute to stocks in the uppermost portions of the watershed. Importantly, this pattern was consistent throughout our multi-year dataset, emphasizing the consistently of this pattern across several generations. However, significant interannual variability was observed in both the </w:t>
      </w:r>
      <w:r w:rsidR="00F3736F" w:rsidRPr="003F1234">
        <w:rPr>
          <w:rFonts w:ascii="Garamond" w:hAnsi="Garamond"/>
        </w:rPr>
        <w:t xml:space="preserve">proportional contribution </w:t>
      </w:r>
      <w:r w:rsidRPr="003F1234">
        <w:rPr>
          <w:rFonts w:ascii="Garamond" w:hAnsi="Garamond"/>
        </w:rPr>
        <w:t>of stocks to the overall run as well as small differences in</w:t>
      </w:r>
      <w:r w:rsidR="00F3736F" w:rsidRPr="003F1234">
        <w:rPr>
          <w:rFonts w:ascii="Garamond" w:hAnsi="Garamond"/>
        </w:rPr>
        <w:t xml:space="preserve"> relative</w:t>
      </w:r>
      <w:r w:rsidRPr="003F1234">
        <w:rPr>
          <w:rFonts w:ascii="Garamond" w:hAnsi="Garamond"/>
        </w:rPr>
        <w:t xml:space="preserve"> return timing</w:t>
      </w:r>
      <w:r w:rsidR="00F3736F" w:rsidRPr="003F1234">
        <w:rPr>
          <w:rFonts w:ascii="Garamond" w:hAnsi="Garamond"/>
        </w:rPr>
        <w:t>. Th</w:t>
      </w:r>
      <w:r w:rsidRPr="003F1234">
        <w:rPr>
          <w:rFonts w:ascii="Garamond" w:hAnsi="Garamond"/>
        </w:rPr>
        <w:t>e</w:t>
      </w:r>
      <w:r w:rsidR="00F3736F" w:rsidRPr="003F1234">
        <w:rPr>
          <w:rFonts w:ascii="Garamond" w:hAnsi="Garamond"/>
        </w:rPr>
        <w:t>s</w:t>
      </w:r>
      <w:r w:rsidRPr="003F1234">
        <w:rPr>
          <w:rFonts w:ascii="Garamond" w:hAnsi="Garamond"/>
        </w:rPr>
        <w:t>e</w:t>
      </w:r>
      <w:r w:rsidR="00F3736F" w:rsidRPr="003F1234">
        <w:rPr>
          <w:rFonts w:ascii="Garamond" w:hAnsi="Garamond"/>
        </w:rPr>
        <w:t xml:space="preserve"> result </w:t>
      </w:r>
      <w:r w:rsidRPr="003F1234">
        <w:rPr>
          <w:rFonts w:ascii="Garamond" w:hAnsi="Garamond"/>
        </w:rPr>
        <w:t>are</w:t>
      </w:r>
      <w:r w:rsidR="00F3736F" w:rsidRPr="003F1234">
        <w:rPr>
          <w:rFonts w:ascii="Garamond" w:hAnsi="Garamond"/>
        </w:rPr>
        <w:t xml:space="preserve"> consistent with </w:t>
      </w:r>
      <w:r w:rsidRPr="003F1234">
        <w:rPr>
          <w:rStyle w:val="Strong"/>
          <w:rFonts w:ascii="Garamond" w:eastAsiaTheme="majorEastAsia" w:hAnsi="Garamond"/>
          <w:b w:val="0"/>
          <w:bCs w:val="0"/>
        </w:rPr>
        <w:t>well-known</w:t>
      </w:r>
      <w:r w:rsidR="00F3736F" w:rsidRPr="003F1234">
        <w:rPr>
          <w:rStyle w:val="Strong"/>
          <w:rFonts w:ascii="Garamond" w:eastAsiaTheme="majorEastAsia" w:hAnsi="Garamond"/>
          <w:b w:val="0"/>
          <w:bCs w:val="0"/>
        </w:rPr>
        <w:t xml:space="preserve"> variability in salmon </w:t>
      </w:r>
      <w:r w:rsidR="00C107EA" w:rsidRPr="003F1234">
        <w:rPr>
          <w:rStyle w:val="Strong"/>
          <w:rFonts w:ascii="Garamond" w:eastAsiaTheme="majorEastAsia" w:hAnsi="Garamond"/>
          <w:b w:val="0"/>
          <w:bCs w:val="0"/>
        </w:rPr>
        <w:t xml:space="preserve">life </w:t>
      </w:r>
      <w:r w:rsidRPr="003F1234">
        <w:rPr>
          <w:rStyle w:val="Strong"/>
          <w:rFonts w:ascii="Garamond" w:eastAsiaTheme="majorEastAsia" w:hAnsi="Garamond"/>
          <w:b w:val="0"/>
          <w:bCs w:val="0"/>
        </w:rPr>
        <w:t>histories and</w:t>
      </w:r>
      <w:r w:rsidR="00F3736F" w:rsidRPr="003F1234">
        <w:rPr>
          <w:rFonts w:ascii="Garamond" w:hAnsi="Garamond"/>
        </w:rPr>
        <w:t xml:space="preserve"> further </w:t>
      </w:r>
      <w:r w:rsidR="00C107EA" w:rsidRPr="003F1234">
        <w:rPr>
          <w:rFonts w:ascii="Garamond" w:hAnsi="Garamond"/>
        </w:rPr>
        <w:t>corroborate</w:t>
      </w:r>
      <w:r w:rsidRPr="003F1234">
        <w:rPr>
          <w:rFonts w:ascii="Garamond" w:hAnsi="Garamond"/>
        </w:rPr>
        <w:t xml:space="preserve"> documented patterns of shifting habitat use and relative contribution of sub-basin components at annual timescales</w:t>
      </w:r>
      <w:r w:rsidR="00F3736F" w:rsidRPr="003F1234">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{"citationID":"IspQSUXO","properties":{"formattedCitation":"(Brennan, Schindler, et al., 2019)","plainCitation":"(Brennan, Schindler,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sidR="007E1736">
        <w:rPr>
          <w:rFonts w:ascii="Garamond" w:hAnsi="Garamond"/>
        </w:rPr>
        <w:fldChar w:fldCharType="separate"/>
      </w:r>
      <w:r w:rsidR="007E1736">
        <w:rPr>
          <w:rFonts w:ascii="Garamond" w:hAnsi="Garamond"/>
          <w:noProof/>
        </w:rPr>
        <w:t>(Brennan, Schindler, et al., 2019)</w:t>
      </w:r>
      <w:r w:rsidR="007E1736">
        <w:rPr>
          <w:rFonts w:ascii="Garamond" w:hAnsi="Garamond"/>
        </w:rPr>
        <w:fldChar w:fldCharType="end"/>
      </w:r>
      <w:r w:rsidR="007E1736">
        <w:rPr>
          <w:rFonts w:ascii="Garamond" w:hAnsi="Garamond"/>
        </w:rPr>
        <w:t xml:space="preserve">. </w:t>
      </w:r>
    </w:p>
    <w:p w14:paraId="476F8195" w14:textId="77777777" w:rsidR="00450ED3" w:rsidRPr="003F1234" w:rsidRDefault="00A3396F" w:rsidP="00450ED3">
      <w:pPr>
        <w:pStyle w:val="whitespace-normal"/>
        <w:spacing w:line="480" w:lineRule="auto"/>
        <w:ind w:firstLine="720"/>
        <w:rPr>
          <w:rStyle w:val="Strong"/>
          <w:rFonts w:ascii="Garamond" w:eastAsiaTheme="majorEastAsia" w:hAnsi="Garamond"/>
          <w:b w:val="0"/>
          <w:bCs w:val="0"/>
        </w:rPr>
      </w:pPr>
      <w:r w:rsidRPr="003F1234">
        <w:rPr>
          <w:rStyle w:val="Strong"/>
          <w:rFonts w:ascii="Garamond" w:eastAsiaTheme="majorEastAsia" w:hAnsi="Garamond"/>
          <w:b w:val="0"/>
          <w:bCs w:val="0"/>
        </w:rPr>
        <w:t>A</w:t>
      </w:r>
      <w:r w:rsidR="00F3736F" w:rsidRPr="003F1234">
        <w:rPr>
          <w:rStyle w:val="Strong"/>
          <w:rFonts w:ascii="Garamond" w:eastAsiaTheme="majorEastAsia" w:hAnsi="Garamond"/>
          <w:b w:val="0"/>
          <w:bCs w:val="0"/>
        </w:rPr>
        <w:t xml:space="preserve"> clear pattern of early-returning upriver stocks supports</w:t>
      </w:r>
      <w:r w:rsidR="00F3736F" w:rsidRPr="003F1234">
        <w:rPr>
          <w:rFonts w:ascii="Garamond" w:hAnsi="Garamond"/>
        </w:rPr>
        <w:t xml:space="preserve"> the front-end closure's goal of protecting </w:t>
      </w:r>
      <w:r w:rsidRPr="003F1234">
        <w:rPr>
          <w:rFonts w:ascii="Garamond" w:hAnsi="Garamond"/>
        </w:rPr>
        <w:t>these</w:t>
      </w:r>
      <w:r w:rsidR="00F3736F" w:rsidRPr="003F1234">
        <w:rPr>
          <w:rFonts w:ascii="Garamond" w:hAnsi="Garamond"/>
        </w:rPr>
        <w:t xml:space="preserve"> stocks from over-harvest</w:t>
      </w:r>
      <w:r w:rsidRPr="003F1234">
        <w:rPr>
          <w:rFonts w:ascii="Garamond" w:hAnsi="Garamond"/>
        </w:rPr>
        <w:t xml:space="preserve"> and providing opportunity for subsistence fishers at the uppermost portions of the watershed harvest opportunities. Upper Kuskokwim stocks not only </w:t>
      </w:r>
      <w:r w:rsidRPr="003F1234">
        <w:rPr>
          <w:rFonts w:ascii="Garamond" w:hAnsi="Garamond"/>
        </w:rPr>
        <w:lastRenderedPageBreak/>
        <w:t xml:space="preserve">comprised a substantial proportion of early season </w:t>
      </w:r>
      <w:r w:rsidR="00450ED3" w:rsidRPr="003F1234">
        <w:rPr>
          <w:rFonts w:ascii="Garamond" w:hAnsi="Garamond"/>
        </w:rPr>
        <w:t xml:space="preserve">runs but also displayed early return timing independent of their overall run contribution. </w:t>
      </w:r>
      <w:r w:rsidR="0004196B" w:rsidRPr="003F1234">
        <w:rPr>
          <w:rFonts w:ascii="Garamond" w:hAnsi="Garamond"/>
        </w:rPr>
        <w:t>For example,</w:t>
      </w:r>
      <w:r w:rsidR="0004196B" w:rsidRPr="003F1234">
        <w:rPr>
          <w:rFonts w:ascii="Garamond" w:hAnsi="Garamond"/>
          <w:b/>
          <w:bCs/>
        </w:rPr>
        <w:t xml:space="preserve"> </w:t>
      </w:r>
      <w:r w:rsidR="0004196B" w:rsidRPr="003F1234">
        <w:rPr>
          <w:rStyle w:val="Strong"/>
          <w:rFonts w:ascii="Garamond" w:eastAsiaTheme="majorEastAsia" w:hAnsi="Garamond"/>
          <w:b w:val="0"/>
          <w:bCs w:val="0"/>
        </w:rPr>
        <w:t>the North Fork and East Fork Kuskokwim River</w:t>
      </w:r>
      <w:r w:rsidR="00450ED3" w:rsidRPr="003F1234">
        <w:rPr>
          <w:rStyle w:val="Strong"/>
          <w:rFonts w:ascii="Garamond" w:eastAsiaTheme="majorEastAsia" w:hAnsi="Garamond"/>
          <w:b w:val="0"/>
          <w:bCs w:val="0"/>
        </w:rPr>
        <w:t xml:space="preserve"> stocks</w:t>
      </w:r>
      <w:r w:rsidR="0004196B" w:rsidRPr="003F1234">
        <w:rPr>
          <w:rStyle w:val="Strong"/>
          <w:rFonts w:ascii="Garamond" w:eastAsiaTheme="majorEastAsia" w:hAnsi="Garamond"/>
          <w:b w:val="0"/>
          <w:bCs w:val="0"/>
        </w:rPr>
        <w:t xml:space="preserve"> represented &lt;2% of the total run in Q1 but received significant protection </w:t>
      </w:r>
      <w:r w:rsidR="00450ED3" w:rsidRPr="003F1234">
        <w:rPr>
          <w:rStyle w:val="Strong"/>
          <w:rFonts w:ascii="Garamond" w:eastAsiaTheme="majorEastAsia" w:hAnsi="Garamond"/>
          <w:b w:val="0"/>
          <w:bCs w:val="0"/>
        </w:rPr>
        <w:t>as a proportion of their overall contribution</w:t>
      </w:r>
      <w:r w:rsidR="0004196B" w:rsidRPr="003F1234">
        <w:rPr>
          <w:rStyle w:val="Strong"/>
          <w:rFonts w:ascii="Garamond" w:eastAsiaTheme="majorEastAsia" w:hAnsi="Garamond"/>
          <w:b w:val="0"/>
          <w:bCs w:val="0"/>
        </w:rPr>
        <w:t xml:space="preserve">. </w:t>
      </w:r>
      <w:r w:rsidR="00450ED3" w:rsidRPr="003F1234">
        <w:rPr>
          <w:rStyle w:val="Strong"/>
          <w:rFonts w:ascii="Garamond" w:eastAsiaTheme="majorEastAsia" w:hAnsi="Garamond"/>
          <w:b w:val="0"/>
          <w:bCs w:val="0"/>
        </w:rPr>
        <w:t xml:space="preserve">Given the potential for changes to the relative production of stocks under shifting environmental conditions, these results suggest that the front-end closure strategy maintains biodiversity across the full stock complex in the upper Kuskokwim, regardless of the overall contribution. </w:t>
      </w:r>
    </w:p>
    <w:p w14:paraId="032C5617" w14:textId="7189A44A" w:rsidR="009B24AC" w:rsidRPr="003F1234" w:rsidRDefault="002C1C99" w:rsidP="00450ED3">
      <w:pPr>
        <w:pStyle w:val="whitespace-normal"/>
        <w:spacing w:line="480" w:lineRule="auto"/>
        <w:ind w:firstLine="720"/>
        <w:rPr>
          <w:rFonts w:ascii="Garamond" w:hAnsi="Garamond"/>
        </w:rPr>
      </w:pPr>
      <w:r w:rsidRPr="003F1234">
        <w:rPr>
          <w:rFonts w:ascii="Garamond" w:hAnsi="Garamond"/>
        </w:rPr>
        <w:t>Despite</w:t>
      </w:r>
      <w:r w:rsidR="00C107EA" w:rsidRPr="003F1234">
        <w:rPr>
          <w:rFonts w:ascii="Garamond" w:hAnsi="Garamond"/>
        </w:rPr>
        <w:t xml:space="preserve"> a </w:t>
      </w:r>
      <w:r w:rsidR="00450ED3" w:rsidRPr="003F1234">
        <w:rPr>
          <w:rFonts w:ascii="Garamond" w:hAnsi="Garamond"/>
        </w:rPr>
        <w:t xml:space="preserve">clear and consistent </w:t>
      </w:r>
      <w:r w:rsidR="00C107EA" w:rsidRPr="003F1234">
        <w:rPr>
          <w:rFonts w:ascii="Garamond" w:hAnsi="Garamond"/>
        </w:rPr>
        <w:t>pattern of</w:t>
      </w:r>
      <w:r w:rsidR="00BF0C62" w:rsidRPr="003F1234">
        <w:rPr>
          <w:rFonts w:ascii="Garamond" w:hAnsi="Garamond"/>
        </w:rPr>
        <w:t xml:space="preserve"> higher</w:t>
      </w:r>
      <w:r w:rsidRPr="003F1234">
        <w:rPr>
          <w:rFonts w:ascii="Garamond" w:hAnsi="Garamond"/>
        </w:rPr>
        <w:t xml:space="preserve"> average protection afforded </w:t>
      </w:r>
      <w:r w:rsidR="0013324E" w:rsidRPr="003F1234">
        <w:rPr>
          <w:rFonts w:ascii="Garamond" w:hAnsi="Garamond"/>
        </w:rPr>
        <w:t>to upper watershed stocks</w:t>
      </w:r>
      <w:r w:rsidR="00450ED3" w:rsidRPr="003F1234">
        <w:rPr>
          <w:rFonts w:ascii="Garamond" w:hAnsi="Garamond"/>
        </w:rPr>
        <w:t xml:space="preserve"> from the front-end closure</w:t>
      </w:r>
      <w:r w:rsidR="0013324E" w:rsidRPr="003F1234">
        <w:rPr>
          <w:rFonts w:ascii="Garamond" w:hAnsi="Garamond"/>
        </w:rPr>
        <w:t xml:space="preserve">, the range </w:t>
      </w:r>
      <w:r w:rsidR="00450ED3" w:rsidRPr="003F1234">
        <w:rPr>
          <w:rFonts w:ascii="Garamond" w:hAnsi="Garamond"/>
        </w:rPr>
        <w:t xml:space="preserve">in protection </w:t>
      </w:r>
      <w:r w:rsidR="00C107EA" w:rsidRPr="003F1234">
        <w:rPr>
          <w:rFonts w:ascii="Garamond" w:hAnsi="Garamond"/>
        </w:rPr>
        <w:t xml:space="preserve">across </w:t>
      </w:r>
      <w:r w:rsidR="0013324E" w:rsidRPr="003F1234">
        <w:rPr>
          <w:rFonts w:ascii="Garamond" w:hAnsi="Garamond"/>
        </w:rPr>
        <w:t>our dataset is notable</w:t>
      </w:r>
      <w:r w:rsidR="00C107EA" w:rsidRPr="003F1234">
        <w:rPr>
          <w:rFonts w:ascii="Garamond" w:hAnsi="Garamond"/>
        </w:rPr>
        <w:t xml:space="preserve"> across all stocks</w:t>
      </w:r>
      <w:r w:rsidR="0013324E" w:rsidRPr="003F1234">
        <w:rPr>
          <w:rFonts w:ascii="Garamond" w:hAnsi="Garamond"/>
        </w:rPr>
        <w:t xml:space="preserve"> (Figure 5). </w:t>
      </w:r>
      <w:r w:rsidR="00BF0C62" w:rsidRPr="003F1234">
        <w:rPr>
          <w:rFonts w:ascii="Garamond" w:hAnsi="Garamond"/>
        </w:rPr>
        <w:t>Although the closure operates on a fixed date, return timing is variable among year</w:t>
      </w:r>
      <w:r w:rsidR="0013324E" w:rsidRPr="003F1234">
        <w:rPr>
          <w:rFonts w:ascii="Garamond" w:hAnsi="Garamond"/>
        </w:rPr>
        <w:t>s and t</w:t>
      </w:r>
      <w:r w:rsidR="00BF0C62" w:rsidRPr="003F1234">
        <w:rPr>
          <w:rFonts w:ascii="Garamond" w:hAnsi="Garamond"/>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sidRPr="003F1234">
        <w:rPr>
          <w:rFonts w:ascii="Garamond" w:hAnsi="Garamond"/>
        </w:rPr>
        <w:t>a</w:t>
      </w:r>
      <w:r w:rsidR="00BF0C62" w:rsidRPr="003F1234">
        <w:rPr>
          <w:rFonts w:ascii="Garamond" w:hAnsi="Garamond"/>
        </w:rPr>
        <w:t>red to earlier returning and more protracted run timing. As a result,</w:t>
      </w:r>
      <w:r w:rsidR="0013324E" w:rsidRPr="003F1234">
        <w:rPr>
          <w:rFonts w:ascii="Garamond" w:hAnsi="Garamond"/>
        </w:rPr>
        <w:t xml:space="preserve"> both the amount </w:t>
      </w:r>
      <w:r w:rsidR="00450ED3" w:rsidRPr="003F1234">
        <w:rPr>
          <w:rFonts w:ascii="Garamond" w:hAnsi="Garamond"/>
        </w:rPr>
        <w:t xml:space="preserve">and </w:t>
      </w:r>
      <w:r w:rsidR="0004196B" w:rsidRPr="003F1234">
        <w:rPr>
          <w:rFonts w:ascii="Garamond" w:hAnsi="Garamond"/>
        </w:rPr>
        <w:t>distribution</w:t>
      </w:r>
      <w:r w:rsidR="0013324E" w:rsidRPr="003F1234">
        <w:rPr>
          <w:rFonts w:ascii="Garamond" w:hAnsi="Garamond"/>
        </w:rPr>
        <w:t xml:space="preserve"> of stocks afforded protection depend on the interaction between run dynamics and the timing of the closure. </w:t>
      </w:r>
      <w:r w:rsidR="0004196B" w:rsidRPr="003F1234">
        <w:rPr>
          <w:rFonts w:ascii="Garamond" w:hAnsi="Garamond"/>
        </w:rPr>
        <w:t>These results suggest a potential limitation of a fixed date closure</w:t>
      </w:r>
      <w:r w:rsidR="00450ED3" w:rsidRPr="003F1234">
        <w:rPr>
          <w:rFonts w:ascii="Garamond" w:hAnsi="Garamond"/>
        </w:rPr>
        <w:t xml:space="preserve"> and </w:t>
      </w:r>
      <w:r w:rsidR="0004196B" w:rsidRPr="003F1234">
        <w:rPr>
          <w:rFonts w:ascii="Garamond" w:hAnsi="Garamond"/>
        </w:rPr>
        <w:t>highlight</w:t>
      </w:r>
      <w:r w:rsidR="00450ED3" w:rsidRPr="003F1234">
        <w:rPr>
          <w:rFonts w:ascii="Garamond" w:hAnsi="Garamond"/>
        </w:rPr>
        <w:t>s</w:t>
      </w:r>
      <w:r w:rsidR="0004196B" w:rsidRPr="003F1234">
        <w:rPr>
          <w:rFonts w:ascii="Garamond" w:hAnsi="Garamond"/>
        </w:rPr>
        <w:t xml:space="preserve"> the difficulty of managing for dynamic ecosystem with fixed duration management. A more dynamic closure which is responsive to predicted or observed run dynamics may provide more consistent protection to upstream stocks. </w:t>
      </w:r>
      <w:r w:rsidR="00551911" w:rsidRPr="003F1234">
        <w:rPr>
          <w:rFonts w:ascii="Garamond" w:hAnsi="Garamond"/>
        </w:rPr>
        <w:t>However, assessing stock-specific run strength in-season is currently not possible.</w:t>
      </w:r>
    </w:p>
    <w:p w14:paraId="5003A478" w14:textId="074C2A85" w:rsidR="003F1234" w:rsidRPr="003F1234" w:rsidRDefault="003F1234" w:rsidP="00CC7CEE">
      <w:pPr>
        <w:pStyle w:val="whitespace-normal"/>
        <w:spacing w:line="480" w:lineRule="auto"/>
        <w:ind w:firstLine="720"/>
        <w:rPr>
          <w:rFonts w:ascii="Garamond" w:hAnsi="Garamond"/>
        </w:rPr>
      </w:pPr>
      <w:r w:rsidRPr="003F1234">
        <w:rPr>
          <w:rFonts w:ascii="Garamond" w:hAnsi="Garamond"/>
        </w:rPr>
        <w:t xml:space="preserve">Protecting upper Kuskokwim stocks through front-end closures appears to be a valid strategy for maintaining biodiversity across the river basin while ensuring basin-wide escapement goals and harvest opportunities. However, this method may be limited in its ability to provide </w:t>
      </w:r>
      <w:r w:rsidRPr="003F1234">
        <w:rPr>
          <w:rFonts w:ascii="Garamond" w:hAnsi="Garamond"/>
        </w:rPr>
        <w:lastRenderedPageBreak/>
        <w:t>targeted protection for individual stocks, given both the overall run dynamics and interannual variability in production and timing among stocks. Moreover, the efficacy of front-end closures for maintaining basin-wide stock diversity depends on interactions between the closure timing and the spatiotemporal dynamics of the run, as well as fishery dynamics after the closure ends. For example, protecting a large proportion of upstream stocks may negatively impact weak downstream stocks that could face increased fishing pressure, particularly during years with contracted runs or exceptionally strong early-season returns. Consequently, the efficacy of management strategies such as front-end closures must be assessed alongside the full suite of ecosystem and fishery dynamics to fully understand their effects on maintaining basin-wide biodiversity.</w:t>
      </w:r>
    </w:p>
    <w:p w14:paraId="3A0C8356" w14:textId="6D0A8E16" w:rsidR="004F0E72" w:rsidRPr="003F1234" w:rsidRDefault="00E46D9E" w:rsidP="00CC7CEE">
      <w:pPr>
        <w:pStyle w:val="whitespace-normal"/>
        <w:spacing w:line="480" w:lineRule="auto"/>
        <w:ind w:firstLine="720"/>
      </w:pPr>
      <w:r w:rsidRPr="003F1234">
        <w:rPr>
          <w:rFonts w:ascii="Garamond" w:hAnsi="Garamond"/>
        </w:rPr>
        <w:t>The accuracy of otolith-based methods has not been explicitly validated in the Kuskokwim River Basin; however, they have demonstrated high assignment accuracy for Pacific salmon in similar Alaska watersheds</w:t>
      </w:r>
      <w:r w:rsidR="00450ED3" w:rsidRPr="003F1234">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{"citationID":"tvE9voRc","properties":{"formattedCitation":"(Brennan et al., 2015)","plainCitation":"(Brennan et al., 2015)","noteIndex":0},"citationItems":[{"id":"qdfHghSJ/KSW9LWYv","uris":["http://zotero.org/users/8421274/items/IY3FLHLM"],"itemData":{"id":"qdfHghSJ/KSW9LWYv","type":"article-journal","abstract":"Strontium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sidR="007E1736">
        <w:rPr>
          <w:rFonts w:ascii="Garamond" w:hAnsi="Garamond"/>
        </w:rPr>
        <w:fldChar w:fldCharType="separate"/>
      </w:r>
      <w:r w:rsidR="007E1736">
        <w:rPr>
          <w:rFonts w:ascii="Garamond" w:hAnsi="Garamond"/>
          <w:noProof/>
        </w:rPr>
        <w:t>(Brennan et al., 2015)</w:t>
      </w:r>
      <w:r w:rsidR="007E1736">
        <w:rPr>
          <w:rFonts w:ascii="Garamond" w:hAnsi="Garamond"/>
        </w:rPr>
        <w:fldChar w:fldCharType="end"/>
      </w:r>
      <w:r w:rsidR="007E1736">
        <w:rPr>
          <w:rFonts w:ascii="Garamond" w:hAnsi="Garamond"/>
        </w:rPr>
        <w:t xml:space="preserve">. </w:t>
      </w:r>
      <w:r w:rsidRPr="003F1234">
        <w:rPr>
          <w:rFonts w:ascii="Garamond" w:hAnsi="Garamond"/>
        </w:rPr>
        <w:t>Although these methods contain some limitations for direct management (i.e. turnaround time</w:t>
      </w:r>
      <w:r w:rsidR="00C107EA" w:rsidRPr="003F1234">
        <w:rPr>
          <w:rFonts w:ascii="Garamond" w:hAnsi="Garamond"/>
        </w:rPr>
        <w:t xml:space="preserve"> for in-season management</w:t>
      </w:r>
      <w:r w:rsidRPr="003F1234">
        <w:rPr>
          <w:rFonts w:ascii="Garamond" w:hAnsi="Garamond"/>
        </w:rPr>
        <w:t xml:space="preserve">), </w:t>
      </w:r>
      <w:r w:rsidRPr="003F1234">
        <w:rPr>
          <w:rStyle w:val="Strong"/>
          <w:rFonts w:ascii="Garamond" w:eastAsiaTheme="majorEastAsia" w:hAnsi="Garamond"/>
          <w:b w:val="0"/>
          <w:bCs w:val="0"/>
        </w:rPr>
        <w:t xml:space="preserve">tools that enable reconstruction of stock specific spatiotemporal patterns in remote ecosystems allow for </w:t>
      </w:r>
      <w:r w:rsidR="00C107EA" w:rsidRPr="003F1234">
        <w:rPr>
          <w:rStyle w:val="Strong"/>
          <w:rFonts w:ascii="Garamond" w:eastAsiaTheme="majorEastAsia" w:hAnsi="Garamond"/>
          <w:b w:val="0"/>
          <w:bCs w:val="0"/>
        </w:rPr>
        <w:t xml:space="preserve">an explicit </w:t>
      </w:r>
      <w:r w:rsidRPr="003F1234">
        <w:rPr>
          <w:rStyle w:val="Strong"/>
          <w:rFonts w:ascii="Garamond" w:eastAsiaTheme="majorEastAsia" w:hAnsi="Garamond"/>
          <w:b w:val="0"/>
          <w:bCs w:val="0"/>
        </w:rPr>
        <w:t>consideration of</w:t>
      </w:r>
      <w:r w:rsidR="00C107EA" w:rsidRPr="003F1234">
        <w:rPr>
          <w:rStyle w:val="Strong"/>
          <w:rFonts w:ascii="Garamond" w:eastAsiaTheme="majorEastAsia" w:hAnsi="Garamond"/>
          <w:b w:val="0"/>
          <w:bCs w:val="0"/>
        </w:rPr>
        <w:t xml:space="preserve"> existing</w:t>
      </w:r>
      <w:r w:rsidRPr="003F1234">
        <w:rPr>
          <w:rStyle w:val="Strong"/>
          <w:rFonts w:ascii="Garamond" w:eastAsiaTheme="majorEastAsia" w:hAnsi="Garamond"/>
          <w:b w:val="0"/>
          <w:bCs w:val="0"/>
        </w:rPr>
        <w:t xml:space="preserve"> intrapopulation variability into management.</w:t>
      </w:r>
      <w:r w:rsidRPr="003F1234">
        <w:rPr>
          <w:rStyle w:val="Strong"/>
          <w:rFonts w:ascii="Garamond" w:eastAsiaTheme="majorEastAsia" w:hAnsi="Garamond"/>
        </w:rPr>
        <w:t xml:space="preserve"> </w:t>
      </w:r>
      <w:r w:rsidRPr="003F1234">
        <w:rPr>
          <w:rFonts w:ascii="Garamond" w:hAnsi="Garamond"/>
        </w:rPr>
        <w:t xml:space="preserve">The data presented here demonstrate this application for stock-specific run timing in the Kuskokwim River </w:t>
      </w:r>
      <w:r w:rsidR="00C107EA" w:rsidRPr="003F1234">
        <w:rPr>
          <w:rFonts w:ascii="Garamond" w:hAnsi="Garamond"/>
        </w:rPr>
        <w:t>b</w:t>
      </w:r>
      <w:r w:rsidRPr="003F1234">
        <w:rPr>
          <w:rFonts w:ascii="Garamond" w:hAnsi="Garamond"/>
        </w:rPr>
        <w:t xml:space="preserve">asin; however, this principle can be applied to </w:t>
      </w:r>
      <w:r w:rsidRPr="003F1234">
        <w:rPr>
          <w:rStyle w:val="Strong"/>
          <w:rFonts w:ascii="Garamond" w:eastAsiaTheme="majorEastAsia" w:hAnsi="Garamond"/>
          <w:b w:val="0"/>
          <w:bCs w:val="0"/>
        </w:rPr>
        <w:t>multiple dimensions of inter- and intra-species variation which contribute to system-wide biodiversity.</w:t>
      </w:r>
      <w:r w:rsidRPr="003F1234">
        <w:rPr>
          <w:rStyle w:val="Strong"/>
          <w:rFonts w:eastAsiaTheme="majorEastAsia"/>
        </w:rPr>
        <w:t xml:space="preserve"> </w:t>
      </w:r>
      <w:r w:rsidR="00A84E4B" w:rsidRPr="003F1234">
        <w:rPr>
          <w:rFonts w:ascii="Garamond" w:hAnsi="Garamond"/>
        </w:rPr>
        <w:t xml:space="preserve">Given growing global resource needs and increased uncertainty under novel climate regimes, </w:t>
      </w:r>
      <w:r w:rsidR="00551911" w:rsidRPr="003F1234">
        <w:rPr>
          <w:rFonts w:ascii="Garamond" w:hAnsi="Garamond"/>
        </w:rPr>
        <w:t xml:space="preserve">developing </w:t>
      </w:r>
      <w:r w:rsidR="00A84E4B" w:rsidRPr="003F1234">
        <w:rPr>
          <w:rFonts w:ascii="Garamond" w:hAnsi="Garamond"/>
        </w:rPr>
        <w:t>methods to</w:t>
      </w:r>
      <w:r w:rsidR="00551911" w:rsidRPr="003F1234">
        <w:rPr>
          <w:rFonts w:ascii="Garamond" w:hAnsi="Garamond"/>
        </w:rPr>
        <w:t xml:space="preserve"> conserve</w:t>
      </w:r>
      <w:r w:rsidR="00A84E4B" w:rsidRPr="003F1234">
        <w:rPr>
          <w:rFonts w:ascii="Garamond" w:hAnsi="Garamond"/>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p>
    <w:sectPr w:rsidR="004F0E72" w:rsidRPr="003F1234" w:rsidSect="004712C9">
      <w:footerReference w:type="even" r:id="rId8"/>
      <w:footerReference w:type="default" r:id="rId9"/>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48DA6" w14:textId="77777777" w:rsidR="002C2F48" w:rsidRDefault="002C2F48">
      <w:pPr>
        <w:spacing w:after="0" w:line="240" w:lineRule="auto"/>
      </w:pPr>
      <w:r>
        <w:separator/>
      </w:r>
    </w:p>
  </w:endnote>
  <w:endnote w:type="continuationSeparator" w:id="0">
    <w:p w14:paraId="6C556D2A" w14:textId="77777777" w:rsidR="002C2F48" w:rsidRDefault="002C2F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86785" w14:textId="77777777" w:rsidR="002C2F48" w:rsidRDefault="002C2F48">
      <w:pPr>
        <w:spacing w:after="0" w:line="240" w:lineRule="auto"/>
      </w:pPr>
      <w:r>
        <w:separator/>
      </w:r>
    </w:p>
  </w:footnote>
  <w:footnote w:type="continuationSeparator" w:id="0">
    <w:p w14:paraId="54A0DDD8" w14:textId="77777777" w:rsidR="002C2F48" w:rsidRDefault="002C2F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574F7"/>
    <w:rsid w:val="0026256C"/>
    <w:rsid w:val="002811E4"/>
    <w:rsid w:val="002948A2"/>
    <w:rsid w:val="002A3FE3"/>
    <w:rsid w:val="002C1C99"/>
    <w:rsid w:val="002C21B7"/>
    <w:rsid w:val="002C2F48"/>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3F1234"/>
    <w:rsid w:val="00400CBB"/>
    <w:rsid w:val="00401EE2"/>
    <w:rsid w:val="004025DD"/>
    <w:rsid w:val="0040355B"/>
    <w:rsid w:val="00416B2E"/>
    <w:rsid w:val="00424DB6"/>
    <w:rsid w:val="004261EE"/>
    <w:rsid w:val="00442120"/>
    <w:rsid w:val="00450ED3"/>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463B2"/>
    <w:rsid w:val="00551911"/>
    <w:rsid w:val="005554D7"/>
    <w:rsid w:val="00557194"/>
    <w:rsid w:val="005805EB"/>
    <w:rsid w:val="005858F1"/>
    <w:rsid w:val="0059082A"/>
    <w:rsid w:val="005A53C9"/>
    <w:rsid w:val="005B3AB3"/>
    <w:rsid w:val="005C58CB"/>
    <w:rsid w:val="005E6A59"/>
    <w:rsid w:val="005F27E4"/>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E1736"/>
    <w:rsid w:val="007F098D"/>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17026"/>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396F"/>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013DD"/>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C7CEE"/>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2C4D"/>
    <w:rsid w:val="00DD7574"/>
    <w:rsid w:val="00DE33E0"/>
    <w:rsid w:val="00DF1D5B"/>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2480"/>
    <w:rsid w:val="00EE5153"/>
    <w:rsid w:val="00EE55A4"/>
    <w:rsid w:val="00EF1756"/>
    <w:rsid w:val="00EF5ED9"/>
    <w:rsid w:val="00EF6581"/>
    <w:rsid w:val="00EF730C"/>
    <w:rsid w:val="00F01811"/>
    <w:rsid w:val="00F02538"/>
    <w:rsid w:val="00F06D5A"/>
    <w:rsid w:val="00F2018F"/>
    <w:rsid w:val="00F20CE9"/>
    <w:rsid w:val="00F21C45"/>
    <w:rsid w:val="00F315A1"/>
    <w:rsid w:val="00F335F2"/>
    <w:rsid w:val="00F3538C"/>
    <w:rsid w:val="00F3736F"/>
    <w:rsid w:val="00F41CBE"/>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13</Pages>
  <Words>17673</Words>
  <Characters>100737</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13</cp:revision>
  <dcterms:created xsi:type="dcterms:W3CDTF">2025-09-01T17:22:00Z</dcterms:created>
  <dcterms:modified xsi:type="dcterms:W3CDTF">2025-09-08T13:32:00Z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id="qdfHghSJ"/&gt;&lt;style id="http://www.zotero.org/styles/journal-of-applied-ecology" hasBibliography="1" bibliographyStyleHasBeenSet="0"/&gt;&lt;prefs&gt;&lt;pref name="fieldType" value="Field"/&gt;&lt;/prefs&gt;&lt;/data&gt;</vt:lpwstr>
  </property>
</Properties>
</file>