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E5130" w14:textId="77777777" w:rsidR="003525FA" w:rsidRPr="001A17C1" w:rsidRDefault="003525FA" w:rsidP="003525FA">
      <w:pPr>
        <w:suppressLineNumbers/>
        <w:jc w:val="center"/>
        <w:rPr>
          <w:rFonts w:ascii="Garamond" w:hAnsi="Garamond" w:cs="Times New Roman"/>
          <w:b/>
          <w:bCs/>
          <w:sz w:val="36"/>
          <w:szCs w:val="36"/>
        </w:rPr>
      </w:pPr>
      <w:r>
        <w:rPr>
          <w:rFonts w:ascii="Garamond" w:hAnsi="Garamond" w:cs="Times New Roman"/>
          <w:b/>
          <w:bCs/>
          <w:sz w:val="36"/>
          <w:szCs w:val="36"/>
        </w:rPr>
        <w:t>Strategic fisheries closure balances harvest opportunity and stock diversity in a large Alaska river basin.</w:t>
      </w:r>
    </w:p>
    <w:p w14:paraId="5ACD91D3" w14:textId="77777777" w:rsidR="003525FA" w:rsidRPr="001A17C1" w:rsidRDefault="003525FA" w:rsidP="003525FA">
      <w:pPr>
        <w:rPr>
          <w:rFonts w:ascii="Garamond" w:hAnsi="Garamond" w:cs="Times New Roman"/>
          <w:sz w:val="28"/>
          <w:szCs w:val="28"/>
        </w:rPr>
      </w:pPr>
    </w:p>
    <w:p w14:paraId="1B60415E" w14:textId="77777777" w:rsidR="003525FA" w:rsidRPr="001A17C1" w:rsidRDefault="003525FA" w:rsidP="003525FA">
      <w:pPr>
        <w:jc w:val="center"/>
        <w:rPr>
          <w:rFonts w:ascii="Garamond" w:hAnsi="Garamond" w:cs="Times New Roman"/>
          <w:sz w:val="28"/>
          <w:szCs w:val="28"/>
        </w:rPr>
      </w:pPr>
      <w:r>
        <w:rPr>
          <w:rFonts w:ascii="Garamond" w:hAnsi="Garamond" w:cs="Times New Roman"/>
          <w:sz w:val="28"/>
          <w:szCs w:val="28"/>
          <w:vertAlign w:val="superscript"/>
        </w:rPr>
        <w:t>1</w:t>
      </w:r>
      <w:r>
        <w:rPr>
          <w:rFonts w:ascii="Garamond" w:hAnsi="Garamond" w:cs="Times New Roman"/>
          <w:sz w:val="28"/>
          <w:szCs w:val="28"/>
        </w:rPr>
        <w:t xml:space="preserve">Ben Makhlouf, </w:t>
      </w:r>
      <w:r>
        <w:rPr>
          <w:rFonts w:ascii="Garamond" w:hAnsi="Garamond" w:cs="Times New Roman"/>
          <w:sz w:val="28"/>
          <w:szCs w:val="28"/>
          <w:vertAlign w:val="superscript"/>
        </w:rPr>
        <w:t>1</w:t>
      </w:r>
      <w:r>
        <w:rPr>
          <w:rFonts w:ascii="Garamond" w:hAnsi="Garamond" w:cs="Times New Roman"/>
          <w:sz w:val="28"/>
          <w:szCs w:val="28"/>
        </w:rPr>
        <w:t xml:space="preserve">Daniel E. Schindler, </w:t>
      </w:r>
      <w:r>
        <w:rPr>
          <w:rFonts w:ascii="Garamond" w:hAnsi="Garamond" w:cs="Times New Roman"/>
          <w:sz w:val="28"/>
          <w:szCs w:val="28"/>
          <w:vertAlign w:val="superscript"/>
        </w:rPr>
        <w:t>2</w:t>
      </w:r>
      <w:r>
        <w:rPr>
          <w:rFonts w:ascii="Garamond" w:hAnsi="Garamond" w:cs="Times New Roman"/>
          <w:sz w:val="28"/>
          <w:szCs w:val="28"/>
        </w:rPr>
        <w:t xml:space="preserve">Timothy J. Cline, </w:t>
      </w:r>
      <w:r>
        <w:rPr>
          <w:rFonts w:ascii="Garamond" w:hAnsi="Garamond" w:cs="Times New Roman"/>
          <w:sz w:val="28"/>
          <w:szCs w:val="28"/>
          <w:vertAlign w:val="superscript"/>
        </w:rPr>
        <w:t>3</w:t>
      </w:r>
      <w:r>
        <w:rPr>
          <w:rFonts w:ascii="Garamond" w:hAnsi="Garamond" w:cs="Times New Roman"/>
          <w:sz w:val="28"/>
          <w:szCs w:val="28"/>
        </w:rPr>
        <w:t>Diego Fernandez,</w:t>
      </w:r>
      <w:r>
        <w:rPr>
          <w:rFonts w:ascii="Garamond" w:hAnsi="Garamond" w:cs="Times New Roman"/>
          <w:sz w:val="28"/>
          <w:szCs w:val="28"/>
          <w:vertAlign w:val="superscript"/>
        </w:rPr>
        <w:t>4</w:t>
      </w:r>
      <w:r>
        <w:rPr>
          <w:rFonts w:ascii="Garamond" w:hAnsi="Garamond" w:cs="Times New Roman"/>
          <w:sz w:val="28"/>
          <w:szCs w:val="28"/>
        </w:rPr>
        <w:t xml:space="preserve">Janessa Esquible, </w:t>
      </w:r>
      <w:r>
        <w:rPr>
          <w:rFonts w:ascii="Garamond" w:hAnsi="Garamond" w:cs="Times New Roman"/>
          <w:sz w:val="28"/>
          <w:szCs w:val="28"/>
          <w:vertAlign w:val="superscript"/>
        </w:rPr>
        <w:t>5</w:t>
      </w:r>
      <w:r>
        <w:rPr>
          <w:rFonts w:ascii="Garamond" w:hAnsi="Garamond" w:cs="Times New Roman"/>
          <w:sz w:val="28"/>
          <w:szCs w:val="28"/>
        </w:rPr>
        <w:t xml:space="preserve">Avery Hoffman </w:t>
      </w:r>
    </w:p>
    <w:p w14:paraId="56B87456" w14:textId="77777777" w:rsidR="003525FA" w:rsidRPr="001A17C1" w:rsidRDefault="003525FA" w:rsidP="003525FA">
      <w:pPr>
        <w:jc w:val="center"/>
        <w:rPr>
          <w:rFonts w:ascii="Garamond" w:hAnsi="Garamond"/>
        </w:rPr>
      </w:pPr>
    </w:p>
    <w:p w14:paraId="7D53E220" w14:textId="77777777" w:rsidR="003525FA" w:rsidRPr="001A17C1" w:rsidRDefault="003525FA" w:rsidP="003525FA">
      <w:pPr>
        <w:jc w:val="center"/>
        <w:rPr>
          <w:rFonts w:ascii="Garamond" w:hAnsi="Garamond" w:cs="Times New Roman"/>
          <w:i/>
          <w:iCs/>
        </w:rPr>
      </w:pPr>
      <w:r>
        <w:rPr>
          <w:rFonts w:ascii="Garamond" w:hAnsi="Garamond" w:cs="Times New Roman"/>
          <w:i/>
          <w:iCs/>
          <w:vertAlign w:val="superscript"/>
        </w:rPr>
        <w:t>1</w:t>
      </w:r>
      <w:r>
        <w:rPr>
          <w:rFonts w:ascii="Garamond" w:hAnsi="Garamond" w:cs="Times New Roman"/>
          <w:i/>
          <w:iCs/>
        </w:rPr>
        <w:t xml:space="preserve">University of Washington School of Aquatic and Fisheries Sciences, </w:t>
      </w:r>
      <w:r>
        <w:rPr>
          <w:rFonts w:ascii="Garamond" w:hAnsi="Garamond" w:cs="Times New Roman"/>
          <w:i/>
          <w:iCs/>
          <w:vertAlign w:val="superscript"/>
        </w:rPr>
        <w:t>2</w:t>
      </w:r>
      <w:r>
        <w:rPr>
          <w:rFonts w:ascii="Garamond" w:hAnsi="Garamond" w:cs="Times New Roman"/>
          <w:i/>
          <w:iCs/>
        </w:rPr>
        <w:t>Montana State University Department of Ecology,</w:t>
      </w:r>
      <w:r>
        <w:rPr>
          <w:rFonts w:ascii="Garamond" w:hAnsi="Garamond" w:cs="Times New Roman"/>
          <w:i/>
          <w:iCs/>
          <w:vertAlign w:val="superscript"/>
        </w:rPr>
        <w:t>3</w:t>
      </w:r>
      <w:r>
        <w:rPr>
          <w:rFonts w:ascii="Garamond" w:hAnsi="Garamond" w:cs="Times New Roman"/>
          <w:i/>
          <w:iCs/>
        </w:rPr>
        <w:t xml:space="preserve">University of Utah Department of Geology, </w:t>
      </w:r>
      <w:r>
        <w:rPr>
          <w:rFonts w:ascii="Garamond" w:hAnsi="Garamond" w:cs="Times New Roman"/>
          <w:i/>
          <w:iCs/>
          <w:vertAlign w:val="superscript"/>
        </w:rPr>
        <w:t>4</w:t>
      </w:r>
      <w:r>
        <w:rPr>
          <w:rFonts w:ascii="Garamond" w:hAnsi="Garamond" w:cs="Times New Roman"/>
          <w:i/>
          <w:iCs/>
        </w:rPr>
        <w:t>Great Lakes Fishery Commission,</w:t>
      </w:r>
      <w:r>
        <w:rPr>
          <w:rFonts w:ascii="Garamond" w:hAnsi="Garamond" w:cs="Times New Roman"/>
          <w:i/>
          <w:iCs/>
          <w:vertAlign w:val="superscript"/>
        </w:rPr>
        <w:t>5</w:t>
      </w:r>
      <w:r>
        <w:rPr>
          <w:rFonts w:ascii="Garamond" w:hAnsi="Garamond" w:cs="Times New Roman"/>
          <w:i/>
          <w:iCs/>
        </w:rPr>
        <w:t>Orutsararmiut Native Council, Natural Resources Department</w:t>
      </w:r>
    </w:p>
    <w:p w14:paraId="1616F27E" w14:textId="77777777" w:rsidR="003525FA" w:rsidRPr="001A17C1" w:rsidRDefault="003525FA" w:rsidP="003525FA">
      <w:pPr>
        <w:rPr>
          <w:rFonts w:ascii="Garamond" w:hAnsi="Garamond" w:cs="Times New Roman"/>
        </w:rPr>
      </w:pPr>
    </w:p>
    <w:p w14:paraId="71D345F0" w14:textId="00177B00" w:rsidR="005323CA" w:rsidRDefault="003525FA" w:rsidP="005323CA">
      <w:pPr>
        <w:jc w:val="center"/>
        <w:rPr>
          <w:rFonts w:ascii="Garamond" w:hAnsi="Garamond" w:cs="Times New Roman"/>
        </w:rPr>
      </w:pPr>
      <w:r>
        <w:rPr>
          <w:rFonts w:ascii="Garamond" w:hAnsi="Garamond" w:cs="Times New Roman"/>
          <w:b/>
          <w:bCs/>
        </w:rPr>
        <w:t>Corresponding Author:</w:t>
      </w:r>
      <w:r>
        <w:rPr>
          <w:rFonts w:ascii="Garamond" w:hAnsi="Garamond" w:cs="Times New Roman"/>
        </w:rPr>
        <w:t xml:space="preserve"> Ben Makhlouf, </w:t>
      </w:r>
      <w:hyperlink r:id="rId8" w:history="1">
        <w:r w:rsidR="005323CA" w:rsidRPr="006F0069">
          <w:rPr>
            <w:rStyle w:val="Hyperlink"/>
            <w:rFonts w:ascii="Garamond" w:hAnsi="Garamond" w:cs="Times New Roman"/>
          </w:rPr>
          <w:t>bmak29@uw.edu</w:t>
        </w:r>
      </w:hyperlink>
    </w:p>
    <w:p w14:paraId="50920FF1" w14:textId="68B6B223" w:rsidR="005323CA" w:rsidRPr="001A17C1" w:rsidRDefault="005323CA" w:rsidP="00A844A4">
      <w:pPr>
        <w:jc w:val="center"/>
        <w:rPr>
          <w:rFonts w:ascii="Garamond" w:hAnsi="Garamond" w:cs="Times New Roman"/>
        </w:rPr>
      </w:pPr>
      <w:r w:rsidRPr="005323CA">
        <w:rPr>
          <w:rFonts w:ascii="Garamond" w:hAnsi="Garamond" w:cs="Times New Roman"/>
          <w:b/>
          <w:bCs/>
        </w:rPr>
        <w:t>Conflict of interest statement:</w:t>
      </w:r>
      <w:r>
        <w:rPr>
          <w:rFonts w:ascii="Garamond" w:hAnsi="Garamond" w:cs="Times New Roman"/>
        </w:rPr>
        <w:t xml:space="preserve"> The authors declare there is no conflict of interest </w:t>
      </w:r>
    </w:p>
    <w:p w14:paraId="2DE0C705" w14:textId="77777777" w:rsidR="003525FA" w:rsidRDefault="003525FA" w:rsidP="0017389D">
      <w:pPr>
        <w:suppressLineNumbers/>
        <w:jc w:val="center"/>
        <w:rPr>
          <w:rFonts w:ascii="Garamond" w:hAnsi="Garamond" w:cs="Times New Roman"/>
          <w:b/>
          <w:bCs/>
          <w:sz w:val="40"/>
          <w:szCs w:val="40"/>
        </w:rPr>
      </w:pPr>
    </w:p>
    <w:p w14:paraId="276639A8" w14:textId="77777777" w:rsidR="003525FA" w:rsidRDefault="003525FA" w:rsidP="0017389D">
      <w:pPr>
        <w:suppressLineNumbers/>
        <w:jc w:val="center"/>
        <w:rPr>
          <w:rFonts w:ascii="Garamond" w:hAnsi="Garamond" w:cs="Times New Roman"/>
          <w:b/>
          <w:bCs/>
          <w:sz w:val="40"/>
          <w:szCs w:val="40"/>
        </w:rPr>
      </w:pPr>
    </w:p>
    <w:p w14:paraId="46651501" w14:textId="77777777" w:rsidR="003525FA" w:rsidRDefault="003525FA" w:rsidP="0017389D">
      <w:pPr>
        <w:suppressLineNumbers/>
        <w:jc w:val="center"/>
        <w:rPr>
          <w:rFonts w:ascii="Garamond" w:hAnsi="Garamond" w:cs="Times New Roman"/>
          <w:b/>
          <w:bCs/>
          <w:sz w:val="40"/>
          <w:szCs w:val="40"/>
        </w:rPr>
      </w:pPr>
    </w:p>
    <w:p w14:paraId="4CF20524" w14:textId="77777777" w:rsidR="003525FA" w:rsidRDefault="003525FA" w:rsidP="0017389D">
      <w:pPr>
        <w:suppressLineNumbers/>
        <w:jc w:val="center"/>
        <w:rPr>
          <w:rFonts w:ascii="Garamond" w:hAnsi="Garamond" w:cs="Times New Roman"/>
          <w:b/>
          <w:bCs/>
          <w:sz w:val="40"/>
          <w:szCs w:val="40"/>
        </w:rPr>
      </w:pPr>
    </w:p>
    <w:p w14:paraId="658EE6B9" w14:textId="77777777" w:rsidR="003525FA" w:rsidRDefault="003525FA" w:rsidP="0017389D">
      <w:pPr>
        <w:suppressLineNumbers/>
        <w:jc w:val="center"/>
        <w:rPr>
          <w:rFonts w:ascii="Garamond" w:hAnsi="Garamond" w:cs="Times New Roman"/>
          <w:b/>
          <w:bCs/>
          <w:sz w:val="40"/>
          <w:szCs w:val="40"/>
        </w:rPr>
      </w:pPr>
    </w:p>
    <w:p w14:paraId="0B5F49C9" w14:textId="77777777" w:rsidR="003525FA" w:rsidRDefault="003525FA" w:rsidP="0017389D">
      <w:pPr>
        <w:suppressLineNumbers/>
        <w:jc w:val="center"/>
        <w:rPr>
          <w:rFonts w:ascii="Garamond" w:hAnsi="Garamond" w:cs="Times New Roman"/>
          <w:b/>
          <w:bCs/>
          <w:sz w:val="40"/>
          <w:szCs w:val="40"/>
        </w:rPr>
      </w:pPr>
    </w:p>
    <w:p w14:paraId="3DFE12E9" w14:textId="77777777" w:rsidR="003525FA" w:rsidRDefault="003525FA" w:rsidP="0017389D">
      <w:pPr>
        <w:suppressLineNumbers/>
        <w:jc w:val="center"/>
        <w:rPr>
          <w:rFonts w:ascii="Garamond" w:hAnsi="Garamond" w:cs="Times New Roman"/>
          <w:b/>
          <w:bCs/>
          <w:sz w:val="40"/>
          <w:szCs w:val="40"/>
        </w:rPr>
      </w:pPr>
    </w:p>
    <w:p w14:paraId="398E1809" w14:textId="787A2D25" w:rsidR="009A7B39" w:rsidRPr="0016395C" w:rsidRDefault="009A7B39" w:rsidP="006A2A72">
      <w:pPr>
        <w:suppressLineNumbers/>
        <w:rPr>
          <w:rFonts w:ascii="Garamond" w:hAnsi="Garamond"/>
          <w:b/>
          <w:bCs/>
          <w:sz w:val="20"/>
          <w:szCs w:val="20"/>
        </w:rPr>
      </w:pPr>
    </w:p>
    <w:p w14:paraId="57B09708" w14:textId="77777777" w:rsidR="003525FA" w:rsidRDefault="003525FA" w:rsidP="004712C9">
      <w:pPr>
        <w:suppressLineNumbers/>
        <w:rPr>
          <w:rFonts w:ascii="Garamond" w:hAnsi="Garamond" w:cs="Times New Roman"/>
          <w:b/>
          <w:bCs/>
          <w:u w:val="single"/>
        </w:rPr>
      </w:pPr>
    </w:p>
    <w:p w14:paraId="6A12FAB1" w14:textId="77777777" w:rsidR="003525FA" w:rsidRDefault="003525FA" w:rsidP="004712C9">
      <w:pPr>
        <w:suppressLineNumbers/>
        <w:rPr>
          <w:rFonts w:ascii="Garamond" w:hAnsi="Garamond" w:cs="Times New Roman"/>
          <w:b/>
          <w:bCs/>
          <w:u w:val="single"/>
        </w:rPr>
      </w:pPr>
    </w:p>
    <w:p w14:paraId="1E04B217" w14:textId="77777777" w:rsidR="003525FA" w:rsidRDefault="003525FA" w:rsidP="004712C9">
      <w:pPr>
        <w:suppressLineNumbers/>
        <w:rPr>
          <w:rFonts w:ascii="Garamond" w:hAnsi="Garamond" w:cs="Times New Roman"/>
          <w:b/>
          <w:bCs/>
          <w:u w:val="single"/>
        </w:rPr>
      </w:pPr>
    </w:p>
    <w:p w14:paraId="11C4E2DB" w14:textId="77777777" w:rsidR="00B26B57" w:rsidRDefault="00B26B57" w:rsidP="004712C9">
      <w:pPr>
        <w:suppressLineNumbers/>
        <w:rPr>
          <w:rFonts w:ascii="Garamond" w:hAnsi="Garamond" w:cs="Times New Roman"/>
          <w:b/>
          <w:bCs/>
          <w:u w:val="single"/>
        </w:rPr>
      </w:pPr>
    </w:p>
    <w:p w14:paraId="2F3E3570" w14:textId="77777777" w:rsidR="00B26B57" w:rsidRDefault="00B26B57" w:rsidP="004712C9">
      <w:pPr>
        <w:suppressLineNumbers/>
        <w:rPr>
          <w:rFonts w:ascii="Garamond" w:hAnsi="Garamond" w:cs="Times New Roman"/>
          <w:b/>
          <w:bCs/>
          <w:u w:val="single"/>
        </w:rPr>
      </w:pPr>
    </w:p>
    <w:p w14:paraId="1DB5BB82" w14:textId="77777777" w:rsidR="00B26B57" w:rsidRDefault="00B26B57" w:rsidP="004712C9">
      <w:pPr>
        <w:suppressLineNumbers/>
        <w:rPr>
          <w:rFonts w:ascii="Garamond" w:hAnsi="Garamond" w:cs="Times New Roman"/>
          <w:b/>
          <w:bCs/>
          <w:u w:val="single"/>
        </w:rPr>
      </w:pPr>
    </w:p>
    <w:p w14:paraId="75F3761F" w14:textId="39AC2FE2" w:rsidR="003717DB" w:rsidRPr="00665BC1" w:rsidRDefault="00E61436" w:rsidP="004712C9">
      <w:pPr>
        <w:suppressLineNumbers/>
        <w:rPr>
          <w:rFonts w:ascii="Garamond" w:hAnsi="Garamond" w:cs="Times New Roman"/>
          <w:b/>
          <w:bCs/>
          <w:u w:val="single"/>
        </w:rPr>
      </w:pPr>
      <w:r>
        <w:rPr>
          <w:rFonts w:ascii="Garamond" w:hAnsi="Garamond" w:cs="Times New Roman"/>
          <w:b/>
          <w:bCs/>
          <w:u w:val="single"/>
        </w:rPr>
        <w:t>Abstract:</w:t>
      </w:r>
    </w:p>
    <w:p w14:paraId="0123CEA6" w14:textId="2424902D" w:rsidR="006B75B5" w:rsidRDefault="00571049" w:rsidP="00571049">
      <w:pPr>
        <w:spacing w:line="480" w:lineRule="auto"/>
        <w:rPr>
          <w:ins w:id="0" w:author="Benjamin J. Makhlouf" w:date="2026-06-18T19:20:00Z" w16du:dateUtc="2026-06-19T02:20:00Z"/>
          <w:rFonts w:ascii="Garamond" w:hAnsi="Garamond"/>
          <w:sz w:val="22"/>
          <w:szCs w:val="22"/>
        </w:rPr>
      </w:pPr>
      <w:r w:rsidRPr="00571049">
        <w:rPr>
          <w:rFonts w:ascii="Garamond" w:hAnsi="Garamond"/>
          <w:sz w:val="22"/>
          <w:szCs w:val="22"/>
        </w:rPr>
        <w:t>Effective conservation of exploited species requires balancing harvest opportunities with the protection of biodiversity. In Pacific salmon, biodiversity among populations contributes to basin-wide resilience, yet spatiotemporal dynamics of adult migrating Chinook salmon remain poorly understood</w:t>
      </w:r>
      <w:ins w:id="1" w:author="Benjamin J. Makhlouf" w:date="2026-06-19T15:06:00Z" w16du:dateUtc="2026-06-19T22:06:00Z">
        <w:r w:rsidR="00171E1A">
          <w:rPr>
            <w:rFonts w:ascii="Garamond" w:hAnsi="Garamond"/>
            <w:sz w:val="22"/>
            <w:szCs w:val="22"/>
          </w:rPr>
          <w:t xml:space="preserve"> in many large salmon producing watersheds</w:t>
        </w:r>
      </w:ins>
      <w:r w:rsidRPr="00571049">
        <w:rPr>
          <w:rFonts w:ascii="Garamond" w:hAnsi="Garamond"/>
          <w:sz w:val="22"/>
          <w:szCs w:val="22"/>
        </w:rPr>
        <w:t>, creating uncertainty about management impacts. Declining abundance in western Alaska watersheds has led to restrictions in subsistence harvest and challenges for upstream communities.</w:t>
      </w:r>
      <w:ins w:id="2" w:author="Benjamin J. Makhlouf" w:date="2026-06-18T19:26:00Z" w16du:dateUtc="2026-06-19T02:26:00Z">
        <w:r w:rsidR="0035364D">
          <w:rPr>
            <w:rFonts w:ascii="Garamond" w:hAnsi="Garamond"/>
            <w:sz w:val="22"/>
            <w:szCs w:val="22"/>
          </w:rPr>
          <w:t xml:space="preserve"> In the Kuskokwim River, a large salmon producing river in </w:t>
        </w:r>
      </w:ins>
      <w:ins w:id="3" w:author="Benjamin J. Makhlouf" w:date="2026-06-18T19:28:00Z" w16du:dateUtc="2026-06-19T02:28:00Z">
        <w:r w:rsidR="0035364D">
          <w:rPr>
            <w:rFonts w:ascii="Garamond" w:hAnsi="Garamond"/>
            <w:sz w:val="22"/>
            <w:szCs w:val="22"/>
          </w:rPr>
          <w:t>w</w:t>
        </w:r>
      </w:ins>
      <w:ins w:id="4" w:author="Benjamin J. Makhlouf" w:date="2026-06-18T19:26:00Z" w16du:dateUtc="2026-06-19T02:26:00Z">
        <w:r w:rsidR="0035364D">
          <w:rPr>
            <w:rFonts w:ascii="Garamond" w:hAnsi="Garamond"/>
            <w:sz w:val="22"/>
            <w:szCs w:val="22"/>
          </w:rPr>
          <w:t>estern Alaska</w:t>
        </w:r>
      </w:ins>
      <w:del w:id="5" w:author="Benjamin J. Makhlouf" w:date="2026-06-18T19:26:00Z" w16du:dateUtc="2026-06-19T02:26:00Z">
        <w:r w:rsidRPr="00571049" w:rsidDel="0035364D">
          <w:rPr>
            <w:rFonts w:ascii="Garamond" w:hAnsi="Garamond"/>
            <w:sz w:val="22"/>
            <w:szCs w:val="22"/>
          </w:rPr>
          <w:delText xml:space="preserve"> To balance stock protection with harvest opportunity</w:delText>
        </w:r>
      </w:del>
      <w:r w:rsidRPr="00571049">
        <w:rPr>
          <w:rFonts w:ascii="Garamond" w:hAnsi="Garamond"/>
          <w:sz w:val="22"/>
          <w:szCs w:val="22"/>
        </w:rPr>
        <w:t xml:space="preserve">, a front-end closure limits fishing early in the run to reduce exploitation of fish migrating to the upper watershed. To quantify stock-specific impacts of this strategy, we reconstruct spatiotemporal dynamics of return migration timing for Chinook salmon to the Kuskokwim River across six years using otolith isotope signatures. We demonstrate a consistent relationship between seasonal run timing and watershed origin, with earlier migrants contributing disproportionately to upper watershed regions. </w:t>
      </w:r>
      <w:ins w:id="6" w:author="Benjamin J. Makhlouf" w:date="2026-06-18T19:18:00Z" w16du:dateUtc="2026-06-19T02:18:00Z">
        <w:r w:rsidR="006B75B5">
          <w:rPr>
            <w:rFonts w:ascii="Garamond" w:hAnsi="Garamond"/>
            <w:sz w:val="22"/>
            <w:szCs w:val="22"/>
          </w:rPr>
          <w:t xml:space="preserve">A longer simulated closure </w:t>
        </w:r>
      </w:ins>
      <w:ins w:id="7" w:author="Benjamin J. Makhlouf" w:date="2026-07-12T20:40:00Z" w16du:dateUtc="2026-07-13T03:40:00Z">
        <w:r w:rsidR="00BC21CC">
          <w:rPr>
            <w:rFonts w:ascii="Garamond" w:hAnsi="Garamond"/>
            <w:sz w:val="22"/>
            <w:szCs w:val="22"/>
          </w:rPr>
          <w:t>duration</w:t>
        </w:r>
      </w:ins>
      <w:ins w:id="8" w:author="Benjamin J. Makhlouf" w:date="2026-07-12T20:41:00Z" w16du:dateUtc="2026-07-13T03:41:00Z">
        <w:r w:rsidR="00BC21CC">
          <w:rPr>
            <w:rFonts w:ascii="Garamond" w:hAnsi="Garamond"/>
            <w:sz w:val="22"/>
            <w:szCs w:val="22"/>
          </w:rPr>
          <w:t xml:space="preserve"> </w:t>
        </w:r>
      </w:ins>
      <w:del w:id="9" w:author="Benjamin J. Makhlouf" w:date="2026-06-18T19:18:00Z" w16du:dateUtc="2026-06-19T02:18:00Z">
        <w:r w:rsidR="006B75B5" w:rsidRPr="00571049" w:rsidDel="006B75B5">
          <w:rPr>
            <w:rFonts w:ascii="Garamond" w:hAnsi="Garamond"/>
            <w:sz w:val="22"/>
            <w:szCs w:val="22"/>
          </w:rPr>
          <w:delText xml:space="preserve">Simulated closure end dates </w:delText>
        </w:r>
      </w:del>
      <w:r w:rsidR="006B75B5" w:rsidRPr="00571049">
        <w:rPr>
          <w:rFonts w:ascii="Garamond" w:hAnsi="Garamond"/>
          <w:sz w:val="22"/>
          <w:szCs w:val="22"/>
        </w:rPr>
        <w:t>provided greater protection for upper watershed stock</w:t>
      </w:r>
      <w:ins w:id="10" w:author="Benjamin J. Makhlouf" w:date="2026-06-18T19:19:00Z" w16du:dateUtc="2026-06-19T02:19:00Z">
        <w:r w:rsidR="006B75B5">
          <w:rPr>
            <w:rFonts w:ascii="Garamond" w:hAnsi="Garamond"/>
            <w:sz w:val="22"/>
            <w:szCs w:val="22"/>
          </w:rPr>
          <w:t>s but with a</w:t>
        </w:r>
      </w:ins>
      <w:ins w:id="11" w:author="Benjamin J. Makhlouf" w:date="2026-06-18T19:20:00Z" w16du:dateUtc="2026-06-19T02:20:00Z">
        <w:r w:rsidR="006B75B5">
          <w:rPr>
            <w:rFonts w:ascii="Garamond" w:hAnsi="Garamond"/>
            <w:sz w:val="22"/>
            <w:szCs w:val="22"/>
          </w:rPr>
          <w:t xml:space="preserve">n associated tradeoff of lost harvest opportunity. </w:t>
        </w:r>
      </w:ins>
      <w:ins w:id="12" w:author="Benjamin J. Makhlouf" w:date="2026-06-18T19:21:00Z" w16du:dateUtc="2026-06-19T02:21:00Z">
        <w:r w:rsidR="006B75B5">
          <w:rPr>
            <w:rFonts w:ascii="Garamond" w:hAnsi="Garamond"/>
            <w:sz w:val="22"/>
            <w:szCs w:val="22"/>
          </w:rPr>
          <w:t>The</w:t>
        </w:r>
      </w:ins>
      <w:ins w:id="13" w:author="Benjamin J. Makhlouf" w:date="2026-06-18T19:20:00Z" w16du:dateUtc="2026-06-19T02:20:00Z">
        <w:r w:rsidR="006B75B5">
          <w:rPr>
            <w:rFonts w:ascii="Garamond" w:hAnsi="Garamond"/>
            <w:sz w:val="22"/>
            <w:szCs w:val="22"/>
          </w:rPr>
          <w:t xml:space="preserve"> protection afforded to upper</w:t>
        </w:r>
      </w:ins>
      <w:del w:id="14" w:author="Benjamin J. Makhlouf" w:date="2026-06-18T19:19:00Z" w16du:dateUtc="2026-06-19T02:19:00Z">
        <w:r w:rsidR="006B75B5" w:rsidRPr="00571049" w:rsidDel="006B75B5">
          <w:rPr>
            <w:rFonts w:ascii="Garamond" w:hAnsi="Garamond"/>
            <w:sz w:val="22"/>
            <w:szCs w:val="22"/>
          </w:rPr>
          <w:delText xml:space="preserve">s, though </w:delText>
        </w:r>
      </w:del>
      <w:del w:id="15" w:author="Benjamin J. Makhlouf" w:date="2026-06-18T19:18:00Z" w16du:dateUtc="2026-06-19T02:18:00Z">
        <w:r w:rsidR="006B75B5" w:rsidRPr="00571049" w:rsidDel="006B75B5">
          <w:rPr>
            <w:rFonts w:ascii="Garamond" w:hAnsi="Garamond"/>
            <w:sz w:val="22"/>
            <w:szCs w:val="22"/>
          </w:rPr>
          <w:delText>conservation–harvest tradeoffs varied.</w:delText>
        </w:r>
      </w:del>
      <w:ins w:id="16" w:author="Benjamin J. Makhlouf" w:date="2026-06-18T19:20:00Z" w16du:dateUtc="2026-06-19T02:20:00Z">
        <w:r w:rsidR="006B75B5">
          <w:rPr>
            <w:rFonts w:ascii="Garamond" w:hAnsi="Garamond"/>
            <w:sz w:val="22"/>
            <w:szCs w:val="22"/>
          </w:rPr>
          <w:t xml:space="preserve"> </w:t>
        </w:r>
      </w:ins>
      <w:ins w:id="17" w:author="Benjamin J. Makhlouf" w:date="2026-06-18T19:16:00Z" w16du:dateUtc="2026-06-19T02:16:00Z">
        <w:r w:rsidR="006B75B5">
          <w:rPr>
            <w:rFonts w:ascii="Garamond" w:hAnsi="Garamond"/>
            <w:sz w:val="22"/>
            <w:szCs w:val="22"/>
          </w:rPr>
          <w:t>watershed stocks</w:t>
        </w:r>
      </w:ins>
      <w:ins w:id="18" w:author="Benjamin J. Makhlouf" w:date="2026-06-18T19:20:00Z" w16du:dateUtc="2026-06-19T02:20:00Z">
        <w:r w:rsidR="006B75B5">
          <w:rPr>
            <w:rFonts w:ascii="Garamond" w:hAnsi="Garamond"/>
            <w:sz w:val="22"/>
            <w:szCs w:val="22"/>
          </w:rPr>
          <w:t xml:space="preserve"> </w:t>
        </w:r>
      </w:ins>
      <w:ins w:id="19" w:author="Benjamin J. Makhlouf" w:date="2026-06-18T19:21:00Z" w16du:dateUtc="2026-06-19T02:21:00Z">
        <w:r w:rsidR="006B75B5">
          <w:rPr>
            <w:rFonts w:ascii="Garamond" w:hAnsi="Garamond"/>
            <w:sz w:val="22"/>
            <w:szCs w:val="22"/>
          </w:rPr>
          <w:t xml:space="preserve">varied substantially among years </w:t>
        </w:r>
        <w:r w:rsidR="0035364D">
          <w:rPr>
            <w:rFonts w:ascii="Garamond" w:hAnsi="Garamond"/>
            <w:sz w:val="22"/>
            <w:szCs w:val="22"/>
          </w:rPr>
          <w:t>due to variable ov</w:t>
        </w:r>
      </w:ins>
      <w:ins w:id="20" w:author="Benjamin J. Makhlouf" w:date="2026-06-18T19:22:00Z" w16du:dateUtc="2026-06-19T02:22:00Z">
        <w:r w:rsidR="0035364D">
          <w:rPr>
            <w:rFonts w:ascii="Garamond" w:hAnsi="Garamond"/>
            <w:sz w:val="22"/>
            <w:szCs w:val="22"/>
          </w:rPr>
          <w:t xml:space="preserve">erall return migration timing, highlighting the interaction between a fixed closure strategy and dynamic ecological processes that impact it’s overall efficacy. </w:t>
        </w:r>
      </w:ins>
    </w:p>
    <w:p w14:paraId="6CDB9F82" w14:textId="56B6E58B" w:rsidR="00571049" w:rsidRPr="00571049" w:rsidDel="0035364D" w:rsidRDefault="00571049" w:rsidP="00571049">
      <w:pPr>
        <w:spacing w:line="480" w:lineRule="auto"/>
        <w:rPr>
          <w:del w:id="21" w:author="Benjamin J. Makhlouf" w:date="2026-06-18T19:22:00Z" w16du:dateUtc="2026-06-19T02:22:00Z"/>
          <w:rFonts w:ascii="Garamond" w:hAnsi="Garamond"/>
          <w:sz w:val="22"/>
          <w:szCs w:val="22"/>
        </w:rPr>
      </w:pPr>
      <w:del w:id="22" w:author="Benjamin J. Makhlouf" w:date="2026-06-18T19:17:00Z" w16du:dateUtc="2026-06-19T02:17:00Z">
        <w:r w:rsidRPr="00571049" w:rsidDel="006B75B5">
          <w:rPr>
            <w:rFonts w:ascii="Garamond" w:hAnsi="Garamond"/>
            <w:sz w:val="22"/>
            <w:szCs w:val="22"/>
          </w:rPr>
          <w:delText>This pattern was consistent across years</w:delText>
        </w:r>
      </w:del>
      <w:del w:id="23" w:author="Benjamin J. Makhlouf" w:date="2026-06-18T19:13:00Z" w16du:dateUtc="2026-06-19T02:13:00Z">
        <w:r w:rsidRPr="00571049" w:rsidDel="006B75B5">
          <w:rPr>
            <w:rFonts w:ascii="Garamond" w:hAnsi="Garamond"/>
            <w:sz w:val="22"/>
            <w:szCs w:val="22"/>
          </w:rPr>
          <w:delText>,</w:delText>
        </w:r>
      </w:del>
      <w:del w:id="24" w:author="Benjamin J. Makhlouf" w:date="2026-06-18T19:17:00Z" w16du:dateUtc="2026-06-19T02:17:00Z">
        <w:r w:rsidRPr="00571049" w:rsidDel="006B75B5">
          <w:rPr>
            <w:rFonts w:ascii="Garamond" w:hAnsi="Garamond"/>
            <w:sz w:val="22"/>
            <w:szCs w:val="22"/>
          </w:rPr>
          <w:delText xml:space="preserve"> </w:delText>
        </w:r>
      </w:del>
      <w:del w:id="25" w:author="Benjamin J. Makhlouf" w:date="2026-06-18T19:07:00Z" w16du:dateUtc="2026-06-19T02:07:00Z">
        <w:r w:rsidRPr="00571049" w:rsidDel="004D7CC1">
          <w:rPr>
            <w:rFonts w:ascii="Garamond" w:hAnsi="Garamond"/>
            <w:sz w:val="22"/>
            <w:szCs w:val="22"/>
          </w:rPr>
          <w:delText xml:space="preserve">though </w:delText>
        </w:r>
      </w:del>
      <w:del w:id="26" w:author="Benjamin J. Makhlouf" w:date="2026-06-18T19:08:00Z" w16du:dateUtc="2026-06-19T02:08:00Z">
        <w:r w:rsidRPr="00571049" w:rsidDel="004D7CC1">
          <w:rPr>
            <w:rFonts w:ascii="Garamond" w:hAnsi="Garamond"/>
            <w:sz w:val="22"/>
            <w:szCs w:val="22"/>
          </w:rPr>
          <w:delText>magnitude of contribution and run timing varied</w:delText>
        </w:r>
      </w:del>
      <w:del w:id="27" w:author="Benjamin J. Makhlouf" w:date="2026-06-18T19:14:00Z" w16du:dateUtc="2026-06-19T02:14:00Z">
        <w:r w:rsidRPr="00571049" w:rsidDel="006B75B5">
          <w:rPr>
            <w:rFonts w:ascii="Garamond" w:hAnsi="Garamond"/>
            <w:sz w:val="22"/>
            <w:szCs w:val="22"/>
          </w:rPr>
          <w:delText xml:space="preserve">, </w:delText>
        </w:r>
      </w:del>
      <w:del w:id="28" w:author="Benjamin J. Makhlouf" w:date="2026-06-18T19:22:00Z" w16du:dateUtc="2026-06-19T02:22:00Z">
        <w:r w:rsidRPr="00571049" w:rsidDel="0035364D">
          <w:rPr>
            <w:rFonts w:ascii="Garamond" w:hAnsi="Garamond"/>
            <w:sz w:val="22"/>
            <w:szCs w:val="22"/>
          </w:rPr>
          <w:delText xml:space="preserve">highlighting interactions between the closure and ecological </w:delText>
        </w:r>
      </w:del>
      <w:del w:id="29" w:author="Benjamin J. Makhlouf" w:date="2026-06-18T19:11:00Z" w16du:dateUtc="2026-06-19T02:11:00Z">
        <w:r w:rsidRPr="00571049" w:rsidDel="004D7CC1">
          <w:rPr>
            <w:rFonts w:ascii="Garamond" w:hAnsi="Garamond"/>
            <w:sz w:val="22"/>
            <w:szCs w:val="22"/>
          </w:rPr>
          <w:delText>processes</w:delText>
        </w:r>
      </w:del>
      <w:del w:id="30" w:author="Benjamin J. Makhlouf" w:date="2026-06-18T19:09:00Z" w16du:dateUtc="2026-06-19T02:09:00Z">
        <w:r w:rsidRPr="00571049" w:rsidDel="004D7CC1">
          <w:rPr>
            <w:rFonts w:ascii="Garamond" w:hAnsi="Garamond"/>
            <w:sz w:val="22"/>
            <w:szCs w:val="22"/>
          </w:rPr>
          <w:delText xml:space="preserve"> influencing efficacy</w:delText>
        </w:r>
      </w:del>
      <w:del w:id="31" w:author="Benjamin J. Makhlouf" w:date="2026-06-18T19:14:00Z" w16du:dateUtc="2026-06-19T02:14:00Z">
        <w:r w:rsidRPr="00571049" w:rsidDel="006B75B5">
          <w:rPr>
            <w:rFonts w:ascii="Garamond" w:hAnsi="Garamond"/>
            <w:sz w:val="22"/>
            <w:szCs w:val="22"/>
          </w:rPr>
          <w:delText>.</w:delText>
        </w:r>
      </w:del>
      <w:del w:id="32" w:author="Benjamin J. Makhlouf" w:date="2026-06-18T19:22:00Z" w16du:dateUtc="2026-06-19T02:22:00Z">
        <w:r w:rsidRPr="00571049" w:rsidDel="0035364D">
          <w:rPr>
            <w:rFonts w:ascii="Garamond" w:hAnsi="Garamond"/>
            <w:sz w:val="22"/>
            <w:szCs w:val="22"/>
          </w:rPr>
          <w:delText xml:space="preserve"> </w:delText>
        </w:r>
      </w:del>
    </w:p>
    <w:p w14:paraId="47893FEA" w14:textId="77777777" w:rsidR="00571049" w:rsidRDefault="00571049" w:rsidP="003525FA"/>
    <w:p w14:paraId="3E93BEF4" w14:textId="2CBF721B" w:rsidR="003525FA" w:rsidRPr="001A17C1" w:rsidRDefault="003525FA" w:rsidP="003525FA">
      <w:pPr>
        <w:rPr>
          <w:rFonts w:ascii="Garamond" w:hAnsi="Garamond" w:cs="Times New Roman"/>
        </w:rPr>
      </w:pPr>
      <w:r>
        <w:rPr>
          <w:rFonts w:ascii="Garamond" w:hAnsi="Garamond" w:cs="Times New Roman"/>
          <w:b/>
          <w:bCs/>
        </w:rPr>
        <w:t>Keywords</w:t>
      </w:r>
      <w:r>
        <w:rPr>
          <w:rFonts w:ascii="Garamond" w:hAnsi="Garamond" w:cs="Times New Roman"/>
        </w:rPr>
        <w:t>: Alaska, Biodiversity, Fisheries, Otolith, Salmon, Strontium, tradeoff</w:t>
      </w:r>
    </w:p>
    <w:p w14:paraId="3FD6F3F7" w14:textId="77777777" w:rsidR="007E3A31" w:rsidRDefault="007E3A31" w:rsidP="00BF42AB">
      <w:pPr>
        <w:suppressLineNumbers/>
        <w:spacing w:line="480" w:lineRule="auto"/>
        <w:rPr>
          <w:rFonts w:ascii="Garamond" w:hAnsi="Garamond" w:cs="Times New Roman"/>
        </w:rPr>
      </w:pPr>
    </w:p>
    <w:p w14:paraId="5566A155" w14:textId="77777777" w:rsidR="00571049" w:rsidRDefault="00571049" w:rsidP="00BF42AB">
      <w:pPr>
        <w:suppressLineNumbers/>
        <w:spacing w:line="480" w:lineRule="auto"/>
        <w:rPr>
          <w:rFonts w:ascii="Garamond" w:hAnsi="Garamond" w:cs="Times New Roman"/>
        </w:rPr>
      </w:pPr>
    </w:p>
    <w:p w14:paraId="6FC98385" w14:textId="77777777" w:rsidR="00571049" w:rsidRDefault="00571049" w:rsidP="00BF42AB">
      <w:pPr>
        <w:suppressLineNumbers/>
        <w:spacing w:line="480" w:lineRule="auto"/>
        <w:rPr>
          <w:rFonts w:ascii="Garamond" w:hAnsi="Garamond" w:cs="Times New Roman"/>
        </w:rPr>
      </w:pPr>
    </w:p>
    <w:p w14:paraId="0CB59415" w14:textId="77777777" w:rsidR="00571049" w:rsidRDefault="00571049" w:rsidP="00BF42AB">
      <w:pPr>
        <w:suppressLineNumbers/>
        <w:spacing w:line="480" w:lineRule="auto"/>
        <w:rPr>
          <w:rFonts w:ascii="Garamond" w:hAnsi="Garamond" w:cs="Times New Roman"/>
        </w:rPr>
      </w:pPr>
    </w:p>
    <w:p w14:paraId="52FE68BC" w14:textId="77777777" w:rsidR="00571049" w:rsidRDefault="00571049" w:rsidP="00BF42AB">
      <w:pPr>
        <w:suppressLineNumbers/>
        <w:spacing w:line="480" w:lineRule="auto"/>
        <w:rPr>
          <w:rFonts w:ascii="Garamond" w:hAnsi="Garamond" w:cs="Times New Roman"/>
        </w:rPr>
      </w:pPr>
    </w:p>
    <w:p w14:paraId="6FFB8AB4" w14:textId="77777777" w:rsidR="00571049" w:rsidRDefault="00571049" w:rsidP="00BF42AB">
      <w:pPr>
        <w:suppressLineNumbers/>
        <w:spacing w:line="480" w:lineRule="auto"/>
        <w:rPr>
          <w:rFonts w:ascii="Garamond" w:hAnsi="Garamond" w:cs="Times New Roman"/>
        </w:rPr>
      </w:pPr>
    </w:p>
    <w:p w14:paraId="09D9F601" w14:textId="77777777" w:rsidR="00571049" w:rsidRDefault="00571049" w:rsidP="00BF42AB">
      <w:pPr>
        <w:suppressLineNumbers/>
        <w:spacing w:line="480" w:lineRule="auto"/>
        <w:rPr>
          <w:rFonts w:ascii="Garamond" w:hAnsi="Garamond" w:cs="Times New Roman"/>
        </w:rPr>
      </w:pPr>
    </w:p>
    <w:p w14:paraId="58C68C67" w14:textId="4AAD3718" w:rsidR="00F552CD" w:rsidRPr="007C6331" w:rsidRDefault="00F552CD"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Introduction: </w:t>
      </w:r>
      <w:r>
        <w:rPr>
          <w:rFonts w:ascii="Garamond" w:hAnsi="Garamond" w:cs="Times New Roman"/>
          <w:sz w:val="28"/>
          <w:szCs w:val="28"/>
        </w:rPr>
        <w:t xml:space="preserve"> </w:t>
      </w:r>
    </w:p>
    <w:p w14:paraId="6DA4DC8E" w14:textId="72A46846" w:rsidR="00D86CD4" w:rsidRDefault="00507803" w:rsidP="00DB58D6">
      <w:pPr>
        <w:spacing w:line="480" w:lineRule="auto"/>
        <w:ind w:firstLine="720"/>
        <w:rPr>
          <w:rFonts w:ascii="Garamond" w:hAnsi="Garamond" w:cs="Times New Roman"/>
        </w:rPr>
      </w:pPr>
      <w:r>
        <w:rPr>
          <w:rFonts w:ascii="Garamond" w:hAnsi="Garamond"/>
        </w:rPr>
        <w:t xml:space="preserve">A key challenge in the management of harvested species is balancing the dual goals of providing adequate harvest opportunities while preserving biodiversity. </w:t>
      </w:r>
      <w:r>
        <w:rPr>
          <w:rFonts w:ascii="Garamond" w:hAnsi="Garamond" w:cs="Times New Roman"/>
        </w:rPr>
        <w:t xml:space="preserve"> In this context, biodiversity can be defined both by the number of species within an ecosystem and intrapopulation diversity among metapopulations of a single species </w:t>
      </w:r>
      <w:r>
        <w:rPr>
          <w:rFonts w:ascii="Garamond" w:hAnsi="Garamond" w:cs="Times New Roman"/>
        </w:rPr>
        <w:fldChar w:fldCharType="begin"/>
      </w:r>
      <w:r>
        <w:rPr>
          <w:rFonts w:ascii="Garamond" w:hAnsi="Garamond" w:cs="Times New Roman"/>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Evolution","language":"English","page":"183-192","PMID":"21367482","publisher":"Elsevier","source":"www.cell.com","title":"Why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(Bolnick et al., 2011; Luck et al., 2003; Schindler et al., 2010)</w:t>
      </w:r>
      <w:r>
        <w:rPr>
          <w:rFonts w:ascii="Garamond" w:hAnsi="Garamond" w:cs="Times New Roman"/>
        </w:rPr>
        <w:fldChar w:fldCharType="end"/>
      </w:r>
      <w:r>
        <w:rPr>
          <w:rFonts w:ascii="Garamond" w:hAnsi="Garamond" w:cs="Times New Roman"/>
        </w:rPr>
        <w:t xml:space="preserve">. In either case, biodiversity stabilizes ecosystem level processes, bolsters resilience to environmental change, and increases the reliability of ecosystem services </w:t>
      </w:r>
      <w:r>
        <w:rPr>
          <w:rFonts w:ascii="Garamond" w:hAnsi="Garamond" w:cs="Times New Roman"/>
        </w:rPr>
        <w:fldChar w:fldCharType="begin"/>
      </w:r>
      <w:r>
        <w:rPr>
          <w:rFonts w:ascii="Garamond" w:hAnsi="Garamond" w:cs="Times New Roman"/>
        </w:rPr>
        <w:instrText xml:space="preserve"> ADDIN ZOTERO_ITEM CSL_CITATION {"citationID":"jvEzPS6S","properties":{"formattedCitation":"(Cline et al., 2017; Schindler et al., 2015; Tilman et al., 2005)","plainCitation":"(Cline et al., 2017; Schindler et al., 2015; Tilman et al., 2005)","noteIndex":0},"citationItems":[{"id":1181,"uris":["http://zotero.org/users/8421274/items/B23FV4AJ"],"itemData":{"id":1181,"type":"article-journal","abstract":"Abrupt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1","page":"14042","publisher":"Nature Publishing Group","source":"www-nature-com.offcampus.lib.washington.edu","title":"Fisheries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E."},{"family":"Hilborn","given":"Ray"}],"issued":{"date-parts":[["2017",1,16]]}}},{"id":68,"uris":["http://zotero.org/users/8421274/items/DIRY8NHC"],"itemData":{"id":68,"type":"article-journal","container-title":"Frontiers in Ecology and the Environment","issue":"5","page":"257–263","publisher":"Wiley Online Library","source":"Google Scholar","title":"The portfolio concept in ecology and evolution","volume":"13","author":[{"family":"Schindler","given":"Daniel E."},{"family":"Armstrong","given":"Jonathan B."},{"family":"Reed","given":"Thomas E."}],"issued":{"date-parts":[["2015"]]}}},{"id":5940,"uris":["http://zotero.org/users/8421274/items/TKB7YW3B"],"itemData":{"id":5940,"type":"article-journal","abstract":"Recent advances in ecology are of great potential relevance to economists. Here we present two ecological models of mechanisms of competition and coexistence, and use these to derive how the primary productivity of ecosystems, the amount of carbon dioxide removed from the atmosphere and stored by plants, the efficiency of resource use, and the spatial and temporal variability of productivity and resource use should depend on diversity. We then discuss the relevance of these results to (1) ecosystem services and the economic value of diversity and (2) the functioning of any competitive system, including the economy.","container-title":"Journal of Environmental Economics and Management","DOI":"10.1016/j.jeem.2004.03.008","ISSN":"0095-0696","issue":"3","journalAbbreviation":"Journal of Environmental Economics and Management","page":"405-426","source":"ScienceDirect","title":"Diversity, productivity and temporal stability in the economies of humans and nature","volume":"49","author":[{"family":"Tilman","given":"David"},{"family":"Polasky","given":"Stephen"},{"family":"Lehman","given":"Clarence"}],"issued":{"date-parts":[["2005",5,1]]}}}],"schema":"https://github.com/citation-style-language/schema/raw/master/csl-citation.json"} </w:instrText>
      </w:r>
      <w:r>
        <w:rPr>
          <w:rFonts w:ascii="Garamond" w:hAnsi="Garamond" w:cs="Times New Roman"/>
        </w:rPr>
        <w:fldChar w:fldCharType="separate"/>
      </w:r>
      <w:r>
        <w:rPr>
          <w:rFonts w:ascii="Garamond" w:hAnsi="Garamond" w:cs="Times New Roman"/>
          <w:noProof/>
        </w:rPr>
        <w:t>( Schindler et al., 2015; Tilman et al., 2005)</w:t>
      </w:r>
      <w:r>
        <w:rPr>
          <w:rFonts w:ascii="Garamond" w:hAnsi="Garamond" w:cs="Times New Roman"/>
        </w:rPr>
        <w:fldChar w:fldCharType="end"/>
      </w:r>
      <w:r>
        <w:rPr>
          <w:rFonts w:ascii="Garamond" w:hAnsi="Garamond" w:cs="Times New Roman"/>
        </w:rPr>
        <w:t xml:space="preserve">. Designing strategies that explicitly protect biodiversity, however, requires a thorough understanding of the potential consequences of different strategies on both harvest and ecological processes as well as the tradeoffs between them. In many cases, such as in large and remote ecosystems, understanding these patterns at sufficient spatial or temporal scales remains a challenge, resulting in conservation and resource management strategies with uncertain outcomes. </w:t>
      </w:r>
    </w:p>
    <w:p w14:paraId="655019F9" w14:textId="69CD6E55" w:rsidR="00FA76AC" w:rsidRPr="008605CB" w:rsidRDefault="00FA76AC" w:rsidP="00931F9A">
      <w:pPr>
        <w:spacing w:line="480" w:lineRule="auto"/>
        <w:ind w:firstLine="720"/>
        <w:rPr>
          <w:rFonts w:ascii="Garamond" w:hAnsi="Garamond" w:cs="Times New Roman"/>
        </w:rPr>
      </w:pPr>
      <w:r>
        <w:rPr>
          <w:rFonts w:ascii="Garamond" w:hAnsi="Garamond" w:cs="Times New Roman"/>
        </w:rPr>
        <w:t>Pacific salmon (</w:t>
      </w:r>
      <w:r>
        <w:rPr>
          <w:rFonts w:ascii="Garamond" w:hAnsi="Garamond" w:cs="Times New Roman"/>
          <w:i/>
          <w:iCs/>
        </w:rPr>
        <w:t>Oncorhynchus spp.)</w:t>
      </w:r>
      <w:r>
        <w:rPr>
          <w:rFonts w:ascii="Garamond" w:hAnsi="Garamond" w:cs="Times New Roman"/>
        </w:rPr>
        <w:t xml:space="preserve"> returning to their natal watersheds often exhibit significant diversity in run timing and spatial distribution across large and complex river systems </w:t>
      </w:r>
      <w:r>
        <w:rPr>
          <w:rFonts w:ascii="Garamond" w:hAnsi="Garamond" w:cs="Times New Roman"/>
        </w:rPr>
        <w:fldChar w:fldCharType="begin"/>
      </w:r>
      <w:r>
        <w:rPr>
          <w:rFonts w:ascii="Garamond" w:hAnsi="Garamond" w:cs="Times New Roman"/>
        </w:rPr>
        <w:instrText xml:space="preserve"> ADDIN ZOTERO_ITEM CSL_CITATION {"citationID":"74xWzV2z","properties":{"formattedCitation":"(Griffiths et al., 2014; Nesbitt &amp; Moore, 2016; Schindler et al., 2010)","plainCitation":"(Griffiths et al., 2014; Nesbitt &amp; Moore, 2016; Schindler et al., 2010)","noteIndex":0},"citationItems":[{"id":4217,"uris":["http://zotero.org/users/8421274/items/8XTQF7BZ"],"itemData":{"id":4217,"type":"article-journal","abstract":"&lt;list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Hoboken\nWeb of Science ID: WOS:000345706100010","page":"1554-1563","publisher":"Wiley-Blackwell","source":"Clarivate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(Griffiths et al., 2014; Nesbitt &amp; Moore, 2016; Schindler et al., 2010)</w:t>
      </w:r>
      <w:r>
        <w:rPr>
          <w:rFonts w:ascii="Garamond" w:hAnsi="Garamond" w:cs="Times New Roman"/>
        </w:rPr>
        <w:fldChar w:fldCharType="end"/>
      </w:r>
      <w:r>
        <w:rPr>
          <w:rFonts w:ascii="Garamond" w:hAnsi="Garamond" w:cs="Times New Roman"/>
        </w:rPr>
        <w:t xml:space="preserve">. Populations of adult salmon migrating upstream within large river basins are often comprised of multiple distinct sub-stocks (or populations) which vary in their relative abundance and life-history, but which co-migrate within overlapping temporal windows. Downstream fisheries that harvest migrating individuals therefore </w:t>
      </w:r>
      <w:r>
        <w:rPr>
          <w:rFonts w:ascii="Garamond" w:hAnsi="Garamond" w:cs="Times New Roman"/>
        </w:rPr>
        <w:lastRenderedPageBreak/>
        <w:t xml:space="preserve">risk overexploitation of vulnerable populations which commingle with more robust ones </w:t>
      </w:r>
      <w:r>
        <w:rPr>
          <w:rFonts w:ascii="Garamond" w:hAnsi="Garamond" w:cs="Times New Roman"/>
        </w:rPr>
        <w:fldChar w:fldCharType="begin"/>
      </w:r>
      <w:r>
        <w:rPr>
          <w:rFonts w:ascii="Garamond" w:hAnsi="Garamond" w:cs="Times New Roman"/>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Sci.","page":"1076-1089","publisher":"NRC Research Press","source":"cdnsciencepub-com.offcampus.lib.washington.edu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Pr>
          <w:rFonts w:ascii="Garamond" w:hAnsi="Garamond" w:cs="Times New Roman"/>
        </w:rPr>
        <w:fldChar w:fldCharType="separate"/>
      </w:r>
      <w:r>
        <w:rPr>
          <w:rFonts w:ascii="Garamond" w:hAnsi="Garamond" w:cs="Times New Roman"/>
          <w:noProof/>
        </w:rPr>
        <w:t>(Connors et al., 2020; Moore et al., 2021)</w:t>
      </w:r>
      <w:r>
        <w:rPr>
          <w:rFonts w:ascii="Garamond" w:hAnsi="Garamond" w:cs="Times New Roman"/>
        </w:rPr>
        <w:fldChar w:fldCharType="end"/>
      </w:r>
      <w:r>
        <w:rPr>
          <w:rFonts w:ascii="Garamond" w:hAnsi="Garamond" w:cs="Times New Roman"/>
        </w:rPr>
        <w:t>. Populations returning to the furthest upstream portions of the watershed face particular risk of overharvest given their extended migration</w:t>
      </w:r>
      <w:ins w:id="33" w:author="Benjamin J. Makhlouf" w:date="2026-06-22T09:53:00Z" w16du:dateUtc="2026-06-22T16:53:00Z">
        <w:r w:rsidR="003E5F1E">
          <w:rPr>
            <w:rFonts w:ascii="Garamond" w:hAnsi="Garamond" w:cs="Times New Roman"/>
          </w:rPr>
          <w:t xml:space="preserve">, </w:t>
        </w:r>
      </w:ins>
      <w:ins w:id="34" w:author="Benjamin J. Makhlouf" w:date="2026-06-22T09:50:00Z" w16du:dateUtc="2026-06-22T16:50:00Z">
        <w:r w:rsidR="003E5F1E">
          <w:rPr>
            <w:rFonts w:ascii="Garamond" w:hAnsi="Garamond" w:cs="Times New Roman"/>
          </w:rPr>
          <w:t xml:space="preserve">which exposes them to </w:t>
        </w:r>
      </w:ins>
      <w:ins w:id="35" w:author="Benjamin J. Makhlouf" w:date="2026-06-22T09:51:00Z" w16du:dateUtc="2026-06-22T16:51:00Z">
        <w:r w:rsidR="003E5F1E">
          <w:rPr>
            <w:rFonts w:ascii="Garamond" w:hAnsi="Garamond" w:cs="Times New Roman"/>
          </w:rPr>
          <w:t>extended fishing pressure</w:t>
        </w:r>
      </w:ins>
      <w:ins w:id="36" w:author="Benjamin J. Makhlouf" w:date="2026-06-22T09:53:00Z" w16du:dateUtc="2026-06-22T16:53:00Z">
        <w:r w:rsidR="003E5F1E">
          <w:rPr>
            <w:rFonts w:ascii="Garamond" w:hAnsi="Garamond" w:cs="Times New Roman"/>
          </w:rPr>
          <w:t xml:space="preserve"> and environmental stressors throughout their return migration</w:t>
        </w:r>
      </w:ins>
      <w:ins w:id="37" w:author="Benjamin J. Makhlouf" w:date="2026-07-08T15:39:00Z" w16du:dateUtc="2026-07-08T22:39:00Z">
        <w:r w:rsidR="00931F9A">
          <w:rPr>
            <w:rFonts w:ascii="Garamond" w:hAnsi="Garamond" w:cs="Times New Roman"/>
          </w:rPr>
          <w:t xml:space="preserve">. As such, </w:t>
        </w:r>
      </w:ins>
      <w:ins w:id="38" w:author="Benjamin J. Makhlouf" w:date="2026-07-08T15:40:00Z" w16du:dateUtc="2026-07-08T22:40:00Z">
        <w:r w:rsidR="00931F9A">
          <w:rPr>
            <w:rFonts w:ascii="Garamond" w:hAnsi="Garamond" w:cs="Times New Roman"/>
          </w:rPr>
          <w:t xml:space="preserve">salmon </w:t>
        </w:r>
      </w:ins>
      <w:ins w:id="39" w:author="Benjamin J. Makhlouf" w:date="2026-07-08T15:39:00Z" w16du:dateUtc="2026-07-08T22:39:00Z">
        <w:r w:rsidR="00931F9A">
          <w:rPr>
            <w:rFonts w:ascii="Garamond" w:hAnsi="Garamond" w:cs="Times New Roman"/>
          </w:rPr>
          <w:t>populations with extended migr</w:t>
        </w:r>
      </w:ins>
      <w:ins w:id="40" w:author="Benjamin J. Makhlouf" w:date="2026-07-08T15:40:00Z" w16du:dateUtc="2026-07-08T22:40:00Z">
        <w:r w:rsidR="00931F9A">
          <w:rPr>
            <w:rFonts w:ascii="Garamond" w:hAnsi="Garamond" w:cs="Times New Roman"/>
          </w:rPr>
          <w:t>ation durations have been associated with heightened conservation risk in several large river systems</w:t>
        </w:r>
      </w:ins>
      <w:ins w:id="41" w:author="Benjamin J. Makhlouf" w:date="2026-06-22T09:54:00Z" w16du:dateUtc="2026-06-22T16:54:00Z">
        <w:r w:rsidR="003E5F1E">
          <w:rPr>
            <w:rFonts w:ascii="Garamond" w:hAnsi="Garamond" w:cs="Times New Roman"/>
          </w:rPr>
          <w:t xml:space="preserve"> </w:t>
        </w:r>
        <w:r w:rsidR="003E5F1E" w:rsidRPr="003E5F1E">
          <w:rPr>
            <w:rFonts w:ascii="Garamond" w:hAnsi="Garamond" w:cs="Times New Roman"/>
            <w:highlight w:val="yellow"/>
            <w:rPrChange w:id="42" w:author="Benjamin J. Makhlouf" w:date="2026-06-22T09:56:00Z" w16du:dateUtc="2026-06-22T16:56:00Z">
              <w:rPr>
                <w:rFonts w:ascii="Garamond" w:hAnsi="Garamond" w:cs="Times New Roman"/>
              </w:rPr>
            </w:rPrChange>
          </w:rPr>
          <w:t>(Atlas et al., 2023).</w:t>
        </w:r>
      </w:ins>
      <w:del w:id="43" w:author="Benjamin J. Makhlouf" w:date="2026-06-22T09:50:00Z" w16du:dateUtc="2026-06-22T16:50:00Z">
        <w:r w:rsidRPr="003E5F1E" w:rsidDel="003E5F1E">
          <w:rPr>
            <w:rFonts w:ascii="Garamond" w:hAnsi="Garamond" w:cs="Times New Roman"/>
            <w:highlight w:val="yellow"/>
            <w:rPrChange w:id="44" w:author="Benjamin J. Makhlouf" w:date="2026-06-22T09:56:00Z" w16du:dateUtc="2026-06-22T16:56:00Z">
              <w:rPr>
                <w:rFonts w:ascii="Garamond" w:hAnsi="Garamond" w:cs="Times New Roman"/>
              </w:rPr>
            </w:rPrChange>
          </w:rPr>
          <w:delText xml:space="preserve"> </w:delText>
        </w:r>
        <w:r w:rsidRPr="003E5F1E" w:rsidDel="003E5F1E">
          <w:rPr>
            <w:rFonts w:ascii="Garamond" w:hAnsi="Garamond"/>
            <w:highlight w:val="yellow"/>
            <w:rPrChange w:id="45" w:author="Benjamin J. Makhlouf" w:date="2026-06-22T09:56:00Z" w16du:dateUtc="2026-06-22T16:56:00Z">
              <w:rPr>
                <w:rFonts w:ascii="Garamond" w:hAnsi="Garamond"/>
              </w:rPr>
            </w:rPrChange>
          </w:rPr>
          <w:delText xml:space="preserve">and sequential nature of large river salmon fisheries </w:delText>
        </w:r>
      </w:del>
      <w:r w:rsidRPr="003E5F1E">
        <w:rPr>
          <w:rFonts w:ascii="Garamond" w:hAnsi="Garamond" w:cs="Times New Roman"/>
          <w:highlight w:val="yellow"/>
          <w:rPrChange w:id="46" w:author="Benjamin J. Makhlouf" w:date="2026-06-22T09:56:00Z" w16du:dateUtc="2026-06-22T16:56:00Z">
            <w:rPr>
              <w:rFonts w:ascii="Garamond" w:hAnsi="Garamond" w:cs="Times New Roman"/>
            </w:rPr>
          </w:rPrChange>
        </w:rPr>
        <w:fldChar w:fldCharType="begin"/>
      </w:r>
      <w:r w:rsidRPr="003E5F1E">
        <w:rPr>
          <w:rFonts w:ascii="Garamond" w:hAnsi="Garamond" w:cs="Times New Roman"/>
          <w:highlight w:val="yellow"/>
          <w:rPrChange w:id="47" w:author="Benjamin J. Makhlouf" w:date="2026-06-22T09:56:00Z" w16du:dateUtc="2026-06-22T16:56:00Z">
            <w:rPr>
              <w:rFonts w:ascii="Garamond" w:hAnsi="Garamond" w:cs="Times New Roman"/>
            </w:rPr>
          </w:rPrChange>
        </w:rPr>
        <w:instrText xml:space="preserve"> ADDIN ZOTERO_ITEM CSL_CITATION {"citationID":"48p09nPT","properties":{"formattedCitation":"(Hamazaki, 2008)","plainCitation":"(Hamazaki, 2008)","dontUpdate":true,"noteIndex":0},"citationItems":[{"id":6021,"uris":["http://zotero.org/users/8421274/items/G45XBM9M"],"itemData":{"id":6021,"type":"article-journal","abstract":"This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instrText>
      </w:r>
      <w:r w:rsidRPr="003E5F1E">
        <w:rPr>
          <w:rFonts w:ascii="Cambria Math" w:hAnsi="Cambria Math" w:cs="Cambria Math"/>
          <w:highlight w:val="yellow"/>
          <w:rPrChange w:id="48" w:author="Benjamin J. Makhlouf" w:date="2026-06-22T09:56:00Z" w16du:dateUtc="2026-06-22T16:56:00Z">
            <w:rPr>
              <w:rFonts w:ascii="Cambria Math" w:hAnsi="Cambria Math" w:cs="Cambria Math"/>
            </w:rPr>
          </w:rPrChange>
        </w:rPr>
        <w:instrText>‐</w:instrText>
      </w:r>
      <w:r w:rsidRPr="003E5F1E">
        <w:rPr>
          <w:rFonts w:ascii="Garamond" w:hAnsi="Garamond" w:cs="Times New Roman"/>
          <w:highlight w:val="yellow"/>
          <w:rPrChange w:id="49" w:author="Benjamin J. Makhlouf" w:date="2026-06-22T09:56:00Z" w16du:dateUtc="2026-06-22T16:56:00Z">
            <w:rPr>
              <w:rFonts w:ascii="Garamond" w:hAnsi="Garamond" w:cs="Times New Roman"/>
            </w:rPr>
          </w:rPrChange>
        </w:rPr>
        <w: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disappear.”","volume":"33","author":[{"family":"Hamazaki","given":"Toshihide"}],"issued":{"date-parts":[["2008",10,1]]}}}],"schema":"https://github.com/citation-style-language/schema/raw/master/csl-citation.json"} </w:instrText>
      </w:r>
      <w:r w:rsidRPr="003E5F1E">
        <w:rPr>
          <w:rFonts w:ascii="Garamond" w:hAnsi="Garamond" w:cs="Times New Roman"/>
          <w:highlight w:val="yellow"/>
          <w:rPrChange w:id="50" w:author="Benjamin J. Makhlouf" w:date="2026-06-22T09:56:00Z" w16du:dateUtc="2026-06-22T16:56:00Z">
            <w:rPr>
              <w:rFonts w:ascii="Garamond" w:hAnsi="Garamond" w:cs="Times New Roman"/>
            </w:rPr>
          </w:rPrChange>
        </w:rPr>
        <w:fldChar w:fldCharType="separate"/>
      </w:r>
      <w:r w:rsidRPr="003E5F1E">
        <w:rPr>
          <w:rFonts w:ascii="Garamond" w:hAnsi="Garamond" w:cs="Times New Roman"/>
          <w:noProof/>
          <w:highlight w:val="yellow"/>
          <w:rPrChange w:id="51" w:author="Benjamin J. Makhlouf" w:date="2026-06-22T09:56:00Z" w16du:dateUtc="2026-06-22T16:56:00Z">
            <w:rPr>
              <w:rFonts w:ascii="Garamond" w:hAnsi="Garamond" w:cs="Times New Roman"/>
              <w:noProof/>
            </w:rPr>
          </w:rPrChange>
        </w:rPr>
        <w:t>(e.g. Hamazaki, 2008)</w:t>
      </w:r>
      <w:r w:rsidRPr="003E5F1E">
        <w:rPr>
          <w:rFonts w:ascii="Garamond" w:hAnsi="Garamond" w:cs="Times New Roman"/>
          <w:highlight w:val="yellow"/>
          <w:rPrChange w:id="52" w:author="Benjamin J. Makhlouf" w:date="2026-06-22T09:56:00Z" w16du:dateUtc="2026-06-22T16:56:00Z">
            <w:rPr>
              <w:rFonts w:ascii="Garamond" w:hAnsi="Garamond" w:cs="Times New Roman"/>
            </w:rPr>
          </w:rPrChange>
        </w:rPr>
        <w:fldChar w:fldCharType="end"/>
      </w:r>
      <w:r>
        <w:rPr>
          <w:rFonts w:ascii="Garamond" w:hAnsi="Garamond" w:cs="Times New Roman"/>
        </w:rPr>
        <w:t xml:space="preserve">. </w:t>
      </w:r>
      <w:ins w:id="53" w:author="Benjamin J. Makhlouf" w:date="2026-06-19T15:17:00Z">
        <w:r w:rsidR="00171E1A" w:rsidRPr="00171E1A">
          <w:rPr>
            <w:rFonts w:ascii="Garamond" w:hAnsi="Garamond" w:cs="Times New Roman"/>
          </w:rPr>
          <w:t xml:space="preserve">However, the timing, yield, and duration of downstream fisheries are shaped by the combined dynamics of the multiple upstream </w:t>
        </w:r>
      </w:ins>
      <w:ins w:id="54" w:author="Benjamin J. Makhlouf" w:date="2026-06-19T15:17:00Z" w16du:dateUtc="2026-06-19T22:17:00Z">
        <w:r w:rsidR="00171E1A">
          <w:rPr>
            <w:rFonts w:ascii="Garamond" w:hAnsi="Garamond" w:cs="Times New Roman"/>
          </w:rPr>
          <w:t>sub-</w:t>
        </w:r>
      </w:ins>
      <w:ins w:id="55" w:author="Benjamin J. Makhlouf" w:date="2026-06-19T15:17:00Z">
        <w:r w:rsidR="00171E1A" w:rsidRPr="00171E1A">
          <w:rPr>
            <w:rFonts w:ascii="Garamond" w:hAnsi="Garamond" w:cs="Times New Roman"/>
          </w:rPr>
          <w:t>populations</w:t>
        </w:r>
      </w:ins>
      <w:ins w:id="56" w:author="Benjamin J. Makhlouf" w:date="2026-06-19T15:17:00Z" w16du:dateUtc="2026-06-19T22:17:00Z">
        <w:r w:rsidR="00171E1A">
          <w:rPr>
            <w:rFonts w:ascii="Garamond" w:hAnsi="Garamond" w:cs="Times New Roman"/>
          </w:rPr>
          <w:t xml:space="preserve">. </w:t>
        </w:r>
      </w:ins>
      <w:del w:id="57" w:author="Benjamin J. Makhlouf" w:date="2026-06-19T15:17:00Z" w16du:dateUtc="2026-06-19T22:17:00Z">
        <w:r w:rsidDel="00171E1A">
          <w:rPr>
            <w:rFonts w:ascii="Garamond" w:hAnsi="Garamond" w:cs="Times New Roman"/>
          </w:rPr>
          <w:delText xml:space="preserve">However, the timing, yield, and duration of downstream fisheries are the result of the aggregate dynamics of these upstream components </w:delText>
        </w:r>
      </w:del>
      <w:r>
        <w:rPr>
          <w:rFonts w:ascii="Garamond" w:hAnsi="Garamond" w:cs="Times New Roman"/>
        </w:rPr>
        <w:fldChar w:fldCharType="begin"/>
      </w:r>
      <w:r>
        <w:rPr>
          <w:rFonts w:ascii="Garamond" w:hAnsi="Garamond" w:cs="Times New Roman"/>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cs="Times New Roman"/>
        </w:rPr>
        <w:fldChar w:fldCharType="separate"/>
      </w:r>
      <w:r>
        <w:rPr>
          <w:rFonts w:ascii="Garamond" w:hAnsi="Garamond" w:cs="Times New Roman"/>
          <w:noProof/>
        </w:rPr>
        <w:t>(Nesbitt &amp; Moore, 2016)</w:t>
      </w:r>
      <w:r>
        <w:rPr>
          <w:rFonts w:ascii="Garamond" w:hAnsi="Garamond" w:cs="Times New Roman"/>
        </w:rPr>
        <w:fldChar w:fldCharType="end"/>
      </w:r>
      <w:r>
        <w:rPr>
          <w:rFonts w:ascii="Garamond" w:hAnsi="Garamond" w:cs="Times New Roman"/>
        </w:rPr>
        <w:t>.</w:t>
      </w:r>
      <w:ins w:id="58" w:author="Benjamin J. Makhlouf" w:date="2026-06-19T15:15:00Z" w16du:dateUtc="2026-06-19T22:15:00Z">
        <w:r w:rsidR="00171E1A">
          <w:rPr>
            <w:rFonts w:ascii="Garamond" w:hAnsi="Garamond" w:cs="Times New Roman"/>
          </w:rPr>
          <w:t xml:space="preserve"> </w:t>
        </w:r>
      </w:ins>
      <w:ins w:id="59" w:author="Benjamin J. Makhlouf" w:date="2026-06-19T15:18:00Z">
        <w:r w:rsidR="00171E1A" w:rsidRPr="00171E1A">
          <w:rPr>
            <w:rFonts w:ascii="Garamond" w:hAnsi="Garamond" w:cs="Times New Roman"/>
          </w:rPr>
          <w:t>For example, diversity in return timing among upstream populations may extend the duration of downstream fishing opportunities</w:t>
        </w:r>
      </w:ins>
      <w:ins w:id="60" w:author="Benjamin J. Makhlouf" w:date="2026-07-08T15:42:00Z" w16du:dateUtc="2026-07-08T22:42:00Z">
        <w:r w:rsidR="00931F9A">
          <w:rPr>
            <w:rFonts w:ascii="Garamond" w:hAnsi="Garamond" w:cs="Times New Roman"/>
          </w:rPr>
          <w:t xml:space="preserve"> by </w:t>
        </w:r>
      </w:ins>
      <w:ins w:id="61" w:author="Benjamin J. Makhlouf" w:date="2026-07-13T16:06:00Z" w16du:dateUtc="2026-07-13T23:06:00Z">
        <w:r w:rsidR="00D6070D">
          <w:rPr>
            <w:rFonts w:ascii="Garamond" w:hAnsi="Garamond" w:cs="Times New Roman"/>
          </w:rPr>
          <w:t xml:space="preserve">extending the duration of the available harvest window </w:t>
        </w:r>
      </w:ins>
      <w:ins w:id="62" w:author="Benjamin J. Makhlouf" w:date="2026-07-08T15:42:00Z" w16du:dateUtc="2026-07-08T22:42:00Z">
        <w:r w:rsidR="00931F9A" w:rsidRPr="00931F9A">
          <w:rPr>
            <w:rFonts w:ascii="Garamond" w:hAnsi="Garamond" w:cs="Times New Roman"/>
            <w:highlight w:val="yellow"/>
            <w:rPrChange w:id="63" w:author="Benjamin J. Makhlouf" w:date="2026-07-08T15:42:00Z" w16du:dateUtc="2026-07-08T22:42:00Z">
              <w:rPr>
                <w:rFonts w:ascii="Garamond" w:hAnsi="Garamond" w:cs="Times New Roman"/>
              </w:rPr>
            </w:rPrChange>
          </w:rPr>
          <w:t>(Nesbitt and Moore, 2016).</w:t>
        </w:r>
        <w:r w:rsidR="00931F9A">
          <w:rPr>
            <w:rFonts w:ascii="Garamond" w:hAnsi="Garamond" w:cs="Times New Roman"/>
          </w:rPr>
          <w:t xml:space="preserve"> </w:t>
        </w:r>
      </w:ins>
      <w:ins w:id="64" w:author="Benjamin J. Makhlouf" w:date="2026-07-13T16:04:00Z" w16du:dateUtc="2026-07-13T23:04:00Z">
        <w:r w:rsidR="00D6070D">
          <w:rPr>
            <w:rFonts w:ascii="Garamond" w:hAnsi="Garamond" w:cs="Times New Roman"/>
          </w:rPr>
          <w:t>M</w:t>
        </w:r>
      </w:ins>
      <w:ins w:id="65" w:author="Benjamin J. Makhlouf" w:date="2026-06-19T15:21:00Z">
        <w:r w:rsidR="00171E1A" w:rsidRPr="00171E1A">
          <w:rPr>
            <w:rFonts w:ascii="Garamond" w:hAnsi="Garamond" w:cs="Times New Roman"/>
          </w:rPr>
          <w:t>aintaining life-history diversity across the full stock complex enhances ecosystem resilience by spreading risk across space and time</w:t>
        </w:r>
      </w:ins>
      <w:ins w:id="66" w:author="Benjamin J. Makhlouf" w:date="2026-07-08T15:43:00Z" w16du:dateUtc="2026-07-08T22:43:00Z">
        <w:r w:rsidR="00931F9A">
          <w:rPr>
            <w:rFonts w:ascii="Garamond" w:hAnsi="Garamond" w:cs="Times New Roman"/>
          </w:rPr>
          <w:t xml:space="preserve">, </w:t>
        </w:r>
      </w:ins>
      <w:ins w:id="67" w:author="Benjamin J. Makhlouf" w:date="2026-06-19T15:21:00Z">
        <w:r w:rsidR="00171E1A" w:rsidRPr="00171E1A">
          <w:rPr>
            <w:rFonts w:ascii="Garamond" w:hAnsi="Garamond" w:cs="Times New Roman"/>
          </w:rPr>
          <w:t>result</w:t>
        </w:r>
      </w:ins>
      <w:ins w:id="68" w:author="Benjamin J. Makhlouf" w:date="2026-07-08T15:43:00Z" w16du:dateUtc="2026-07-08T22:43:00Z">
        <w:r w:rsidR="00931F9A">
          <w:rPr>
            <w:rFonts w:ascii="Garamond" w:hAnsi="Garamond" w:cs="Times New Roman"/>
          </w:rPr>
          <w:t>ing</w:t>
        </w:r>
      </w:ins>
      <w:ins w:id="69" w:author="Benjamin J. Makhlouf" w:date="2026-06-19T15:21:00Z">
        <w:r w:rsidR="00171E1A" w:rsidRPr="00171E1A">
          <w:rPr>
            <w:rFonts w:ascii="Garamond" w:hAnsi="Garamond" w:cs="Times New Roman"/>
          </w:rPr>
          <w:t xml:space="preserve"> in more reliable delivery of ecosystem services by reducing interannual variability in the abundance of returning fish at the watershed scale</w:t>
        </w:r>
      </w:ins>
      <w:ins w:id="70" w:author="Benjamin J. Makhlouf" w:date="2026-06-19T15:21:00Z" w16du:dateUtc="2026-06-19T22:21:00Z">
        <w:r w:rsidR="00171E1A">
          <w:rPr>
            <w:rFonts w:ascii="Garamond" w:hAnsi="Garamond" w:cs="Times New Roman"/>
          </w:rPr>
          <w:t xml:space="preserve"> </w:t>
        </w:r>
      </w:ins>
      <w:r>
        <w:rPr>
          <w:rFonts w:ascii="Garamond" w:hAnsi="Garamond" w:cs="Times New Roman"/>
        </w:rPr>
        <w:fldChar w:fldCharType="begin"/>
      </w:r>
      <w:r>
        <w:rPr>
          <w:rFonts w:ascii="Garamond" w:hAnsi="Garamond" w:cs="Times New Roman"/>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(Schindler et al., 2010)</w:t>
      </w:r>
      <w:r>
        <w:rPr>
          <w:rFonts w:ascii="Garamond" w:hAnsi="Garamond" w:cs="Times New Roman"/>
        </w:rPr>
        <w:fldChar w:fldCharType="end"/>
      </w:r>
      <w:r>
        <w:rPr>
          <w:rFonts w:ascii="Garamond" w:hAnsi="Garamond" w:cs="Times New Roman"/>
        </w:rPr>
        <w:t>. Designing strategies which explicitly consider and protect this biodiversity, including vulnerable upstream populations, therefore contributes to stabilizing downstream fishery resources</w:t>
      </w:r>
      <w:ins w:id="71" w:author="Benjamin J. Makhlouf" w:date="2026-06-19T15:31:00Z" w16du:dateUtc="2026-06-19T22:31:00Z">
        <w:r w:rsidR="00425BAB">
          <w:rPr>
            <w:rFonts w:ascii="Garamond" w:hAnsi="Garamond" w:cs="Times New Roman"/>
          </w:rPr>
          <w:t xml:space="preserve"> both within and among years</w:t>
        </w:r>
      </w:ins>
      <w:r>
        <w:rPr>
          <w:rFonts w:ascii="Garamond" w:hAnsi="Garamond" w:cs="Times New Roman"/>
        </w:rPr>
        <w:t xml:space="preserve">. </w:t>
      </w:r>
    </w:p>
    <w:p w14:paraId="53256603" w14:textId="3AB75814" w:rsidR="00507803" w:rsidRPr="008605CB" w:rsidRDefault="00720B50" w:rsidP="00FA76AC">
      <w:pPr>
        <w:spacing w:line="480" w:lineRule="auto"/>
        <w:ind w:firstLine="720"/>
        <w:rPr>
          <w:rFonts w:ascii="Garamond" w:hAnsi="Garamond" w:cs="Times New Roman"/>
        </w:rPr>
      </w:pPr>
      <w:ins w:id="72" w:author="Benjamin J. Makhlouf" w:date="2026-06-18T14:25:00Z" w16du:dateUtc="2026-06-18T21:25:00Z">
        <w:r>
          <w:rPr>
            <w:rFonts w:ascii="Garamond" w:hAnsi="Garamond" w:cs="Times New Roman"/>
          </w:rPr>
          <w:t>W</w:t>
        </w:r>
      </w:ins>
      <w:del w:id="73" w:author="Benjamin J. Makhlouf" w:date="2026-06-18T14:25:00Z" w16du:dateUtc="2026-06-18T21:25:00Z">
        <w:r w:rsidR="00507803" w:rsidDel="00720B50">
          <w:rPr>
            <w:rFonts w:ascii="Garamond" w:hAnsi="Garamond" w:cs="Times New Roman"/>
          </w:rPr>
          <w:delText>w</w:delText>
        </w:r>
      </w:del>
      <w:r w:rsidR="00507803">
        <w:rPr>
          <w:rFonts w:ascii="Garamond" w:hAnsi="Garamond" w:cs="Times New Roman"/>
        </w:rPr>
        <w:t xml:space="preserve">estern Alaska watersheds contain some of the last remaining pristine salmon habitat and have historically supported large returns of Pacific salmon. </w:t>
      </w:r>
      <w:r w:rsidR="00507803">
        <w:rPr>
          <w:rFonts w:ascii="Garamond" w:hAnsi="Garamond"/>
        </w:rPr>
        <w:t xml:space="preserve">The region’s three major river basins, the Yukon, Kuskokwim, and Nushagak, collectively produce approximately 80% of the world’s wild Chinook salmon, making western Alaska one of the most important remaining strongholds for the species globally </w:t>
      </w:r>
      <w:r w:rsidR="00507803">
        <w:rPr>
          <w:rFonts w:ascii="Garamond" w:hAnsi="Garamond" w:cs="Times New Roman"/>
        </w:rPr>
        <w:t>(</w:t>
      </w:r>
      <w:r w:rsidR="00507803">
        <w:rPr>
          <w:rFonts w:ascii="Garamond" w:hAnsi="Garamond" w:cs="Times New Roman"/>
          <w:i/>
          <w:iCs/>
          <w:color w:val="000000" w:themeColor="text1"/>
        </w:rPr>
        <w:t>Oncorhynchus tshawytscha</w:t>
      </w:r>
      <w:r w:rsidR="00507803">
        <w:rPr>
          <w:rFonts w:ascii="Garamond" w:hAnsi="Garamond" w:cs="Times New Roman"/>
          <w:color w:val="000000" w:themeColor="text1"/>
        </w:rPr>
        <w:t xml:space="preserve">). </w:t>
      </w:r>
      <w:r w:rsidR="00507803">
        <w:rPr>
          <w:rFonts w:ascii="Garamond" w:hAnsi="Garamond" w:cs="Times New Roman"/>
        </w:rPr>
        <w:t xml:space="preserve">However, several species of Pacific salmon, including Chinook salmon, have declined precipitously in recent years throughout western Alaska watersheds </w:t>
      </w:r>
      <w:r w:rsidR="00507803">
        <w:rPr>
          <w:rFonts w:ascii="Garamond" w:hAnsi="Garamond" w:cs="Times New Roman"/>
        </w:rPr>
        <w:lastRenderedPageBreak/>
        <w:fldChar w:fldCharType="begin"/>
      </w:r>
      <w:r w:rsidR="00507803">
        <w:rPr>
          <w:rFonts w:ascii="Garamond" w:hAnsi="Garamond" w:cs="Times New Roman"/>
        </w:rPr>
        <w:instrText xml:space="preserve"> ADDIN ZOTERO_ITEM CSL_CITATION {"citationID":"iRZI1YuK","properties":{"formattedCitation":"(KRITFC, 2024; Lamborn et al., 2025a; Ohlberger et al., 2018)","plainCitation":"(KRITFC, 2024; Lamborn et al., 2025a; Ohlberger et al., 2018)","noteIndex":0},"citationItems":[{"id":6026,"uris":["http://zotero.org/users/8421274/items/DS4UXWQI"],"itemData":{"id":6026,"type":"report","title":"Kuskokwim River Salmon Situation Report","URL":"https://static1.squarespace.com/static/5afdc3d5e74940913f78773d/t/66e4bb2dfcc5d24880434ff7/1726266166559/2023+Kusko+Situation+Report_4.19.24+final.pdf","author":[{"family":"KRITFC","given":""}],"accessed":{"date-parts":[["2025",12,31]]},"issued":{"date-parts":[["2024"]]}}},{"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(KRITFC, 2024; Lamborn et al., 2025a; Ohlberger et al., 2018)</w:t>
      </w:r>
      <w:r w:rsidR="00507803">
        <w:rPr>
          <w:rFonts w:ascii="Garamond" w:hAnsi="Garamond" w:cs="Times New Roman"/>
        </w:rPr>
        <w:fldChar w:fldCharType="end"/>
      </w:r>
      <w:r w:rsidR="00507803">
        <w:rPr>
          <w:rFonts w:ascii="Garamond" w:hAnsi="Garamond" w:cs="Times New Roman"/>
        </w:rPr>
        <w:t xml:space="preserve">, triggering a conservation crisis and leading to heavy restrictions on subsistence harvest </w:t>
      </w:r>
      <w:r w:rsidR="00507803">
        <w:rPr>
          <w:rFonts w:ascii="Garamond" w:hAnsi="Garamond" w:cs="Times New Roman"/>
        </w:rPr>
        <w:fldChar w:fldCharType="begin"/>
      </w:r>
      <w:r w:rsidR="00507803">
        <w:rPr>
          <w:rFonts w:ascii="Garamond" w:hAnsi="Garamond" w:cs="Times New Roman"/>
        </w:rPr>
        <w:instrText xml:space="preserve"> ADDIN ZOTERO_ITEM CSL_CITATION {"citationID":"0TbEctqr","properties":{"formattedCitation":"(Brown &amp; Godduhn, 2015; Lamborn et al., 2025b; Ohlberger et al., 2018)","plainCitation":"(Brown &amp; Godduhn, 2015; Lamborn et al., 2025b;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 Lamborn et al., 2025b; Ohlberger et al., 2018)</w:t>
      </w:r>
      <w:r w:rsidR="00507803">
        <w:rPr>
          <w:rFonts w:ascii="Garamond" w:hAnsi="Garamond" w:cs="Times New Roman"/>
        </w:rPr>
        <w:fldChar w:fldCharType="end"/>
      </w:r>
      <w:r w:rsidR="00507803">
        <w:rPr>
          <w:rFonts w:ascii="Garamond" w:hAnsi="Garamond" w:cs="Times New Roman"/>
        </w:rPr>
        <w:t>. In the Kuskokwim River basin, a large (127,000 km</w:t>
      </w:r>
      <w:r w:rsidR="00507803">
        <w:rPr>
          <w:rFonts w:ascii="Garamond" w:hAnsi="Garamond" w:cs="Times New Roman"/>
          <w:vertAlign w:val="superscript"/>
        </w:rPr>
        <w:t>2</w:t>
      </w:r>
      <w:r w:rsidR="00507803">
        <w:rPr>
          <w:rFonts w:ascii="Garamond" w:hAnsi="Garamond" w:cs="Times New Roman"/>
        </w:rPr>
        <w:t xml:space="preserve">) free-flowing watershed in western Alaska, Chinook salmon populations support subsistence fishing opportunities for dozens of rural communities, comprised by a majority of Alaska Natives </w:t>
      </w:r>
      <w:r w:rsidR="00507803">
        <w:rPr>
          <w:rFonts w:ascii="Garamond" w:hAnsi="Garamond" w:cs="Times New Roman"/>
        </w:rPr>
        <w:fldChar w:fldCharType="begin"/>
      </w:r>
      <w:r w:rsidR="00507803">
        <w:rPr>
          <w:rFonts w:ascii="Garamond" w:hAnsi="Garamond" w:cs="Times New Roman"/>
        </w:rPr>
        <w:instrText xml:space="preserve"> ADDIN ZOTERO_ITEM CSL_CITATION {"citationID":"QkmkPdUy","properties":{"formattedCitation":"(ADFG, 2025)","plainCitation":"(ADFG, 2025)","noteIndex":0},"citationItems":[{"id":6067,"uris":["http://zotero.org/users/8421274/items/8A49P58R"],"itemData":{"id":6067,"type":"webpage","abstract":"Fishing info for subsistence fishing for Kuskokwim - Alaska Department of Fish and Game","language":"en","title":"Kuskokwim River Area: Subsistance Fishing","URL":"https://www.adfg.alaska.gov/index.cfm?adfg=ByAreaSubsistenceKuskokwim.fishingInfo","author":[{"family":"ADFG","given":""}],"accessed":{"date-parts":[["2026",1,14]]},"issued":{"date-parts":[["2025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(ADFG, 2025)</w:t>
      </w:r>
      <w:r w:rsidR="00507803">
        <w:rPr>
          <w:rFonts w:ascii="Garamond" w:hAnsi="Garamond" w:cs="Times New Roman"/>
        </w:rPr>
        <w:fldChar w:fldCharType="end"/>
      </w:r>
      <w:r w:rsidR="00507803">
        <w:rPr>
          <w:rFonts w:ascii="Garamond" w:hAnsi="Garamond" w:cs="Times New Roman"/>
        </w:rPr>
        <w:t xml:space="preserve">. </w:t>
      </w:r>
      <w:commentRangeStart w:id="74"/>
      <w:r w:rsidR="00507803">
        <w:rPr>
          <w:rFonts w:ascii="Garamond" w:hAnsi="Garamond" w:cs="Times New Roman"/>
        </w:rPr>
        <w:t>Subsistence</w:t>
      </w:r>
      <w:commentRangeEnd w:id="74"/>
      <w:r w:rsidR="005A4F22">
        <w:rPr>
          <w:rStyle w:val="CommentReference"/>
          <w:rFonts w:ascii="Garamond" w:hAnsi="Garamond" w:cs="Times New Roman"/>
          <w:sz w:val="24"/>
          <w:szCs w:val="24"/>
        </w:rPr>
        <w:commentReference w:id="74"/>
      </w:r>
      <w:r w:rsidR="00507803">
        <w:rPr>
          <w:rFonts w:ascii="Garamond" w:hAnsi="Garamond" w:cs="Times New Roman"/>
        </w:rPr>
        <w:t xml:space="preserve"> fisheries are the primary form of harvest in the watershed, and nearly every household participates in the fishery in some way. As a result, fishery restrictions have led to significant hardship in the basin, including food insecurity and cultural loss </w:t>
      </w:r>
      <w:r w:rsidR="00507803">
        <w:rPr>
          <w:rFonts w:ascii="Garamond" w:hAnsi="Garamond" w:cs="Times New Roman"/>
        </w:rPr>
        <w:fldChar w:fldCharType="begin"/>
      </w:r>
      <w:r w:rsidR="00507803">
        <w:rPr>
          <w:rFonts w:ascii="Garamond" w:hAnsi="Garamond" w:cs="Times New Roman"/>
        </w:rPr>
        <w:instrText xml:space="preserve"> ADDIN ZOTERO_ITEM CSL_CITATION {"citationID":"GpuhDn3V","properties":{"formattedCitation":"(Brown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w:t>
      </w:r>
      <w:r w:rsidR="00507803">
        <w:rPr>
          <w:rFonts w:ascii="Garamond" w:hAnsi="Garamond" w:cs="Times New Roman"/>
        </w:rPr>
        <w:fldChar w:fldCharType="end"/>
      </w:r>
      <w:r w:rsidR="00507803">
        <w:rPr>
          <w:rFonts w:ascii="Garamond" w:hAnsi="Garamond" w:cs="Times New Roman"/>
        </w:rPr>
        <w:t xml:space="preserve">. Resource managers are therefore tasked with designing management strategies that allow for harvest opportunities while simultaneously rebuilding basin-wide abundance and maintaining population biodiversity across the watershed. </w:t>
      </w:r>
    </w:p>
    <w:p w14:paraId="33D471AB" w14:textId="77777777" w:rsidR="00066384" w:rsidRDefault="00507803" w:rsidP="00066384">
      <w:pPr>
        <w:spacing w:line="480" w:lineRule="auto"/>
        <w:ind w:firstLine="720"/>
        <w:rPr>
          <w:ins w:id="75" w:author="Benjamin J. Makhlouf" w:date="2026-07-13T16:18:00Z" w16du:dateUtc="2026-07-13T23:18:00Z"/>
          <w:rFonts w:ascii="Garamond" w:hAnsi="Garamond" w:cs="Times New Roman"/>
        </w:rPr>
      </w:pPr>
      <w:r>
        <w:rPr>
          <w:rStyle w:val="Strong"/>
          <w:rFonts w:ascii="Garamond" w:hAnsi="Garamond" w:cs="Times New Roman"/>
          <w:b w:val="0"/>
          <w:bCs w:val="0"/>
        </w:rPr>
        <w:t>A current management approach implemented in the Kuskokwim River basin has been a front-end closure which prohibits fishing during a fixed temporal window from June 1</w:t>
      </w:r>
      <w:r>
        <w:rPr>
          <w:rStyle w:val="Strong"/>
          <w:rFonts w:ascii="Garamond" w:hAnsi="Garamond" w:cs="Times New Roman"/>
          <w:b w:val="0"/>
          <w:bCs w:val="0"/>
          <w:vertAlign w:val="superscript"/>
        </w:rPr>
        <w:t>st</w:t>
      </w:r>
      <w:r>
        <w:rPr>
          <w:rStyle w:val="Strong"/>
          <w:rFonts w:ascii="Garamond" w:hAnsi="Garamond" w:cs="Times New Roman"/>
          <w:b w:val="0"/>
          <w:bCs w:val="0"/>
        </w:rPr>
        <w:t xml:space="preserve"> to June 11</w:t>
      </w:r>
      <w:r>
        <w:rPr>
          <w:rStyle w:val="Strong"/>
          <w:rFonts w:ascii="Garamond" w:hAnsi="Garamond" w:cs="Times New Roman"/>
          <w:b w:val="0"/>
          <w:bCs w:val="0"/>
          <w:vertAlign w:val="superscript"/>
        </w:rPr>
        <w:t>th</w:t>
      </w:r>
      <w:r>
        <w:rPr>
          <w:rStyle w:val="Strong"/>
          <w:rFonts w:ascii="Garamond" w:hAnsi="Garamond" w:cs="Times New Roman"/>
          <w:b w:val="0"/>
          <w:bCs w:val="0"/>
        </w:rPr>
        <w:t xml:space="preserve">. </w:t>
      </w:r>
      <w:r>
        <w:rPr>
          <w:rFonts w:ascii="Garamond" w:hAnsi="Garamond" w:cs="Times New Roman"/>
        </w:rPr>
        <w:t>This strategy is designed to protect early migrating fish which are assumed to be returning to spawn in the furthest upstream regions of the Kuskokwim River</w:t>
      </w:r>
      <w:ins w:id="76" w:author="Benjamin J. Makhlouf" w:date="2026-07-08T16:13:00Z" w16du:dateUtc="2026-07-08T23:13:00Z">
        <w:r w:rsidR="00636BF3">
          <w:rPr>
            <w:rFonts w:ascii="Garamond" w:hAnsi="Garamond" w:cs="Times New Roman"/>
          </w:rPr>
          <w:t xml:space="preserve"> </w:t>
        </w:r>
      </w:ins>
      <w:del w:id="77" w:author="Benjamin J. Makhlouf" w:date="2026-07-08T16:13:00Z" w16du:dateUtc="2026-07-08T23:13:00Z">
        <w:r w:rsidDel="00636BF3">
          <w:rPr>
            <w:rFonts w:ascii="Garamond" w:hAnsi="Garamond" w:cs="Times New Roman"/>
          </w:rPr>
          <w:delText>.</w:delText>
        </w:r>
      </w:del>
      <w:ins w:id="78" w:author="Benjamin J. Makhlouf" w:date="2026-07-08T15:59:00Z" w16du:dateUtc="2026-07-08T22:59:00Z">
        <w:r w:rsidR="001B609C">
          <w:rPr>
            <w:rFonts w:ascii="Garamond" w:hAnsi="Garamond" w:cs="Times New Roman"/>
          </w:rPr>
          <w:t xml:space="preserve">based on  patterns observed in other systems </w:t>
        </w:r>
        <w:r w:rsidR="001B609C">
          <w:rPr>
            <w:rFonts w:ascii="Garamond" w:hAnsi="Garamond" w:cs="Times New Roman"/>
          </w:rPr>
          <w:fldChar w:fldCharType="begin"/>
        </w:r>
        <w:r w:rsidR="001B609C">
          <w:rPr>
            <w:rFonts w:ascii="Garamond" w:hAnsi="Garamond" w:cs="Times New Roman"/>
          </w:rPr>
          <w: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sidR="001B609C">
          <w:rPr>
            <w:rFonts w:ascii="Cambria Math" w:hAnsi="Cambria Math" w:cs="Cambria Math"/>
          </w:rPr>
          <w:instrText>‐</w:instrText>
        </w:r>
        <w:r w:rsidR="001B609C">
          <w:rPr>
            <w:rFonts w:ascii="Garamond" w:hAnsi="Garamond" w:cs="Times New Roman"/>
          </w:rPr>
          <w:instrText>wide effects of body size, sex, spawning location, and year on the timing of spawning</w:instrText>
        </w:r>
        <w:r w:rsidR="001B609C">
          <w:rPr>
            <w:rFonts w:ascii="Cambria Math" w:hAnsi="Cambria Math" w:cs="Cambria Math"/>
          </w:rPr>
          <w:instrText>‐</w:instrText>
        </w:r>
        <w:r w:rsidR="001B609C">
          <w:rPr>
            <w:rFonts w:ascii="Garamond" w:hAnsi="Garamond" w:cs="Times New Roman"/>
          </w:rPr>
          <w:instrText>run migration into the Togiak River. Migration data and spawning fate were collected using radiotelemetry and analyzed with mixed effects models to account for among</w:instrText>
        </w:r>
        <w:r w:rsidR="001B609C">
          <w:rPr>
            <w:rFonts w:ascii="Cambria Math" w:hAnsi="Cambria Math" w:cs="Cambria Math"/>
          </w:rPr>
          <w:instrText>‐</w:instrText>
        </w:r>
        <w:r w:rsidR="001B609C">
          <w:rPr>
            <w:rFonts w:ascii="Garamond" w:hAnsi="Garamond" w:cs="Times New Roman"/>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sidR="001B609C">
          <w:rPr>
            <w:rFonts w:ascii="Garamond" w:hAnsi="Garamond" w:cs="Times New Roman"/>
          </w:rPr>
          <w:fldChar w:fldCharType="separate"/>
        </w:r>
        <w:r w:rsidR="001B609C">
          <w:rPr>
            <w:rFonts w:ascii="Garamond" w:hAnsi="Garamond" w:cs="Times New Roman"/>
            <w:noProof/>
          </w:rPr>
          <w:t>(S. C. Clark et al., 2015)</w:t>
        </w:r>
        <w:r w:rsidR="001B609C">
          <w:rPr>
            <w:rFonts w:ascii="Garamond" w:hAnsi="Garamond" w:cs="Times New Roman"/>
          </w:rPr>
          <w:fldChar w:fldCharType="end"/>
        </w:r>
        <w:r w:rsidR="001B609C">
          <w:rPr>
            <w:rFonts w:ascii="Garamond" w:hAnsi="Garamond" w:cs="Times New Roman"/>
          </w:rPr>
          <w:t xml:space="preserve">, telemetry data in the Kuskokwim </w:t>
        </w:r>
        <w:r w:rsidR="001B609C">
          <w:rPr>
            <w:rFonts w:ascii="Garamond" w:hAnsi="Garamond" w:cs="Times New Roman"/>
          </w:rPr>
          <w:fldChar w:fldCharType="begin"/>
        </w:r>
        <w:r w:rsidR="001B609C">
          <w:rPr>
            <w:rFonts w:ascii="Garamond" w:hAnsi="Garamond" w:cs="Times New Roman"/>
          </w:rPr>
          <w: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instrText>
        </w:r>
        <w:r w:rsidR="001B609C">
          <w:rPr>
            <w:rFonts w:ascii="Garamond" w:hAnsi="Garamond" w:cs="Times New Roman"/>
          </w:rPr>
          <w:fldChar w:fldCharType="separate"/>
        </w:r>
        <w:r w:rsidR="001B609C">
          <w:rPr>
            <w:rFonts w:ascii="Garamond" w:hAnsi="Garamond" w:cs="Times New Roman"/>
            <w:noProof/>
          </w:rPr>
          <w:t>(J. N. Clark &amp; Smith, 2019; Head et al., 2017; Smith &amp; Liller, 2017a, 2017b)</w:t>
        </w:r>
        <w:r w:rsidR="001B609C">
          <w:rPr>
            <w:rFonts w:ascii="Garamond" w:hAnsi="Garamond" w:cs="Times New Roman"/>
          </w:rPr>
          <w:fldChar w:fldCharType="end"/>
        </w:r>
        <w:r w:rsidR="001B609C">
          <w:rPr>
            <w:rFonts w:ascii="Garamond" w:hAnsi="Garamond" w:cs="Times New Roman"/>
          </w:rPr>
          <w:t xml:space="preserve">, and traditional and local knowledge held by Tribal citizens and </w:t>
        </w:r>
        <w:r w:rsidR="001B609C" w:rsidRPr="00D6070D">
          <w:rPr>
            <w:rFonts w:ascii="Garamond" w:hAnsi="Garamond" w:cs="Times New Roman"/>
          </w:rPr>
          <w:t>stakeholders</w:t>
        </w:r>
      </w:ins>
      <w:ins w:id="79" w:author="Benjamin J. Makhlouf" w:date="2026-07-08T16:20:00Z" w16du:dateUtc="2026-07-08T23:20:00Z">
        <w:r w:rsidR="00636BF3" w:rsidRPr="00D6070D">
          <w:rPr>
            <w:rFonts w:ascii="Garamond" w:hAnsi="Garamond" w:cs="Times New Roman"/>
          </w:rPr>
          <w:t xml:space="preserve"> </w:t>
        </w:r>
        <w:r w:rsidR="00636BF3" w:rsidRPr="00636BF3">
          <w:rPr>
            <w:rFonts w:ascii="Garamond" w:hAnsi="Garamond" w:cs="Times New Roman"/>
            <w:highlight w:val="yellow"/>
            <w:rPrChange w:id="80" w:author="Benjamin J. Makhlouf" w:date="2026-07-08T16:21:00Z" w16du:dateUtc="2026-07-08T23:21:00Z">
              <w:rPr>
                <w:rFonts w:ascii="Garamond" w:hAnsi="Garamond" w:cs="Times New Roman"/>
              </w:rPr>
            </w:rPrChange>
          </w:rPr>
          <w:t>(Mikow et al., 2019)</w:t>
        </w:r>
      </w:ins>
      <w:ins w:id="81" w:author="Benjamin J. Makhlouf" w:date="2026-07-08T15:59:00Z" w16du:dateUtc="2026-07-08T22:59:00Z">
        <w:r w:rsidR="001B609C" w:rsidRPr="00636BF3">
          <w:rPr>
            <w:rFonts w:ascii="Garamond" w:hAnsi="Garamond" w:cs="Times New Roman"/>
            <w:highlight w:val="yellow"/>
            <w:rPrChange w:id="82" w:author="Benjamin J. Makhlouf" w:date="2026-07-08T16:21:00Z" w16du:dateUtc="2026-07-08T23:21:00Z">
              <w:rPr>
                <w:rFonts w:ascii="Garamond" w:hAnsi="Garamond" w:cs="Times New Roman"/>
              </w:rPr>
            </w:rPrChange>
          </w:rPr>
          <w:t>.</w:t>
        </w:r>
      </w:ins>
      <w:ins w:id="83" w:author="Benjamin J. Makhlouf" w:date="2026-07-08T16:00:00Z" w16du:dateUtc="2026-07-08T23:00:00Z">
        <w:r w:rsidR="001B609C">
          <w:rPr>
            <w:rFonts w:ascii="Garamond" w:hAnsi="Garamond" w:cs="Times New Roman"/>
          </w:rPr>
          <w:t xml:space="preserve"> </w:t>
        </w:r>
      </w:ins>
      <w:ins w:id="84" w:author="Benjamin J. Makhlouf" w:date="2026-07-08T16:12:00Z">
        <w:r w:rsidR="00636BF3" w:rsidRPr="00636BF3">
          <w:rPr>
            <w:rFonts w:ascii="Garamond" w:hAnsi="Garamond" w:cs="Times New Roman"/>
          </w:rPr>
          <w:t>Telemetry studies conducted over several years have provided variable estimates of the relative contribution of upper watershed Chinook salmon</w:t>
        </w:r>
      </w:ins>
      <w:ins w:id="85" w:author="Benjamin J. Makhlouf" w:date="2026-07-12T16:58:00Z" w16du:dateUtc="2026-07-12T23:58:00Z">
        <w:r w:rsidR="009C7F14">
          <w:rPr>
            <w:rFonts w:ascii="Garamond" w:hAnsi="Garamond" w:cs="Times New Roman"/>
          </w:rPr>
          <w:t>, mo</w:t>
        </w:r>
      </w:ins>
      <w:ins w:id="86" w:author="Benjamin J. Makhlouf" w:date="2026-07-12T16:59:00Z" w16du:dateUtc="2026-07-12T23:59:00Z">
        <w:r w:rsidR="009C7F14">
          <w:rPr>
            <w:rFonts w:ascii="Garamond" w:hAnsi="Garamond" w:cs="Times New Roman"/>
          </w:rPr>
          <w:t>st commonly identified as those at or above McGrath, Alaska,</w:t>
        </w:r>
      </w:ins>
      <w:ins w:id="87" w:author="Benjamin J. Makhlouf" w:date="2026-07-08T16:12:00Z">
        <w:r w:rsidR="00636BF3" w:rsidRPr="00636BF3">
          <w:rPr>
            <w:rFonts w:ascii="Garamond" w:hAnsi="Garamond" w:cs="Times New Roman"/>
          </w:rPr>
          <w:t xml:space="preserve"> ranging from &lt;10% to </w:t>
        </w:r>
      </w:ins>
      <w:ins w:id="88" w:author="Benjamin J. Makhlouf" w:date="2026-07-13T16:10:00Z" w16du:dateUtc="2026-07-13T23:10:00Z">
        <w:r w:rsidR="00D6070D">
          <w:rPr>
            <w:rFonts w:ascii="Garamond" w:hAnsi="Garamond" w:cs="Times New Roman"/>
          </w:rPr>
          <w:t>close to</w:t>
        </w:r>
      </w:ins>
      <w:ins w:id="89" w:author="Benjamin J. Makhlouf" w:date="2026-07-08T16:12:00Z">
        <w:r w:rsidR="00636BF3" w:rsidRPr="00636BF3">
          <w:rPr>
            <w:rFonts w:ascii="Garamond" w:hAnsi="Garamond" w:cs="Times New Roman"/>
          </w:rPr>
          <w:t xml:space="preserve"> 25% </w:t>
        </w:r>
      </w:ins>
      <w:ins w:id="90" w:author="Benjamin J. Makhlouf" w:date="2026-07-13T16:10:00Z" w16du:dateUtc="2026-07-13T23:10:00Z">
        <w:r w:rsidR="00D6070D">
          <w:rPr>
            <w:rFonts w:ascii="Garamond" w:hAnsi="Garamond" w:cs="Times New Roman"/>
          </w:rPr>
          <w:t xml:space="preserve">of the total run </w:t>
        </w:r>
      </w:ins>
      <w:ins w:id="91" w:author="Benjamin J. Makhlouf" w:date="2026-07-08T16:12:00Z">
        <w:r w:rsidR="00636BF3" w:rsidRPr="00636BF3">
          <w:rPr>
            <w:rFonts w:ascii="Garamond" w:hAnsi="Garamond" w:cs="Times New Roman"/>
          </w:rPr>
          <w:t xml:space="preserve">(Stuby 2007; Schaberg et al. 2012; Head et al. 2017; Smith and Liller 2017a). </w:t>
        </w:r>
      </w:ins>
      <w:ins w:id="92" w:author="Benjamin J. Makhlouf" w:date="2026-07-13T16:13:00Z" w16du:dateUtc="2026-07-13T23:13:00Z">
        <w:r w:rsidR="00D6070D">
          <w:rPr>
            <w:rFonts w:ascii="Garamond" w:hAnsi="Garamond" w:cs="Times New Roman"/>
          </w:rPr>
          <w:t xml:space="preserve">Although a relatively small proportion of the total </w:t>
        </w:r>
      </w:ins>
      <w:ins w:id="93" w:author="Benjamin J. Makhlouf" w:date="2026-07-13T16:14:00Z" w16du:dateUtc="2026-07-13T23:14:00Z">
        <w:r w:rsidR="00D6070D">
          <w:rPr>
            <w:rFonts w:ascii="Garamond" w:hAnsi="Garamond" w:cs="Times New Roman"/>
          </w:rPr>
          <w:t xml:space="preserve">residents in the Kuskokwim (&lt;10%) live in the upper reaches of the watershed, </w:t>
        </w:r>
        <w:r w:rsidR="00066384">
          <w:rPr>
            <w:rFonts w:ascii="Garamond" w:hAnsi="Garamond" w:cs="Times New Roman"/>
          </w:rPr>
          <w:t>Chinook salmon returning t</w:t>
        </w:r>
      </w:ins>
      <w:ins w:id="94" w:author="Benjamin J. Makhlouf" w:date="2026-07-13T16:15:00Z" w16du:dateUtc="2026-07-13T23:15:00Z">
        <w:r w:rsidR="00066384">
          <w:rPr>
            <w:rFonts w:ascii="Garamond" w:hAnsi="Garamond" w:cs="Times New Roman"/>
          </w:rPr>
          <w:t xml:space="preserve">o these tributaries are a critical subsistence resource. However, </w:t>
        </w:r>
      </w:ins>
      <w:ins w:id="95" w:author="Benjamin J. Makhlouf" w:date="2026-07-13T16:11:00Z" w16du:dateUtc="2026-07-13T23:11:00Z">
        <w:r w:rsidR="00D6070D">
          <w:rPr>
            <w:rFonts w:ascii="Garamond" w:hAnsi="Garamond" w:cs="Times New Roman"/>
          </w:rPr>
          <w:t xml:space="preserve">the vast majority </w:t>
        </w:r>
      </w:ins>
      <w:ins w:id="96" w:author="Benjamin J. Makhlouf" w:date="2026-07-08T16:12:00Z" w16du:dateUtc="2026-07-08T23:12:00Z">
        <w:r w:rsidR="00636BF3">
          <w:rPr>
            <w:rFonts w:ascii="Garamond" w:hAnsi="Garamond" w:cs="Times New Roman"/>
          </w:rPr>
          <w:t xml:space="preserve"> (&gt;85%) of the total harvest occurs in the lower portions of the </w:t>
        </w:r>
      </w:ins>
      <w:ins w:id="97" w:author="Benjamin J. Makhlouf" w:date="2026-07-13T16:15:00Z" w16du:dateUtc="2026-07-13T23:15:00Z">
        <w:r w:rsidR="00066384">
          <w:rPr>
            <w:rFonts w:ascii="Garamond" w:hAnsi="Garamond" w:cs="Times New Roman"/>
          </w:rPr>
          <w:t xml:space="preserve">and </w:t>
        </w:r>
        <w:r w:rsidR="00066384">
          <w:rPr>
            <w:rFonts w:ascii="Garamond" w:hAnsi="Garamond" w:cs="Times New Roman"/>
          </w:rPr>
          <w:lastRenderedPageBreak/>
          <w:t>disproportionately early in the season</w:t>
        </w:r>
      </w:ins>
      <w:ins w:id="98" w:author="Benjamin J. Makhlouf" w:date="2026-07-08T16:12:00Z" w16du:dateUtc="2026-07-08T23:12:00Z">
        <w:r w:rsidR="00636BF3">
          <w:rPr>
            <w:rFonts w:ascii="Garamond" w:hAnsi="Garamond" w:cs="Times New Roman"/>
          </w:rPr>
          <w:t xml:space="preserve"> </w:t>
        </w:r>
      </w:ins>
      <w:ins w:id="99" w:author="Benjamin J. Makhlouf" w:date="2026-07-08T15:55:00Z" w16du:dateUtc="2026-07-08T22:55:00Z">
        <w:r w:rsidR="001B609C">
          <w:rPr>
            <w:rFonts w:ascii="Garamond" w:hAnsi="Garamond" w:cs="Times New Roman"/>
          </w:rPr>
          <w:t xml:space="preserve"> </w:t>
        </w:r>
        <w:r w:rsidR="001B609C" w:rsidRPr="00636BF3">
          <w:rPr>
            <w:rFonts w:ascii="Garamond" w:hAnsi="Garamond" w:cs="Times New Roman"/>
            <w:highlight w:val="yellow"/>
            <w:rPrChange w:id="100" w:author="Benjamin J. Makhlouf" w:date="2026-07-08T16:13:00Z" w16du:dateUtc="2026-07-08T23:13:00Z">
              <w:rPr>
                <w:rFonts w:ascii="Garamond" w:hAnsi="Garamond" w:cs="Times New Roman"/>
              </w:rPr>
            </w:rPrChange>
          </w:rPr>
          <w:t>(</w:t>
        </w:r>
      </w:ins>
      <w:ins w:id="101" w:author="Benjamin J. Makhlouf" w:date="2026-07-08T16:13:00Z" w16du:dateUtc="2026-07-08T23:13:00Z">
        <w:r w:rsidR="00636BF3" w:rsidRPr="00636BF3">
          <w:rPr>
            <w:rFonts w:ascii="Garamond" w:hAnsi="Garamond" w:cs="Times New Roman"/>
            <w:highlight w:val="yellow"/>
            <w:rPrChange w:id="102" w:author="Benjamin J. Makhlouf" w:date="2026-07-08T16:13:00Z" w16du:dateUtc="2026-07-08T23:13:00Z">
              <w:rPr>
                <w:rFonts w:ascii="Garamond" w:hAnsi="Garamond" w:cs="Times New Roman"/>
              </w:rPr>
            </w:rPrChange>
          </w:rPr>
          <w:t xml:space="preserve">Hamazaki 2008, </w:t>
        </w:r>
      </w:ins>
      <w:ins w:id="103" w:author="Benjamin J. Makhlouf" w:date="2026-07-08T15:55:00Z" w16du:dateUtc="2026-07-08T22:55:00Z">
        <w:r w:rsidR="001B609C" w:rsidRPr="00636BF3">
          <w:rPr>
            <w:rFonts w:ascii="Garamond" w:hAnsi="Garamond" w:cs="Times New Roman"/>
            <w:highlight w:val="yellow"/>
            <w:rPrChange w:id="104" w:author="Benjamin J. Makhlouf" w:date="2026-07-08T16:13:00Z" w16du:dateUtc="2026-07-08T23:13:00Z">
              <w:rPr>
                <w:rFonts w:ascii="Garamond" w:hAnsi="Garamond" w:cs="Times New Roman"/>
              </w:rPr>
            </w:rPrChange>
          </w:rPr>
          <w:t>Tiernan and Poetter 2015).</w:t>
        </w:r>
      </w:ins>
      <w:ins w:id="105" w:author="Benjamin J. Makhlouf" w:date="2026-07-08T16:16:00Z" w16du:dateUtc="2026-07-08T23:16:00Z">
        <w:r w:rsidR="00636BF3">
          <w:rPr>
            <w:rFonts w:ascii="Garamond" w:hAnsi="Garamond" w:cs="Times New Roman"/>
          </w:rPr>
          <w:t xml:space="preserve"> As suc</w:t>
        </w:r>
      </w:ins>
      <w:ins w:id="106" w:author="Benjamin J. Makhlouf" w:date="2026-07-08T16:17:00Z" w16du:dateUtc="2026-07-08T23:17:00Z">
        <w:r w:rsidR="00636BF3">
          <w:rPr>
            <w:rFonts w:ascii="Garamond" w:hAnsi="Garamond" w:cs="Times New Roman"/>
          </w:rPr>
          <w:t xml:space="preserve">h, there is concern that upper watershed stocks may be </w:t>
        </w:r>
      </w:ins>
      <w:del w:id="107" w:author="Benjamin J. Makhlouf" w:date="2026-07-08T15:52:00Z" w16du:dateUtc="2026-07-08T22:52:00Z">
        <w:r w:rsidDel="001B609C">
          <w:rPr>
            <w:rFonts w:ascii="Garamond" w:hAnsi="Garamond" w:cs="Times New Roman"/>
          </w:rPr>
          <w:delText xml:space="preserve"> </w:delText>
        </w:r>
      </w:del>
      <w:ins w:id="108" w:author="Benjamin J. Makhlouf" w:date="2026-07-08T16:17:00Z" w16du:dateUtc="2026-07-08T23:17:00Z">
        <w:r w:rsidR="00636BF3">
          <w:rPr>
            <w:rFonts w:ascii="Garamond" w:hAnsi="Garamond" w:cs="Times New Roman"/>
          </w:rPr>
          <w:t>overexploited by downstream fisheries</w:t>
        </w:r>
      </w:ins>
      <w:ins w:id="109" w:author="Benjamin J. Makhlouf" w:date="2026-07-13T16:11:00Z" w16du:dateUtc="2026-07-13T23:11:00Z">
        <w:r w:rsidR="00D6070D">
          <w:rPr>
            <w:rFonts w:ascii="Garamond" w:hAnsi="Garamond" w:cs="Times New Roman"/>
          </w:rPr>
          <w:t>, putting th</w:t>
        </w:r>
      </w:ins>
      <w:ins w:id="110" w:author="Benjamin J. Makhlouf" w:date="2026-07-13T16:12:00Z" w16du:dateUtc="2026-07-13T23:12:00Z">
        <w:r w:rsidR="00D6070D">
          <w:rPr>
            <w:rFonts w:ascii="Garamond" w:hAnsi="Garamond" w:cs="Times New Roman"/>
          </w:rPr>
          <w:t xml:space="preserve">em at risk of extirpation and limiting subsistence access for upstream communities. </w:t>
        </w:r>
      </w:ins>
      <w:ins w:id="111" w:author="Benjamin J. Makhlouf" w:date="2026-07-08T16:18:00Z" w16du:dateUtc="2026-07-08T23:18:00Z">
        <w:r w:rsidR="00636BF3">
          <w:rPr>
            <w:rFonts w:ascii="Garamond" w:hAnsi="Garamond" w:cs="Times New Roman"/>
          </w:rPr>
          <w:t>By implementing a front-end fishery closure, managers aim to</w:t>
        </w:r>
      </w:ins>
      <w:ins w:id="112" w:author="Benjamin J. Makhlouf" w:date="2026-07-13T16:16:00Z" w16du:dateUtc="2026-07-13T23:16:00Z">
        <w:r w:rsidR="00066384">
          <w:rPr>
            <w:rFonts w:ascii="Garamond" w:hAnsi="Garamond" w:cs="Times New Roman"/>
          </w:rPr>
          <w:t xml:space="preserve"> both</w:t>
        </w:r>
      </w:ins>
      <w:ins w:id="113" w:author="Benjamin J. Makhlouf" w:date="2026-07-08T16:18:00Z" w16du:dateUtc="2026-07-08T23:18:00Z">
        <w:r w:rsidR="00636BF3">
          <w:rPr>
            <w:rFonts w:ascii="Garamond" w:hAnsi="Garamond" w:cs="Times New Roman"/>
          </w:rPr>
          <w:t xml:space="preserve"> </w:t>
        </w:r>
      </w:ins>
      <w:moveToRangeStart w:id="114" w:author="Benjamin J. Makhlouf" w:date="2026-06-19T15:33:00Z" w:name="move232775618"/>
      <w:moveTo w:id="115" w:author="Benjamin J. Makhlouf" w:date="2026-06-19T15:33:00Z" w16du:dateUtc="2026-06-19T22:33:00Z">
        <w:del w:id="116" w:author="Benjamin J. Makhlouf" w:date="2026-06-19T15:34:00Z" w16du:dateUtc="2026-06-19T22:34:00Z">
          <w:r w:rsidR="00425BAB" w:rsidDel="00425BAB">
            <w:rPr>
              <w:rFonts w:ascii="Garamond" w:hAnsi="Garamond" w:cs="Times New Roman"/>
            </w:rPr>
            <w:delText xml:space="preserve">By protecting upriver stocks, managers aim to </w:delText>
          </w:r>
        </w:del>
        <w:r w:rsidR="00425BAB">
          <w:rPr>
            <w:rFonts w:ascii="Garamond" w:hAnsi="Garamond" w:cs="Times New Roman"/>
          </w:rPr>
          <w:t>support basin-wide escapement goals</w:t>
        </w:r>
      </w:moveTo>
      <w:ins w:id="117" w:author="Benjamin J. Makhlouf" w:date="2026-07-12T13:35:00Z" w16du:dateUtc="2026-07-12T20:35:00Z">
        <w:r w:rsidR="004E7082">
          <w:rPr>
            <w:rFonts w:ascii="Garamond" w:hAnsi="Garamond" w:cs="Times New Roman"/>
          </w:rPr>
          <w:t xml:space="preserve"> and</w:t>
        </w:r>
      </w:ins>
      <w:ins w:id="118" w:author="Benjamin J. Makhlouf" w:date="2026-07-12T13:47:00Z" w16du:dateUtc="2026-07-12T20:47:00Z">
        <w:r w:rsidR="00E52637">
          <w:rPr>
            <w:rFonts w:ascii="Garamond" w:hAnsi="Garamond" w:cs="Times New Roman"/>
          </w:rPr>
          <w:t xml:space="preserve"> </w:t>
        </w:r>
      </w:ins>
      <w:moveTo w:id="119" w:author="Benjamin J. Makhlouf" w:date="2026-06-19T15:33:00Z" w16du:dateUtc="2026-06-19T22:33:00Z">
        <w:del w:id="120" w:author="Benjamin J. Makhlouf" w:date="2026-07-12T13:35:00Z" w16du:dateUtc="2026-07-12T20:35:00Z">
          <w:r w:rsidR="00425BAB" w:rsidDel="004E7082">
            <w:rPr>
              <w:rFonts w:ascii="Garamond" w:hAnsi="Garamond" w:cs="Times New Roman"/>
            </w:rPr>
            <w:delText xml:space="preserve">, </w:delText>
          </w:r>
        </w:del>
        <w:r w:rsidR="00425BAB">
          <w:rPr>
            <w:rFonts w:ascii="Garamond" w:hAnsi="Garamond" w:cs="Times New Roman"/>
          </w:rPr>
          <w:t>provide more equitable harvest opportunities to upstream communities</w:t>
        </w:r>
      </w:moveTo>
      <w:ins w:id="121" w:author="Benjamin J. Makhlouf" w:date="2026-07-13T16:16:00Z" w16du:dateUtc="2026-07-13T23:16:00Z">
        <w:r w:rsidR="00066384">
          <w:rPr>
            <w:rFonts w:ascii="Garamond" w:hAnsi="Garamond" w:cs="Times New Roman"/>
          </w:rPr>
          <w:t xml:space="preserve">. </w:t>
        </w:r>
      </w:ins>
      <w:ins w:id="122" w:author="Benjamin J. Makhlouf" w:date="2026-07-13T16:17:00Z" w16du:dateUtc="2026-07-13T23:17:00Z">
        <w:r w:rsidR="00066384">
          <w:rPr>
            <w:rFonts w:ascii="Garamond" w:hAnsi="Garamond" w:cs="Times New Roman"/>
          </w:rPr>
          <w:t>Pr</w:t>
        </w:r>
      </w:ins>
      <w:ins w:id="123" w:author="Benjamin J. Makhlouf" w:date="2026-07-13T16:16:00Z" w16du:dateUtc="2026-07-13T23:16:00Z">
        <w:r w:rsidR="00066384">
          <w:rPr>
            <w:rFonts w:ascii="Garamond" w:hAnsi="Garamond" w:cs="Times New Roman"/>
          </w:rPr>
          <w:t>otecting upriver stocks from extirpation</w:t>
        </w:r>
      </w:ins>
      <w:ins w:id="124" w:author="Benjamin J. Makhlouf" w:date="2026-07-13T16:17:00Z" w16du:dateUtc="2026-07-13T23:17:00Z">
        <w:r w:rsidR="00066384">
          <w:rPr>
            <w:rFonts w:ascii="Garamond" w:hAnsi="Garamond" w:cs="Times New Roman"/>
          </w:rPr>
          <w:t xml:space="preserve"> </w:t>
        </w:r>
      </w:ins>
      <w:ins w:id="125" w:author="Benjamin J. Makhlouf" w:date="2026-07-13T16:16:00Z" w16du:dateUtc="2026-07-13T23:16:00Z">
        <w:r w:rsidR="00066384">
          <w:rPr>
            <w:rFonts w:ascii="Garamond" w:hAnsi="Garamond" w:cs="Times New Roman"/>
          </w:rPr>
          <w:t xml:space="preserve">may also </w:t>
        </w:r>
      </w:ins>
      <w:ins w:id="126" w:author="Benjamin J. Makhlouf" w:date="2026-07-13T16:17:00Z" w16du:dateUtc="2026-07-13T23:17:00Z">
        <w:r w:rsidR="00066384">
          <w:rPr>
            <w:rFonts w:ascii="Garamond" w:hAnsi="Garamond" w:cs="Times New Roman"/>
          </w:rPr>
          <w:t xml:space="preserve">serve to protect the biodiversity that </w:t>
        </w:r>
      </w:ins>
      <w:ins w:id="127" w:author="Benjamin J. Makhlouf" w:date="2026-07-13T16:18:00Z" w16du:dateUtc="2026-07-13T23:18:00Z">
        <w:r w:rsidR="00066384">
          <w:rPr>
            <w:rFonts w:ascii="Garamond" w:hAnsi="Garamond" w:cs="Times New Roman"/>
          </w:rPr>
          <w:t>supports basin-wide</w:t>
        </w:r>
      </w:ins>
      <w:ins w:id="128" w:author="Benjamin J. Makhlouf" w:date="2026-07-13T16:17:00Z" w16du:dateUtc="2026-07-13T23:17:00Z">
        <w:r w:rsidR="00066384">
          <w:rPr>
            <w:rFonts w:ascii="Garamond" w:hAnsi="Garamond" w:cs="Times New Roman"/>
          </w:rPr>
          <w:t xml:space="preserve"> </w:t>
        </w:r>
      </w:ins>
      <w:ins w:id="129" w:author="Benjamin J. Makhlouf" w:date="2026-07-13T16:18:00Z" w16du:dateUtc="2026-07-13T23:18:00Z">
        <w:r w:rsidR="00066384">
          <w:rPr>
            <w:rFonts w:ascii="Garamond" w:hAnsi="Garamond" w:cs="Times New Roman"/>
          </w:rPr>
          <w:t xml:space="preserve">population resilliance and supports the reliability of downstream fisheries. </w:t>
        </w:r>
      </w:ins>
    </w:p>
    <w:p w14:paraId="6F7EA299" w14:textId="1546E12B" w:rsidR="005A4F22" w:rsidDel="009D5982" w:rsidRDefault="00425BAB" w:rsidP="009D5982">
      <w:pPr>
        <w:spacing w:line="480" w:lineRule="auto"/>
        <w:rPr>
          <w:del w:id="130" w:author="Benjamin J. Makhlouf" w:date="2026-07-13T16:25:00Z" w16du:dateUtc="2026-07-13T23:25:00Z"/>
          <w:rFonts w:ascii="Garamond" w:hAnsi="Garamond" w:cs="Times New Roman"/>
        </w:rPr>
      </w:pPr>
      <w:moveTo w:id="131" w:author="Benjamin J. Makhlouf" w:date="2026-06-19T15:33:00Z" w16du:dateUtc="2026-06-19T22:33:00Z">
        <w:del w:id="132" w:author="Benjamin J. Makhlouf" w:date="2026-07-12T13:34:00Z" w16du:dateUtc="2026-07-12T20:34:00Z">
          <w:r w:rsidDel="004E7082">
            <w:rPr>
              <w:rFonts w:ascii="Garamond" w:hAnsi="Garamond" w:cs="Times New Roman"/>
            </w:rPr>
            <w:delText>,</w:delText>
          </w:r>
        </w:del>
        <w:del w:id="133" w:author="Benjamin J. Makhlouf" w:date="2026-07-12T13:38:00Z" w16du:dateUtc="2026-07-12T20:38:00Z">
          <w:r w:rsidDel="004E7082">
            <w:rPr>
              <w:rFonts w:ascii="Garamond" w:hAnsi="Garamond" w:cs="Times New Roman"/>
            </w:rPr>
            <w:delText xml:space="preserve"> and protect upper river stocks </w:delText>
          </w:r>
        </w:del>
        <w:del w:id="134" w:author="Benjamin J. Makhlouf" w:date="2026-07-08T16:18:00Z" w16du:dateUtc="2026-07-08T23:18:00Z">
          <w:r w:rsidDel="00636BF3">
            <w:rPr>
              <w:rFonts w:ascii="Garamond" w:hAnsi="Garamond" w:cs="Times New Roman"/>
            </w:rPr>
            <w:delText xml:space="preserve">which are </w:delText>
          </w:r>
        </w:del>
        <w:del w:id="135" w:author="Benjamin J. Makhlouf" w:date="2026-07-12T13:38:00Z" w16du:dateUtc="2026-07-12T20:38:00Z">
          <w:r w:rsidDel="004E7082">
            <w:rPr>
              <w:rFonts w:ascii="Garamond" w:hAnsi="Garamond" w:cs="Times New Roman"/>
            </w:rPr>
            <w:delText>at heightened risk of overharvest</w:delText>
          </w:r>
        </w:del>
        <w:del w:id="136" w:author="Benjamin J. Makhlouf" w:date="2026-07-08T16:19:00Z" w16du:dateUtc="2026-07-08T23:19:00Z">
          <w:r w:rsidDel="00636BF3">
            <w:rPr>
              <w:rFonts w:ascii="Garamond" w:hAnsi="Garamond" w:cs="Times New Roman"/>
            </w:rPr>
            <w:delText xml:space="preserve"> but contribute disproportionately to stabilizing downstream fishery dynamics.</w:delText>
          </w:r>
        </w:del>
      </w:moveTo>
      <w:moveToRangeEnd w:id="114"/>
      <w:del w:id="137" w:author="Benjamin J. Makhlouf" w:date="2026-06-19T15:35:00Z" w16du:dateUtc="2026-06-19T22:35:00Z">
        <w:r w:rsidR="00507803" w:rsidDel="00425BAB">
          <w:rPr>
            <w:rFonts w:ascii="Garamond" w:hAnsi="Garamond" w:cs="Times New Roman"/>
          </w:rPr>
          <w:delText xml:space="preserve">This assumption </w:delText>
        </w:r>
      </w:del>
      <w:del w:id="138" w:author="Benjamin J. Makhlouf" w:date="2026-07-08T15:59:00Z" w16du:dateUtc="2026-07-08T22:59:00Z">
        <w:r w:rsidR="00507803" w:rsidDel="001B609C">
          <w:rPr>
            <w:rFonts w:ascii="Garamond" w:hAnsi="Garamond" w:cs="Times New Roman"/>
          </w:rPr>
          <w:delText xml:space="preserve">is </w:delText>
        </w:r>
      </w:del>
      <w:del w:id="139" w:author="Benjamin J. Makhlouf" w:date="2026-06-19T15:35:00Z" w16du:dateUtc="2026-06-19T22:35:00Z">
        <w:r w:rsidR="00507803" w:rsidDel="00425BAB">
          <w:rPr>
            <w:rFonts w:ascii="Garamond" w:hAnsi="Garamond" w:cs="Times New Roman"/>
          </w:rPr>
          <w:delText>bolstered by</w:delText>
        </w:r>
      </w:del>
      <w:del w:id="140" w:author="Benjamin J. Makhlouf" w:date="2026-07-08T15:59:00Z" w16du:dateUtc="2026-07-08T22:59:00Z">
        <w:r w:rsidR="00507803" w:rsidDel="001B609C">
          <w:rPr>
            <w:rFonts w:ascii="Garamond" w:hAnsi="Garamond" w:cs="Times New Roman"/>
          </w:rPr>
          <w:delText xml:space="preserve"> patterns observed in other systems </w:delText>
        </w:r>
        <w:r w:rsidR="00507803" w:rsidDel="001B609C">
          <w:rPr>
            <w:rFonts w:ascii="Garamond" w:hAnsi="Garamond" w:cs="Times New Roman"/>
          </w:rPr>
          <w:fldChar w:fldCharType="begin"/>
        </w:r>
        <w:r w:rsidR="00507803" w:rsidDel="001B609C">
          <w:rPr>
            <w:rFonts w:ascii="Garamond" w:hAnsi="Garamond" w:cs="Times New Roman"/>
          </w:rPr>
          <w:del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delInstrText>
        </w:r>
        <w:r w:rsidR="00507803" w:rsidDel="001B609C">
          <w:rPr>
            <w:rFonts w:ascii="Cambria Math" w:hAnsi="Cambria Math" w:cs="Cambria Math"/>
          </w:rPr>
          <w:delInstrText>‐</w:delInstrText>
        </w:r>
        <w:r w:rsidR="00507803" w:rsidDel="001B609C">
          <w:rPr>
            <w:rFonts w:ascii="Garamond" w:hAnsi="Garamond" w:cs="Times New Roman"/>
          </w:rPr>
          <w:delInstrText>wide effects of body size, sex, spawning location, and year on the timing of spawning</w:delInstrText>
        </w:r>
        <w:r w:rsidR="00507803" w:rsidDel="001B609C">
          <w:rPr>
            <w:rFonts w:ascii="Cambria Math" w:hAnsi="Cambria Math" w:cs="Cambria Math"/>
          </w:rPr>
          <w:delInstrText>‐</w:delInstrText>
        </w:r>
        <w:r w:rsidR="00507803" w:rsidDel="001B609C">
          <w:rPr>
            <w:rFonts w:ascii="Garamond" w:hAnsi="Garamond" w:cs="Times New Roman"/>
          </w:rPr>
          <w:delInstrText>run migration into the Togiak River. Migration data and spawning fate were collected using radiotelemetry and analyzed with mixed effects models to account for among</w:delInstrText>
        </w:r>
        <w:r w:rsidR="00507803" w:rsidDel="001B609C">
          <w:rPr>
            <w:rFonts w:ascii="Cambria Math" w:hAnsi="Cambria Math" w:cs="Cambria Math"/>
          </w:rPr>
          <w:delInstrText>‐</w:delInstrText>
        </w:r>
        <w:r w:rsidR="00507803" w:rsidDel="001B609C">
          <w:rPr>
            <w:rFonts w:ascii="Garamond" w:hAnsi="Garamond" w:cs="Times New Roman"/>
          </w:rPr>
          <w:del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delInstrText>
        </w:r>
        <w:r w:rsidR="00507803" w:rsidDel="001B609C">
          <w:rPr>
            <w:rFonts w:ascii="Garamond" w:hAnsi="Garamond" w:cs="Times New Roman"/>
          </w:rPr>
          <w:fldChar w:fldCharType="separate"/>
        </w:r>
        <w:r w:rsidR="00507803" w:rsidDel="001B609C">
          <w:rPr>
            <w:rFonts w:ascii="Garamond" w:hAnsi="Garamond" w:cs="Times New Roman"/>
            <w:noProof/>
          </w:rPr>
          <w:delText>(S. C. Clark et al., 2015)</w:delText>
        </w:r>
        <w:r w:rsidR="00507803" w:rsidDel="001B609C">
          <w:rPr>
            <w:rFonts w:ascii="Garamond" w:hAnsi="Garamond" w:cs="Times New Roman"/>
          </w:rPr>
          <w:fldChar w:fldCharType="end"/>
        </w:r>
        <w:r w:rsidR="00507803" w:rsidDel="001B609C">
          <w:rPr>
            <w:rFonts w:ascii="Garamond" w:hAnsi="Garamond" w:cs="Times New Roman"/>
          </w:rPr>
          <w:delText xml:space="preserve">, </w:delText>
        </w:r>
      </w:del>
      <w:del w:id="141" w:author="Benjamin J. Makhlouf" w:date="2026-06-19T15:36:00Z" w16du:dateUtc="2026-06-19T22:36:00Z">
        <w:r w:rsidR="00507803" w:rsidDel="00425BAB">
          <w:rPr>
            <w:rFonts w:ascii="Garamond" w:hAnsi="Garamond" w:cs="Times New Roman"/>
          </w:rPr>
          <w:delText xml:space="preserve">supported by </w:delText>
        </w:r>
      </w:del>
      <w:del w:id="142" w:author="Benjamin J. Makhlouf" w:date="2026-07-08T15:59:00Z" w16du:dateUtc="2026-07-08T22:59:00Z">
        <w:r w:rsidR="00507803" w:rsidDel="001B609C">
          <w:rPr>
            <w:rFonts w:ascii="Garamond" w:hAnsi="Garamond" w:cs="Times New Roman"/>
          </w:rPr>
          <w:delText xml:space="preserve">telemetry data in the Kuskokwim </w:delText>
        </w:r>
        <w:r w:rsidR="00507803" w:rsidDel="001B609C">
          <w:rPr>
            <w:rFonts w:ascii="Garamond" w:hAnsi="Garamond" w:cs="Times New Roman"/>
          </w:rPr>
          <w:fldChar w:fldCharType="begin"/>
        </w:r>
        <w:r w:rsidR="00507803" w:rsidDel="001B609C">
          <w:rPr>
            <w:rFonts w:ascii="Garamond" w:hAnsi="Garamond" w:cs="Times New Roman"/>
          </w:rPr>
          <w:del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delInstrText>
        </w:r>
        <w:r w:rsidR="00507803" w:rsidDel="001B609C">
          <w:rPr>
            <w:rFonts w:ascii="Garamond" w:hAnsi="Garamond" w:cs="Times New Roman"/>
          </w:rPr>
          <w:fldChar w:fldCharType="separate"/>
        </w:r>
        <w:r w:rsidR="00507803" w:rsidDel="001B609C">
          <w:rPr>
            <w:rFonts w:ascii="Garamond" w:hAnsi="Garamond" w:cs="Times New Roman"/>
            <w:noProof/>
          </w:rPr>
          <w:delText>(J. N. Clark &amp; Smith, 2019; Head et al., 2017; Smith &amp; Liller, 2017a, 2017b)</w:delText>
        </w:r>
        <w:r w:rsidR="00507803" w:rsidDel="001B609C">
          <w:rPr>
            <w:rFonts w:ascii="Garamond" w:hAnsi="Garamond" w:cs="Times New Roman"/>
          </w:rPr>
          <w:fldChar w:fldCharType="end"/>
        </w:r>
        <w:r w:rsidR="00507803" w:rsidDel="001B609C">
          <w:rPr>
            <w:rFonts w:ascii="Garamond" w:hAnsi="Garamond" w:cs="Times New Roman"/>
          </w:rPr>
          <w:delText xml:space="preserve">, and further motivated by traditional and local knowledge held by Tribal citizens and stakeholders. </w:delText>
        </w:r>
      </w:del>
      <w:moveFromRangeStart w:id="143" w:author="Benjamin J. Makhlouf" w:date="2026-06-19T15:33:00Z" w:name="move232775618"/>
      <w:moveFrom w:id="144" w:author="Benjamin J. Makhlouf" w:date="2026-06-19T15:33:00Z" w16du:dateUtc="2026-06-19T22:33:00Z">
        <w:del w:id="145" w:author="Benjamin J. Makhlouf" w:date="2026-07-13T16:18:00Z" w16du:dateUtc="2026-07-13T23:18:00Z">
          <w:r w:rsidR="00507803" w:rsidDel="00066384">
            <w:rPr>
              <w:rFonts w:ascii="Garamond" w:hAnsi="Garamond" w:cs="Times New Roman"/>
            </w:rPr>
            <w:delText xml:space="preserve">By protecting upriver stocks, managers aim to support basin-wide escapement goals, provide more equitable harvest opportunities to upstream communities, and protect upper river stocks which are at heightened risk of overharvest but contribute disproportionately to stabilizing downstream fishery dynamics. </w:delText>
          </w:r>
        </w:del>
      </w:moveFrom>
      <w:moveFromRangeEnd w:id="143"/>
      <w:ins w:id="146" w:author="Benjamin J. Makhlouf" w:date="2026-07-08T16:35:00Z">
        <w:r w:rsidR="00280FDF" w:rsidRPr="00280FDF">
          <w:rPr>
            <w:rFonts w:ascii="Garamond" w:hAnsi="Garamond" w:cs="Times New Roman"/>
          </w:rPr>
          <w:t xml:space="preserve">At the watershed scale and over multi-year timescales, the spatial ecology of Chinook salmon in the Kuskokwim River basin remains poorly understood, limiting </w:t>
        </w:r>
      </w:ins>
      <w:ins w:id="147" w:author="Benjamin J. Makhlouf" w:date="2026-07-08T16:35:00Z" w16du:dateUtc="2026-07-08T23:35:00Z">
        <w:r w:rsidR="00280FDF">
          <w:rPr>
            <w:rFonts w:ascii="Garamond" w:hAnsi="Garamond" w:cs="Times New Roman"/>
          </w:rPr>
          <w:t>the</w:t>
        </w:r>
      </w:ins>
      <w:ins w:id="148" w:author="Benjamin J. Makhlouf" w:date="2026-07-08T16:35:00Z">
        <w:r w:rsidR="00280FDF" w:rsidRPr="00280FDF">
          <w:rPr>
            <w:rFonts w:ascii="Garamond" w:hAnsi="Garamond" w:cs="Times New Roman"/>
          </w:rPr>
          <w:t xml:space="preserve"> ability to assess whether the front-end fishery closure effectively protects upstream stocks as intended.</w:t>
        </w:r>
      </w:ins>
      <w:ins w:id="149" w:author="Benjamin J. Makhlouf" w:date="2026-07-08T16:35:00Z" w16du:dateUtc="2026-07-08T23:35:00Z">
        <w:r w:rsidR="00280FDF">
          <w:rPr>
            <w:rFonts w:ascii="Garamond" w:hAnsi="Garamond" w:cs="Times New Roman"/>
          </w:rPr>
          <w:t xml:space="preserve"> </w:t>
        </w:r>
      </w:ins>
      <w:ins w:id="150" w:author="Benjamin J. Makhlouf" w:date="2026-07-08T16:38:00Z">
        <w:r w:rsidR="00280FDF" w:rsidRPr="00280FDF">
          <w:rPr>
            <w:rFonts w:ascii="Garamond" w:hAnsi="Garamond" w:cs="Times New Roman"/>
          </w:rPr>
          <w:t xml:space="preserve">Although genetics-based approaches such as Genetic Stock Identification (GSI) have been widely used to investigate population structure and provenance in other Pacific salmon species and watersheds, low genetic structure among Chinook salmon populations in the Kuskokwim River basin limits their ability to distinguish among </w:t>
        </w:r>
      </w:ins>
      <w:ins w:id="151" w:author="Benjamin J. Makhlouf" w:date="2026-07-08T16:38:00Z" w16du:dateUtc="2026-07-08T23:38:00Z">
        <w:r w:rsidR="00280FDF">
          <w:rPr>
            <w:rFonts w:ascii="Garamond" w:hAnsi="Garamond" w:cs="Times New Roman"/>
          </w:rPr>
          <w:t xml:space="preserve">subpopulations in the basin </w:t>
        </w:r>
        <w:r w:rsidR="00280FDF" w:rsidRPr="00066384">
          <w:rPr>
            <w:rFonts w:ascii="Garamond" w:hAnsi="Garamond" w:cs="Times New Roman"/>
            <w:highlight w:val="yellow"/>
            <w:rPrChange w:id="152" w:author="Benjamin J. Makhlouf" w:date="2026-07-13T16:19:00Z" w16du:dateUtc="2026-07-13T23:19:00Z">
              <w:rPr>
                <w:rFonts w:ascii="Garamond" w:hAnsi="Garamond" w:cs="Times New Roman"/>
              </w:rPr>
            </w:rPrChange>
          </w:rPr>
          <w:t>[ref].</w:t>
        </w:r>
      </w:ins>
      <w:ins w:id="153" w:author="Benjamin J. Makhlouf" w:date="2026-07-08T16:39:00Z" w16du:dateUtc="2026-07-08T23:39:00Z">
        <w:r w:rsidR="00280FDF">
          <w:rPr>
            <w:rFonts w:ascii="Garamond" w:hAnsi="Garamond" w:cs="Times New Roman"/>
          </w:rPr>
          <w:t xml:space="preserve"> </w:t>
        </w:r>
      </w:ins>
      <w:ins w:id="154" w:author="Benjamin J. Makhlouf" w:date="2026-07-08T16:41:00Z">
        <w:r w:rsidR="00280FDF" w:rsidRPr="00280FDF">
          <w:rPr>
            <w:rFonts w:ascii="Garamond" w:hAnsi="Garamond" w:cs="Times New Roman"/>
          </w:rPr>
          <w:t xml:space="preserve">Telemetry-based approaches have provided valuable insights into movement patterns within the basin; however, the spatial coverage </w:t>
        </w:r>
      </w:ins>
      <w:ins w:id="155" w:author="Benjamin J. Makhlouf" w:date="2026-07-13T16:20:00Z" w16du:dateUtc="2026-07-13T23:20:00Z">
        <w:r w:rsidR="00066384">
          <w:rPr>
            <w:rFonts w:ascii="Garamond" w:hAnsi="Garamond" w:cs="Times New Roman"/>
          </w:rPr>
          <w:lastRenderedPageBreak/>
          <w:t xml:space="preserve">available from this type of tool </w:t>
        </w:r>
      </w:ins>
      <w:ins w:id="156" w:author="Benjamin J. Makhlouf" w:date="2026-07-08T16:41:00Z">
        <w:r w:rsidR="00280FDF" w:rsidRPr="00280FDF">
          <w:rPr>
            <w:rFonts w:ascii="Garamond" w:hAnsi="Garamond" w:cs="Times New Roman"/>
          </w:rPr>
          <w:t>is limited</w:t>
        </w:r>
      </w:ins>
      <w:ins w:id="157" w:author="Benjamin J. Makhlouf" w:date="2026-07-13T16:20:00Z" w16du:dateUtc="2026-07-13T23:20:00Z">
        <w:r w:rsidR="00066384">
          <w:rPr>
            <w:rFonts w:ascii="Garamond" w:hAnsi="Garamond" w:cs="Times New Roman"/>
          </w:rPr>
          <w:t xml:space="preserve"> a</w:t>
        </w:r>
      </w:ins>
      <w:ins w:id="158" w:author="Benjamin J. Makhlouf" w:date="2026-07-08T16:41:00Z">
        <w:r w:rsidR="00280FDF" w:rsidRPr="00280FDF">
          <w:rPr>
            <w:rFonts w:ascii="Garamond" w:hAnsi="Garamond" w:cs="Times New Roman"/>
          </w:rPr>
          <w:t xml:space="preserve">nd </w:t>
        </w:r>
      </w:ins>
      <w:ins w:id="159" w:author="Benjamin J. Makhlouf" w:date="2026-07-13T16:21:00Z" w16du:dateUtc="2026-07-13T23:21:00Z">
        <w:r w:rsidR="00066384">
          <w:rPr>
            <w:rFonts w:ascii="Garamond" w:hAnsi="Garamond" w:cs="Times New Roman"/>
          </w:rPr>
          <w:t>telemetry studies have not be consistently conducted over across several concurrent years</w:t>
        </w:r>
      </w:ins>
      <w:ins w:id="160" w:author="Benjamin J. Makhlouf" w:date="2026-07-08T16:42:00Z" w16du:dateUtc="2026-07-08T23:42:00Z">
        <w:r w:rsidR="00BC565F">
          <w:rPr>
            <w:rFonts w:ascii="Garamond" w:hAnsi="Garamond" w:cs="Times New Roman"/>
          </w:rPr>
          <w:t xml:space="preserve"> </w:t>
        </w:r>
        <w:r w:rsidR="00BC565F" w:rsidRPr="00066384">
          <w:rPr>
            <w:rFonts w:ascii="Garamond" w:hAnsi="Garamond" w:cs="Times New Roman"/>
            <w:highlight w:val="yellow"/>
            <w:rPrChange w:id="161" w:author="Benjamin J. Makhlouf" w:date="2026-07-13T16:21:00Z" w16du:dateUtc="2026-07-13T23:21:00Z">
              <w:rPr>
                <w:rFonts w:ascii="Garamond" w:hAnsi="Garamond" w:cs="Times New Roman"/>
              </w:rPr>
            </w:rPrChange>
          </w:rPr>
          <w:t>[ref,ref,ref].</w:t>
        </w:r>
        <w:r w:rsidR="00BC565F">
          <w:rPr>
            <w:rFonts w:ascii="Garamond" w:hAnsi="Garamond" w:cs="Times New Roman"/>
          </w:rPr>
          <w:t xml:space="preserve"> </w:t>
        </w:r>
      </w:ins>
      <w:ins w:id="162" w:author="Benjamin J. Makhlouf" w:date="2026-07-08T16:50:00Z">
        <w:r w:rsidR="00BC565F" w:rsidRPr="00BC565F">
          <w:rPr>
            <w:rFonts w:ascii="Garamond" w:hAnsi="Garamond" w:cs="Times New Roman"/>
          </w:rPr>
          <w:t xml:space="preserve">Otolith microchemical approaches have emerged as an alternative tool for estimating sub-watershed provenance without </w:t>
        </w:r>
      </w:ins>
      <w:ins w:id="163" w:author="Benjamin J. Makhlouf" w:date="2026-07-13T16:22:00Z" w16du:dateUtc="2026-07-13T23:22:00Z">
        <w:r w:rsidR="00066384">
          <w:rPr>
            <w:rFonts w:ascii="Garamond" w:hAnsi="Garamond" w:cs="Times New Roman"/>
          </w:rPr>
          <w:t xml:space="preserve">the need </w:t>
        </w:r>
      </w:ins>
      <w:ins w:id="164" w:author="Benjamin J. Makhlouf" w:date="2026-07-08T16:50:00Z">
        <w:r w:rsidR="00BC565F" w:rsidRPr="00BC565F">
          <w:rPr>
            <w:rFonts w:ascii="Garamond" w:hAnsi="Garamond" w:cs="Times New Roman"/>
          </w:rPr>
          <w:t xml:space="preserve">extensive field-based monitoring </w:t>
        </w:r>
        <w:r w:rsidR="00BC565F" w:rsidRPr="00066384">
          <w:rPr>
            <w:rFonts w:ascii="Garamond" w:hAnsi="Garamond" w:cs="Times New Roman"/>
            <w:highlight w:val="yellow"/>
            <w:rPrChange w:id="165" w:author="Benjamin J. Makhlouf" w:date="2026-07-13T16:22:00Z" w16du:dateUtc="2026-07-13T23:22:00Z">
              <w:rPr>
                <w:rFonts w:ascii="Garamond" w:hAnsi="Garamond" w:cs="Times New Roman"/>
              </w:rPr>
            </w:rPrChange>
          </w:rPr>
          <w:t>[ref, ref].</w:t>
        </w:r>
        <w:r w:rsidR="00BC565F" w:rsidRPr="00BC565F">
          <w:rPr>
            <w:rFonts w:ascii="Garamond" w:hAnsi="Garamond" w:cs="Times New Roman"/>
          </w:rPr>
          <w:t xml:space="preserve"> By leveraging predictable relationships between chemical signatures recorded in the otolith and those measured or modeled across the landscape, these approaches enable </w:t>
        </w:r>
      </w:ins>
      <w:ins w:id="166" w:author="Benjamin J. Makhlouf" w:date="2026-07-13T16:22:00Z" w16du:dateUtc="2026-07-13T23:22:00Z">
        <w:r w:rsidR="00066384">
          <w:rPr>
            <w:rFonts w:ascii="Garamond" w:hAnsi="Garamond" w:cs="Times New Roman"/>
          </w:rPr>
          <w:t xml:space="preserve">the </w:t>
        </w:r>
      </w:ins>
      <w:ins w:id="167" w:author="Benjamin J. Makhlouf" w:date="2026-07-08T16:50:00Z">
        <w:r w:rsidR="00BC565F" w:rsidRPr="00BC565F">
          <w:rPr>
            <w:rFonts w:ascii="Garamond" w:hAnsi="Garamond" w:cs="Times New Roman"/>
          </w:rPr>
          <w:t>reconstruction of individual life histor</w:t>
        </w:r>
      </w:ins>
      <w:ins w:id="168" w:author="Benjamin J. Makhlouf" w:date="2026-07-13T16:22:00Z" w16du:dateUtc="2026-07-13T23:22:00Z">
        <w:r w:rsidR="00066384">
          <w:rPr>
            <w:rFonts w:ascii="Garamond" w:hAnsi="Garamond" w:cs="Times New Roman"/>
          </w:rPr>
          <w:t>y characteristics at the</w:t>
        </w:r>
      </w:ins>
      <w:ins w:id="169" w:author="Benjamin J. Makhlouf" w:date="2026-07-13T16:23:00Z" w16du:dateUtc="2026-07-13T23:23:00Z">
        <w:r w:rsidR="00066384">
          <w:rPr>
            <w:rFonts w:ascii="Garamond" w:hAnsi="Garamond" w:cs="Times New Roman"/>
          </w:rPr>
          <w:t xml:space="preserve"> watershed scale with refined spatial resolution compared to genetics-based methods in many cases </w:t>
        </w:r>
        <w:r w:rsidR="00066384" w:rsidRPr="00066384">
          <w:rPr>
            <w:rFonts w:ascii="Garamond" w:hAnsi="Garamond" w:cs="Times New Roman"/>
            <w:highlight w:val="yellow"/>
            <w:rPrChange w:id="170" w:author="Benjamin J. Makhlouf" w:date="2026-07-13T16:24:00Z" w16du:dateUtc="2026-07-13T23:24:00Z">
              <w:rPr>
                <w:rFonts w:ascii="Garamond" w:hAnsi="Garamond" w:cs="Times New Roman"/>
              </w:rPr>
            </w:rPrChange>
          </w:rPr>
          <w:t>[ref].</w:t>
        </w:r>
        <w:r w:rsidR="00066384">
          <w:rPr>
            <w:rFonts w:ascii="Garamond" w:hAnsi="Garamond" w:cs="Times New Roman"/>
          </w:rPr>
          <w:t xml:space="preserve"> </w:t>
        </w:r>
      </w:ins>
      <w:ins w:id="171" w:author="Benjamin J. Makhlouf" w:date="2026-07-13T16:24:00Z" w16du:dateUtc="2026-07-13T23:24:00Z">
        <w:r w:rsidR="00066384">
          <w:rPr>
            <w:rFonts w:ascii="Garamond" w:hAnsi="Garamond" w:cs="Times New Roman"/>
          </w:rPr>
          <w:t xml:space="preserve">Otolith chemical approach </w:t>
        </w:r>
      </w:ins>
      <w:ins w:id="172" w:author="Benjamin J. Makhlouf" w:date="2026-07-08T16:50:00Z">
        <w:r w:rsidR="00BC565F" w:rsidRPr="00BC565F">
          <w:rPr>
            <w:rFonts w:ascii="Garamond" w:hAnsi="Garamond" w:cs="Times New Roman"/>
          </w:rPr>
          <w:t xml:space="preserve">therefore </w:t>
        </w:r>
      </w:ins>
      <w:ins w:id="173" w:author="Benjamin J. Makhlouf" w:date="2026-07-13T16:24:00Z" w16du:dateUtc="2026-07-13T23:24:00Z">
        <w:r w:rsidR="00066384">
          <w:rPr>
            <w:rFonts w:ascii="Garamond" w:hAnsi="Garamond" w:cs="Times New Roman"/>
          </w:rPr>
          <w:t>offer</w:t>
        </w:r>
      </w:ins>
      <w:ins w:id="174" w:author="Benjamin J. Makhlouf" w:date="2026-07-08T16:50:00Z">
        <w:r w:rsidR="00BC565F" w:rsidRPr="00BC565F">
          <w:rPr>
            <w:rFonts w:ascii="Garamond" w:hAnsi="Garamond" w:cs="Times New Roman"/>
          </w:rPr>
          <w:t xml:space="preserve"> a means to estimate </w:t>
        </w:r>
      </w:ins>
      <w:ins w:id="175" w:author="Benjamin J. Makhlouf" w:date="2026-07-13T16:24:00Z" w16du:dateUtc="2026-07-13T23:24:00Z">
        <w:r w:rsidR="00066384">
          <w:rPr>
            <w:rFonts w:ascii="Garamond" w:hAnsi="Garamond" w:cs="Times New Roman"/>
          </w:rPr>
          <w:t>subpopulation-specific life history characteristics at the watershed</w:t>
        </w:r>
      </w:ins>
      <w:ins w:id="176" w:author="Benjamin J. Makhlouf" w:date="2026-07-13T16:25:00Z" w16du:dateUtc="2026-07-13T23:25:00Z">
        <w:r w:rsidR="00066384">
          <w:rPr>
            <w:rFonts w:ascii="Garamond" w:hAnsi="Garamond" w:cs="Times New Roman"/>
          </w:rPr>
          <w:t xml:space="preserve"> scal</w:t>
        </w:r>
        <w:r w:rsidR="009D5982">
          <w:rPr>
            <w:rFonts w:ascii="Garamond" w:hAnsi="Garamond" w:cs="Times New Roman"/>
          </w:rPr>
          <w:t xml:space="preserve">e that are otherwise unavailable given current techniques. </w:t>
        </w:r>
      </w:ins>
    </w:p>
    <w:p w14:paraId="4A951439" w14:textId="77777777" w:rsidR="009D5982" w:rsidRPr="00066384" w:rsidRDefault="009D5982" w:rsidP="009D5982">
      <w:pPr>
        <w:spacing w:line="480" w:lineRule="auto"/>
        <w:ind w:firstLine="720"/>
        <w:rPr>
          <w:ins w:id="177" w:author="Benjamin J. Makhlouf" w:date="2026-07-13T16:26:00Z" w16du:dateUtc="2026-07-13T23:26:00Z"/>
          <w:rFonts w:ascii="Garamond" w:hAnsi="Garamond" w:cs="Times New Roman"/>
        </w:rPr>
      </w:pPr>
    </w:p>
    <w:p w14:paraId="4B48F71D" w14:textId="5B09AF85" w:rsidR="00A72EBD" w:rsidRPr="008605CB" w:rsidRDefault="00A72EBD" w:rsidP="009D5982">
      <w:pPr>
        <w:spacing w:line="480" w:lineRule="auto"/>
        <w:ind w:firstLine="360"/>
        <w:rPr>
          <w:rFonts w:ascii="Garamond" w:hAnsi="Garamond" w:cs="Times New Roman"/>
          <w:b/>
          <w:bCs/>
        </w:rPr>
        <w:pPrChange w:id="178" w:author="Benjamin J. Makhlouf" w:date="2026-07-13T16:26:00Z" w16du:dateUtc="2026-07-13T23:26:00Z">
          <w:pPr>
            <w:spacing w:line="480" w:lineRule="auto"/>
            <w:ind w:firstLine="720"/>
          </w:pPr>
        </w:pPrChange>
      </w:pPr>
      <w:r>
        <w:rPr>
          <w:rFonts w:ascii="Garamond" w:hAnsi="Garamond" w:cs="Times New Roman"/>
        </w:rPr>
        <w:t xml:space="preserve">Here, we use otolith chemistry from fish caught during a test fishery throughout the seasonal migration period over six years in the Kuskokwim River to reconstruct spatiotemporal patterns of Chinook salmon returns. </w:t>
      </w:r>
      <w:del w:id="179" w:author="Benjamin J. Makhlouf" w:date="2026-06-18T18:48:00Z" w16du:dateUtc="2026-06-19T01:48:00Z">
        <w:r w:rsidDel="00964D8F">
          <w:rPr>
            <w:rFonts w:ascii="Garamond" w:hAnsi="Garamond" w:cs="Times New Roman"/>
          </w:rPr>
          <w:delText xml:space="preserve">The limited genetic structure of Chinook salmon in this region precludes using genetic approaches to quantify migration timing of different populations throughout the watershed. </w:delText>
        </w:r>
      </w:del>
      <w:ins w:id="180" w:author="Benjamin J. Makhlouf" w:date="2026-07-08T16:52:00Z" w16du:dateUtc="2026-07-08T23:52:00Z">
        <w:r w:rsidR="00BC565F">
          <w:rPr>
            <w:rFonts w:ascii="Garamond" w:hAnsi="Garamond" w:cs="Times New Roman"/>
          </w:rPr>
          <w:t>In doing so, we use o</w:t>
        </w:r>
      </w:ins>
      <w:del w:id="181" w:author="Benjamin J. Makhlouf" w:date="2026-07-08T16:52:00Z" w16du:dateUtc="2026-07-08T23:52:00Z">
        <w:r w:rsidDel="00BC565F">
          <w:rPr>
            <w:rFonts w:ascii="Garamond" w:hAnsi="Garamond" w:cs="Times New Roman"/>
          </w:rPr>
          <w:delText>O</w:delText>
        </w:r>
      </w:del>
      <w:r>
        <w:rPr>
          <w:rFonts w:ascii="Garamond" w:hAnsi="Garamond" w:cs="Times New Roman"/>
        </w:rPr>
        <w:t xml:space="preserve">tolith-based methods for estimating provenance </w:t>
      </w:r>
      <w:del w:id="182" w:author="Benjamin J. Makhlouf" w:date="2026-07-08T16:51:00Z" w16du:dateUtc="2026-07-08T23:51:00Z">
        <w:r w:rsidDel="00BC565F">
          <w:rPr>
            <w:rFonts w:ascii="Garamond" w:hAnsi="Garamond" w:cs="Times New Roman"/>
          </w:rPr>
          <w:delText xml:space="preserve">therefore </w:delText>
        </w:r>
      </w:del>
      <w:del w:id="183" w:author="Benjamin J. Makhlouf" w:date="2026-07-08T16:52:00Z" w16du:dateUtc="2026-07-08T23:52:00Z">
        <w:r w:rsidDel="00E43153">
          <w:rPr>
            <w:rFonts w:ascii="Garamond" w:hAnsi="Garamond" w:cs="Times New Roman"/>
          </w:rPr>
          <w:delText>offer a</w:delText>
        </w:r>
      </w:del>
      <w:r>
        <w:rPr>
          <w:rFonts w:ascii="Garamond" w:hAnsi="Garamond" w:cs="Times New Roman"/>
        </w:rPr>
        <w:t xml:space="preserve"> </w:t>
      </w:r>
      <w:ins w:id="184" w:author="Benjamin J. Makhlouf" w:date="2026-07-08T16:52:00Z" w16du:dateUtc="2026-07-08T23:52:00Z">
        <w:r w:rsidR="00E43153">
          <w:rPr>
            <w:rFonts w:ascii="Garamond" w:hAnsi="Garamond" w:cs="Times New Roman"/>
          </w:rPr>
          <w:t xml:space="preserve">as a </w:t>
        </w:r>
      </w:ins>
      <w:r>
        <w:rPr>
          <w:rFonts w:ascii="Garamond" w:hAnsi="Garamond" w:cs="Times New Roman"/>
        </w:rPr>
        <w:t>novel approach to: (1) identify the spatiotemporal structure of returning populations in the Kuskokwim River basin, and (2) evaluate potential impacts of front-end closures on conserving population diversity within salmon stock complexes returning to large, remote, watersheds.</w:t>
      </w:r>
    </w:p>
    <w:p w14:paraId="773D6EA7" w14:textId="77777777" w:rsidR="00606787" w:rsidRDefault="00606787" w:rsidP="009833DB">
      <w:pPr>
        <w:spacing w:line="480" w:lineRule="auto"/>
        <w:rPr>
          <w:rFonts w:ascii="Times New Roman" w:hAnsi="Times New Roman" w:cs="Times New Roman"/>
          <w:b/>
          <w:bCs/>
          <w:sz w:val="28"/>
          <w:szCs w:val="28"/>
          <w:u w:val="single"/>
        </w:rPr>
      </w:pPr>
    </w:p>
    <w:p w14:paraId="2A0F64D4" w14:textId="623E12CB" w:rsidR="009833DB" w:rsidRPr="007C6331" w:rsidRDefault="00467885"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Materials and Methods: </w:t>
      </w:r>
    </w:p>
    <w:p w14:paraId="2B9BE153" w14:textId="589B370C" w:rsidR="009833DB" w:rsidRPr="008605CB" w:rsidRDefault="007C6331" w:rsidP="009833DB">
      <w:pPr>
        <w:spacing w:line="480" w:lineRule="auto"/>
        <w:rPr>
          <w:rFonts w:ascii="Garamond" w:hAnsi="Garamond" w:cs="Times New Roman"/>
          <w:b/>
          <w:bCs/>
        </w:rPr>
      </w:pPr>
      <w:r>
        <w:rPr>
          <w:rFonts w:ascii="Garamond" w:hAnsi="Garamond" w:cs="Times New Roman"/>
          <w:b/>
          <w:bCs/>
        </w:rPr>
        <w:t>2.1 Otolith samples</w:t>
      </w:r>
    </w:p>
    <w:p w14:paraId="2C50ADFF" w14:textId="2416FFF1" w:rsidR="009C079F" w:rsidRPr="008605CB" w:rsidRDefault="003A1EB0" w:rsidP="009C079F">
      <w:pPr>
        <w:spacing w:line="480" w:lineRule="auto"/>
        <w:ind w:firstLine="720"/>
        <w:rPr>
          <w:rFonts w:ascii="Garamond" w:eastAsia="Times New Roman" w:hAnsi="Garamond" w:cs="Times New Roman"/>
          <w:kern w:val="0"/>
          <w14:ligatures w14:val="none"/>
        </w:rPr>
      </w:pPr>
      <w:r>
        <w:rPr>
          <w:rFonts w:ascii="Garamond" w:eastAsia="Times New Roman" w:hAnsi="Garamond" w:cs="Times New Roman"/>
          <w:kern w:val="0"/>
          <w14:ligatures w14:val="none"/>
        </w:rPr>
        <w:lastRenderedPageBreak/>
        <w:t xml:space="preserve">Chinook salmon otoliths were collected from 2017 to 2022 in the Alaska Department of Fish &amp; Game Bethel Test Fishery (BTF) near Bethel, Alaska in collaboration with the Orutsararmiut Native Council fisheries program. </w:t>
      </w:r>
      <w:r>
        <w:rPr>
          <w:rFonts w:ascii="Garamond" w:hAnsi="Garamond" w:cs="Times New Roman"/>
        </w:rPr>
        <w:t>The BTF was designed to enable in-season assessment of run timing and strength, based on catch-per-unit-effort (CPUE)</w:t>
      </w:r>
      <w:r>
        <w:rPr>
          <w:rStyle w:val="CommentReference"/>
        </w:rPr>
        <w:t>,</w:t>
      </w:r>
      <w:r>
        <w:rPr>
          <w:rFonts w:ascii="Garamond" w:hAnsi="Garamond" w:cs="Times New Roman"/>
        </w:rPr>
        <w:t xml:space="preserve"> to inform management decisions for fisheries throughout the river. Fish </w:t>
      </w:r>
      <w:ins w:id="185" w:author="Benjamin J. Makhlouf" w:date="2026-06-19T15:58:00Z" w16du:dateUtc="2026-06-19T22:58:00Z">
        <w:r w:rsidR="00AA4630">
          <w:rPr>
            <w:rFonts w:ascii="Garamond" w:hAnsi="Garamond" w:cs="Times New Roman"/>
          </w:rPr>
          <w:t>are sampled</w:t>
        </w:r>
      </w:ins>
      <w:ins w:id="186" w:author="Benjamin J. Makhlouf" w:date="2026-07-12T15:49:00Z" w16du:dateUtc="2026-07-12T22:49:00Z">
        <w:r w:rsidR="00473B48">
          <w:rPr>
            <w:rFonts w:ascii="Garamond" w:hAnsi="Garamond" w:cs="Times New Roman"/>
          </w:rPr>
          <w:t xml:space="preserve"> using gillnets</w:t>
        </w:r>
      </w:ins>
      <w:ins w:id="187" w:author="Benjamin J. Makhlouf" w:date="2026-06-19T15:58:00Z" w16du:dateUtc="2026-06-19T22:58:00Z">
        <w:r w:rsidR="00AA4630">
          <w:rPr>
            <w:rFonts w:ascii="Garamond" w:hAnsi="Garamond" w:cs="Times New Roman"/>
          </w:rPr>
          <w:t xml:space="preserve"> throughout the full return migration window, and are assumed to </w:t>
        </w:r>
      </w:ins>
      <w:del w:id="188" w:author="Benjamin J. Makhlouf" w:date="2026-06-19T15:59:00Z" w16du:dateUtc="2026-06-19T22:59:00Z">
        <w:r w:rsidDel="00AA4630">
          <w:rPr>
            <w:rFonts w:ascii="Garamond" w:hAnsi="Garamond" w:cs="Times New Roman"/>
          </w:rPr>
          <w:delText xml:space="preserve">caught in this fishery are a </w:delText>
        </w:r>
      </w:del>
      <w:r>
        <w:rPr>
          <w:rFonts w:ascii="Garamond" w:hAnsi="Garamond" w:cs="Times New Roman"/>
        </w:rPr>
        <w:t>represent</w:t>
      </w:r>
      <w:ins w:id="189" w:author="Benjamin J. Makhlouf" w:date="2026-07-08T16:54:00Z" w16du:dateUtc="2026-07-08T23:54:00Z">
        <w:r w:rsidR="0030774A">
          <w:rPr>
            <w:rFonts w:ascii="Garamond" w:hAnsi="Garamond" w:cs="Times New Roman"/>
          </w:rPr>
          <w:t xml:space="preserve"> the</w:t>
        </w:r>
      </w:ins>
      <w:ins w:id="190" w:author="Benjamin J. Makhlouf" w:date="2026-07-12T15:49:00Z" w16du:dateUtc="2026-07-12T22:49:00Z">
        <w:r w:rsidR="00473B48">
          <w:rPr>
            <w:rFonts w:ascii="Garamond" w:hAnsi="Garamond" w:cs="Times New Roman"/>
          </w:rPr>
          <w:t xml:space="preserve"> shifting</w:t>
        </w:r>
      </w:ins>
      <w:ins w:id="191" w:author="Benjamin J. Makhlouf" w:date="2026-07-08T16:54:00Z" w16du:dateUtc="2026-07-08T23:54:00Z">
        <w:r w:rsidR="0030774A">
          <w:rPr>
            <w:rFonts w:ascii="Garamond" w:hAnsi="Garamond" w:cs="Times New Roman"/>
          </w:rPr>
          <w:t xml:space="preserve"> distribution of </w:t>
        </w:r>
      </w:ins>
      <w:del w:id="192" w:author="Benjamin J. Makhlouf" w:date="2026-07-08T16:53:00Z" w16du:dateUtc="2026-07-08T23:53:00Z">
        <w:r w:rsidDel="0030774A">
          <w:rPr>
            <w:rFonts w:ascii="Garamond" w:hAnsi="Garamond" w:cs="Times New Roman"/>
          </w:rPr>
          <w:delText>ative</w:delText>
        </w:r>
      </w:del>
      <w:r>
        <w:rPr>
          <w:rFonts w:ascii="Garamond" w:hAnsi="Garamond" w:cs="Times New Roman"/>
        </w:rPr>
        <w:t xml:space="preserve"> </w:t>
      </w:r>
      <w:del w:id="193" w:author="Benjamin J. Makhlouf" w:date="2026-07-08T16:53:00Z" w16du:dateUtc="2026-07-08T23:53:00Z">
        <w:r w:rsidDel="0030774A">
          <w:rPr>
            <w:rFonts w:ascii="Garamond" w:hAnsi="Garamond" w:cs="Times New Roman"/>
          </w:rPr>
          <w:delText xml:space="preserve">sample of </w:delText>
        </w:r>
      </w:del>
      <w:del w:id="194" w:author="Benjamin J. Makhlouf" w:date="2026-07-08T16:54:00Z" w16du:dateUtc="2026-07-08T23:54:00Z">
        <w:r w:rsidDel="0030774A">
          <w:rPr>
            <w:rFonts w:ascii="Garamond" w:hAnsi="Garamond" w:cs="Times New Roman"/>
          </w:rPr>
          <w:delText xml:space="preserve">returning </w:delText>
        </w:r>
      </w:del>
      <w:ins w:id="195" w:author="Benjamin J. Makhlouf" w:date="2026-07-12T15:49:00Z" w16du:dateUtc="2026-07-12T22:49:00Z">
        <w:r w:rsidR="00473B48">
          <w:rPr>
            <w:rFonts w:ascii="Garamond" w:hAnsi="Garamond" w:cs="Times New Roman"/>
          </w:rPr>
          <w:t xml:space="preserve">returning </w:t>
        </w:r>
      </w:ins>
      <w:r>
        <w:rPr>
          <w:rFonts w:ascii="Garamond" w:hAnsi="Garamond" w:cs="Times New Roman"/>
        </w:rPr>
        <w:t xml:space="preserve">stocks </w:t>
      </w:r>
      <w:ins w:id="196" w:author="Benjamin J. Makhlouf" w:date="2026-07-12T15:50:00Z" w16du:dateUtc="2026-07-12T22:50:00Z">
        <w:r w:rsidR="00473B48">
          <w:rPr>
            <w:rFonts w:ascii="Garamond" w:hAnsi="Garamond" w:cs="Times New Roman"/>
          </w:rPr>
          <w:t xml:space="preserve">that </w:t>
        </w:r>
      </w:ins>
      <w:del w:id="197" w:author="Benjamin J. Makhlouf" w:date="2026-07-12T15:50:00Z" w16du:dateUtc="2026-07-12T22:50:00Z">
        <w:r w:rsidDel="00473B48">
          <w:rPr>
            <w:rFonts w:ascii="Garamond" w:hAnsi="Garamond" w:cs="Times New Roman"/>
          </w:rPr>
          <w:delText xml:space="preserve">throughout </w:delText>
        </w:r>
      </w:del>
      <w:del w:id="198" w:author="Benjamin J. Makhlouf" w:date="2026-07-12T15:49:00Z" w16du:dateUtc="2026-07-12T22:49:00Z">
        <w:r w:rsidDel="00473B48">
          <w:rPr>
            <w:rFonts w:ascii="Garamond" w:hAnsi="Garamond" w:cs="Times New Roman"/>
          </w:rPr>
          <w:delText xml:space="preserve">the basin </w:delText>
        </w:r>
      </w:del>
      <w:del w:id="199" w:author="Benjamin J. Makhlouf" w:date="2026-07-08T16:54:00Z" w16du:dateUtc="2026-07-08T23:54:00Z">
        <w:r w:rsidDel="0030774A">
          <w:rPr>
            <w:rFonts w:ascii="Garamond" w:hAnsi="Garamond" w:cs="Times New Roman"/>
          </w:rPr>
          <w:delText>above the test fishery location</w:delText>
        </w:r>
      </w:del>
      <w:ins w:id="200" w:author="Benjamin J. Makhlouf" w:date="2026-07-08T16:55:00Z" w16du:dateUtc="2026-07-08T23:55:00Z">
        <w:r w:rsidR="0030774A">
          <w:rPr>
            <w:rFonts w:ascii="Garamond" w:hAnsi="Garamond" w:cs="Times New Roman"/>
          </w:rPr>
          <w:t>comprise the run at any given time</w:t>
        </w:r>
      </w:ins>
      <w:r>
        <w:rPr>
          <w:rFonts w:ascii="Garamond" w:hAnsi="Garamond" w:cs="Times New Roman"/>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(Lipka &amp; Elison, 2015)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Although this sample set does not capture fish which spawn below Bethel, nearly all Chinook salmon returning to the Kuskokwim River spawn above this location. Contributing partners collected approximately 500 otoliths annually from 2017-2022, ensuring sampling efforts over the full course of the run. From these, approximately 250 otoliths</w:t>
      </w:r>
      <w:ins w:id="201" w:author="Benjamin J. Makhlouf" w:date="2026-06-19T16:10:00Z" w16du:dateUtc="2026-06-19T23:10:00Z">
        <w:r w:rsidR="00857F51">
          <w:rPr>
            <w:rFonts w:ascii="Garamond" w:eastAsia="Times New Roman" w:hAnsi="Garamond" w:cs="Times New Roman"/>
            <w:kern w:val="0"/>
            <w14:ligatures w14:val="none"/>
          </w:rPr>
          <w:t xml:space="preserve"> per year</w:t>
        </w:r>
      </w:ins>
      <w:r>
        <w:rPr>
          <w:rFonts w:ascii="Garamond" w:eastAsia="Times New Roman" w:hAnsi="Garamond" w:cs="Times New Roman"/>
          <w:kern w:val="0"/>
          <w14:ligatures w14:val="none"/>
        </w:rPr>
        <w:t xml:space="preserve"> were selected for chemical analysis in proportion to the relative CPUE throughout the season. </w:t>
      </w:r>
    </w:p>
    <w:p w14:paraId="23BCDAEA" w14:textId="036DDA6A" w:rsidR="00B857E3" w:rsidDel="009D5982" w:rsidRDefault="00313CB8" w:rsidP="009D5982">
      <w:pPr>
        <w:spacing w:line="480" w:lineRule="auto"/>
        <w:ind w:firstLine="720"/>
        <w:rPr>
          <w:del w:id="202" w:author="Benjamin J. Makhlouf" w:date="2026-07-09T07:18:00Z" w16du:dateUtc="2026-07-09T14:18:00Z"/>
          <w:rFonts w:ascii="Garamond" w:eastAsia="Times New Roman" w:hAnsi="Garamond" w:cs="Times New Roman"/>
          <w:kern w:val="0"/>
          <w14:ligatures w14:val="none"/>
        </w:rPr>
      </w:pPr>
      <w:r>
        <w:rPr>
          <w:rFonts w:ascii="Garamond" w:hAnsi="Garamond" w:cs="Times New Roman"/>
        </w:rPr>
        <w:t xml:space="preserve">Otoliths were </w:t>
      </w:r>
      <w:r>
        <w:rPr>
          <w:rFonts w:ascii="Garamond" w:eastAsia="Times New Roman" w:hAnsi="Garamond" w:cs="Times New Roman"/>
          <w:kern w:val="0"/>
          <w14:ligatures w14:val="none"/>
        </w:rPr>
        <w:t xml:space="preserve">sectioned with a low-speed diamond-blade Isomet saw along the transverse plane, mounted on microscope slides, and polished to expose internal growth structures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Society","DOI":"10.1577/1548-8659(2002)131&lt;0986:IOSARR&gt;2.0.CO;2","ISSN":"0002-8487","issue":"5","note":"_eprint: https://doi.org/10.1577/1548-8659(2002)131&lt;0986:IOSARR&gt;2.0.CO;2","page":"986-993","publisher":"Taylor &amp; Francis","source":"Taylor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(Donohoe &amp; Zimmerman, 2010; Zimmerman &amp; Reeves, 2002)</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growth (identified by the dark annuli check indicative of marine entry) </w:t>
      </w:r>
      <w:r>
        <w:rPr>
          <w:rFonts w:ascii="Garamond" w:hAnsi="Garamond" w:cs="Times New Roman"/>
        </w:rPr>
        <w:t xml:space="preserve">using a 53 </w:t>
      </w:r>
      <w:r>
        <w:rPr>
          <w:rFonts w:ascii="Garamond" w:hAnsi="Garamond" w:cs="Times New Roman"/>
        </w:rPr>
        <w:sym w:font="Symbol" w:char="F06D"/>
      </w:r>
      <w:r>
        <w:rPr>
          <w:rFonts w:ascii="Garamond" w:hAnsi="Garamond" w:cs="Times New Roman"/>
        </w:rPr>
        <w:t xml:space="preserve">m diameter beam and scanning at 2 </w:t>
      </w:r>
      <w:r>
        <w:rPr>
          <w:rFonts w:ascii="Garamond" w:hAnsi="Garamond" w:cs="Times New Roman"/>
        </w:rPr>
        <w:sym w:font="Symbol" w:char="F06D"/>
      </w:r>
      <w:r>
        <w:rPr>
          <w:rFonts w:ascii="Garamond" w:hAnsi="Garamond" w:cs="Times New Roman"/>
        </w:rPr>
        <w:t>m/second</w:t>
      </w:r>
      <w:ins w:id="203" w:author="Benjamin J. Makhlouf" w:date="2026-07-13T16:27:00Z" w16du:dateUtc="2026-07-13T23:27:00Z">
        <w:r w:rsidR="009D5982">
          <w:rPr>
            <w:rFonts w:ascii="Garamond" w:eastAsia="Times New Roman" w:hAnsi="Garamond" w:cs="Times New Roman"/>
            <w:kern w:val="0"/>
            <w14:ligatures w14:val="none"/>
          </w:rPr>
          <w:t xml:space="preserve"> </w:t>
        </w:r>
        <w:commentRangeStart w:id="204"/>
        <w:r w:rsidR="009D5982" w:rsidRPr="009D5982">
          <w:rPr>
            <w:rFonts w:ascii="Garamond" w:eastAsia="Times New Roman" w:hAnsi="Garamond" w:cs="Times New Roman"/>
            <w:kern w:val="0"/>
            <w:highlight w:val="yellow"/>
            <w14:ligatures w14:val="none"/>
            <w:rPrChange w:id="205" w:author="Benjamin J. Makhlouf" w:date="2026-07-13T16:28:00Z" w16du:dateUtc="2026-07-13T23:28:00Z">
              <w:rPr>
                <w:rFonts w:ascii="Garamond" w:eastAsia="Times New Roman" w:hAnsi="Garamond" w:cs="Times New Roman"/>
                <w:kern w:val="0"/>
                <w14:ligatures w14:val="none"/>
              </w:rPr>
            </w:rPrChange>
          </w:rPr>
          <w:t>(Supplemental ___).</w:t>
        </w:r>
      </w:ins>
      <w:del w:id="206" w:author="Benjamin J. Makhlouf" w:date="2026-07-13T16:27:00Z" w16du:dateUtc="2026-07-13T23:27:00Z">
        <w:r w:rsidRPr="009D5982" w:rsidDel="009D5982">
          <w:rPr>
            <w:rFonts w:ascii="Garamond" w:eastAsia="Times New Roman" w:hAnsi="Garamond" w:cs="Times New Roman"/>
            <w:kern w:val="0"/>
            <w:highlight w:val="yellow"/>
            <w14:ligatures w14:val="none"/>
            <w:rPrChange w:id="207" w:author="Benjamin J. Makhlouf" w:date="2026-07-13T16:28:00Z" w16du:dateUtc="2026-07-13T23:28:00Z">
              <w:rPr>
                <w:rFonts w:ascii="Garamond" w:eastAsia="Times New Roman" w:hAnsi="Garamond" w:cs="Times New Roman"/>
                <w:kern w:val="0"/>
                <w14:ligatures w14:val="none"/>
              </w:rPr>
            </w:rPrChange>
          </w:rPr>
          <w:delText>.</w:delText>
        </w:r>
      </w:del>
      <w:r>
        <w:rPr>
          <w:rFonts w:ascii="Garamond" w:eastAsia="Times New Roman" w:hAnsi="Garamond" w:cs="Times New Roman"/>
          <w:kern w:val="0"/>
          <w:sz w:val="22"/>
          <w:szCs w:val="22"/>
          <w14:ligatures w14:val="none"/>
        </w:rPr>
        <w:t xml:space="preserve"> </w:t>
      </w:r>
      <w:commentRangeEnd w:id="204"/>
      <w:r w:rsidR="009D5982">
        <w:rPr>
          <w:rStyle w:val="CommentReference"/>
          <w:rFonts w:ascii="Garamond" w:eastAsia="Times New Roman" w:hAnsi="Garamond" w:cs="Times New Roman"/>
          <w:kern w:val="0"/>
          <w:sz w:val="24"/>
          <w:szCs w:val="24"/>
          <w14:ligatures w14:val="none"/>
        </w:rPr>
        <w:commentReference w:id="204"/>
      </w:r>
      <w:r>
        <w:rPr>
          <w:rFonts w:ascii="Garamond" w:eastAsia="Times New Roman" w:hAnsi="Garamond" w:cs="Times New Roman"/>
          <w:kern w:val="0"/>
          <w14:ligatures w14:val="none"/>
        </w:rPr>
        <w:t xml:space="preserve">The resulting data represent a continuously integrated measurement of </w:t>
      </w:r>
      <w:ins w:id="208" w:author="Benjamin J. Makhlouf" w:date="2026-07-08T12:03:00Z" w16du:dateUtc="2026-07-08T19:03: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09" w:author="Benjamin J. Makhlouf" w:date="2026-07-08T12:03:00Z" w16du:dateUtc="2026-07-08T19:03: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from early development until marine entry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1998)","noteIndex":0},"citationItems":[{"id":"25Y35S3t/lIyU3UG4","uris":["http://zotero.org/users/8421274/items/IY3FLHLM"],"itemData":{"id":"dI01jIsp/qEdWN4pU","type":"article-journal","abstract":"Strontium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2015; Campana, 1999</w:t>
      </w:r>
      <w:del w:id="210" w:author="Benjamin J. Makhlouf" w:date="2026-07-08T12:10:00Z" w16du:dateUtc="2026-07-08T19:10:00Z">
        <w:r w:rsidDel="00724502">
          <w:rPr>
            <w:rFonts w:ascii="Garamond" w:eastAsia="Times New Roman" w:hAnsi="Garamond" w:cs="Times New Roman"/>
            <w:noProof/>
            <w:kern w:val="0"/>
            <w14:ligatures w14:val="none"/>
          </w:rPr>
          <w:delText>; Capo et al., 1998</w:delText>
        </w:r>
      </w:del>
      <w:r>
        <w:rPr>
          <w:rFonts w:ascii="Garamond" w:eastAsia="Times New Roman" w:hAnsi="Garamond" w:cs="Times New Roman"/>
          <w:noProof/>
          <w:kern w:val="0"/>
          <w14:ligatures w14:val="none"/>
        </w:rPr>
        <w:t>)</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From these data, the </w:t>
      </w:r>
      <w:ins w:id="211" w:author="Benjamin J. Makhlouf" w:date="2026-07-08T12:03:00Z" w16du:dateUtc="2026-07-08T19:03:00Z">
        <w:r w:rsidR="0033663A">
          <w:rPr>
            <w:rFonts w:ascii="Garamond" w:eastAsia="Times New Roman" w:hAnsi="Garamond" w:cs="Times New Roman"/>
            <w:kern w:val="0"/>
            <w:vertAlign w:val="superscript"/>
            <w14:ligatures w14:val="none"/>
          </w:rPr>
          <w:t>87</w:t>
        </w:r>
      </w:ins>
      <w:r>
        <w:rPr>
          <w:rFonts w:ascii="Garamond" w:eastAsia="Times New Roman" w:hAnsi="Garamond" w:cs="Times New Roman"/>
          <w:kern w:val="0"/>
          <w14:ligatures w14:val="none"/>
        </w:rPr>
        <w:t>Sr</w:t>
      </w:r>
      <w:del w:id="212" w:author="Benjamin J. Makhlouf" w:date="2026-07-08T12:03:00Z" w16du:dateUtc="2026-07-08T19:03:00Z">
        <w:r w:rsidDel="0033663A">
          <w:rPr>
            <w:rFonts w:ascii="Garamond" w:eastAsia="Times New Roman" w:hAnsi="Garamond" w:cs="Times New Roman"/>
            <w:kern w:val="0"/>
            <w:vertAlign w:val="superscript"/>
            <w14:ligatures w14:val="none"/>
          </w:rPr>
          <w:delText>87</w:delText>
        </w:r>
      </w:del>
      <w:r>
        <w:rPr>
          <w:rFonts w:ascii="Garamond" w:eastAsia="Times New Roman" w:hAnsi="Garamond" w:cs="Times New Roman"/>
          <w:kern w:val="0"/>
          <w14:ligatures w14:val="none"/>
        </w:rPr>
        <w:t>/</w:t>
      </w:r>
      <w:ins w:id="213" w:author="Benjamin J. Makhlouf" w:date="2026-07-08T12:03:00Z" w16du:dateUtc="2026-07-08T19:03:00Z">
        <w:r w:rsidR="0033663A">
          <w:rPr>
            <w:rFonts w:ascii="Garamond" w:eastAsia="Times New Roman" w:hAnsi="Garamond" w:cs="Times New Roman"/>
            <w:kern w:val="0"/>
            <w:vertAlign w:val="superscript"/>
            <w14:ligatures w14:val="none"/>
          </w:rPr>
          <w:t>86</w:t>
        </w:r>
      </w:ins>
      <w:r>
        <w:rPr>
          <w:rFonts w:ascii="Garamond" w:eastAsia="Times New Roman" w:hAnsi="Garamond" w:cs="Times New Roman"/>
          <w:kern w:val="0"/>
          <w14:ligatures w14:val="none"/>
        </w:rPr>
        <w:t>Sr</w:t>
      </w:r>
      <w:del w:id="214" w:author="Benjamin J. Makhlouf" w:date="2026-07-08T12:03:00Z" w16du:dateUtc="2026-07-08T19:03:00Z">
        <w:r w:rsidDel="0033663A">
          <w:rPr>
            <w:rFonts w:ascii="Garamond" w:eastAsia="Times New Roman" w:hAnsi="Garamond" w:cs="Times New Roman"/>
            <w:kern w:val="0"/>
            <w:vertAlign w:val="superscript"/>
            <w14:ligatures w14:val="none"/>
          </w:rPr>
          <w:delText>86</w:delText>
        </w:r>
      </w:del>
      <w:r>
        <w:rPr>
          <w:rFonts w:ascii="Garamond" w:eastAsia="Times New Roman" w:hAnsi="Garamond" w:cs="Times New Roman"/>
          <w:kern w:val="0"/>
          <w14:ligatures w14:val="none"/>
        </w:rPr>
        <w:t xml:space="preserve"> value associated with the natal freshwater rearing period was extracted by examining patterns of change in </w:t>
      </w:r>
      <w:ins w:id="215"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16"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and </w:t>
      </w:r>
      <w:ins w:id="217" w:author="Benjamin J. Makhlouf" w:date="2026-07-09T07:16:00Z" w16du:dateUtc="2026-07-09T14:16:00Z">
        <w:r w:rsidR="00581DBC">
          <w:rPr>
            <w:rFonts w:ascii="Garamond" w:eastAsia="Times New Roman" w:hAnsi="Garamond" w:cs="Times New Roman"/>
            <w:kern w:val="0"/>
            <w:vertAlign w:val="superscript"/>
            <w14:ligatures w14:val="none"/>
          </w:rPr>
          <w:t>88</w:t>
        </w:r>
      </w:ins>
      <w:r>
        <w:rPr>
          <w:rFonts w:ascii="Garamond" w:eastAsia="Times New Roman" w:hAnsi="Garamond" w:cs="Times New Roman"/>
          <w:kern w:val="0"/>
          <w14:ligatures w14:val="none"/>
        </w:rPr>
        <w:t>Sr</w:t>
      </w:r>
      <w:del w:id="218" w:author="Benjamin J. Makhlouf" w:date="2026-07-09T07:16:00Z" w16du:dateUtc="2026-07-09T14:16:00Z">
        <w:r w:rsidDel="00581DBC">
          <w:rPr>
            <w:rFonts w:ascii="Garamond" w:eastAsia="Times New Roman" w:hAnsi="Garamond" w:cs="Times New Roman"/>
            <w:kern w:val="0"/>
            <w:vertAlign w:val="superscript"/>
            <w14:ligatures w14:val="none"/>
          </w:rPr>
          <w:delText>88</w:delText>
        </w:r>
      </w:del>
      <w:r>
        <w:rPr>
          <w:rFonts w:ascii="Garamond" w:eastAsia="Times New Roman" w:hAnsi="Garamond" w:cs="Times New Roman"/>
          <w:kern w:val="0"/>
          <w14:ligatures w14:val="none"/>
        </w:rPr>
        <w:t xml:space="preserve"> between the core and freshwater region, </w:t>
      </w:r>
      <w:r>
        <w:rPr>
          <w:rFonts w:ascii="Garamond" w:eastAsia="Times New Roman" w:hAnsi="Garamond" w:cs="Times New Roman"/>
          <w:kern w:val="0"/>
          <w14:ligatures w14:val="none"/>
        </w:rPr>
        <w:lastRenderedPageBreak/>
        <w:t xml:space="preserve">morphological features of the otolith visible along the ablation path, and known distances </w:t>
      </w:r>
      <w:ins w:id="219" w:author="Benjamin J. Makhlouf" w:date="2026-07-09T07:16:00Z" w16du:dateUtc="2026-07-09T14:16:00Z">
        <w:r w:rsidR="00581DBC" w:rsidRPr="00CA79E7">
          <w:rPr>
            <w:rFonts w:ascii="Garamond" w:eastAsia="Times New Roman" w:hAnsi="Garamond" w:cs="Times New Roman"/>
            <w:kern w:val="0"/>
            <w:highlight w:val="yellow"/>
            <w14:ligatures w14:val="none"/>
          </w:rPr>
          <w:t>(</w:t>
        </w:r>
        <w:r w:rsidR="00581DBC">
          <w:rPr>
            <w:rFonts w:ascii="Garamond" w:eastAsia="Times New Roman" w:hAnsi="Garamond" w:cs="Times New Roman"/>
            <w:kern w:val="0"/>
            <w:highlight w:val="yellow"/>
            <w14:ligatures w14:val="none"/>
          </w:rPr>
          <w:t>~120-150 µm</w:t>
        </w:r>
        <w:r w:rsidR="00581DBC" w:rsidRPr="00CA79E7">
          <w:rPr>
            <w:rFonts w:ascii="Garamond" w:eastAsia="Times New Roman" w:hAnsi="Garamond" w:cs="Times New Roman"/>
            <w:kern w:val="0"/>
            <w:highlight w:val="yellow"/>
            <w14:ligatures w14:val="none"/>
          </w:rPr>
          <w:t>)</w:t>
        </w:r>
        <w:r w:rsidR="00581DBC">
          <w:rPr>
            <w:rFonts w:ascii="Garamond" w:eastAsia="Times New Roman" w:hAnsi="Garamond" w:cs="Times New Roman"/>
            <w:kern w:val="0"/>
            <w14:ligatures w14:val="none"/>
          </w:rPr>
          <w:t xml:space="preserve"> </w:t>
        </w:r>
      </w:ins>
      <w:r>
        <w:rPr>
          <w:rFonts w:ascii="Garamond" w:eastAsia="Times New Roman" w:hAnsi="Garamond" w:cs="Times New Roman"/>
          <w:kern w:val="0"/>
          <w14:ligatures w14:val="none"/>
        </w:rPr>
        <w:t xml:space="preserve">from the </w:t>
      </w:r>
      <w:del w:id="220" w:author="Benjamin J. Makhlouf" w:date="2026-07-09T07:16:00Z" w16du:dateUtc="2026-07-09T14:16:00Z">
        <w:r w:rsidDel="00581DBC">
          <w:rPr>
            <w:rFonts w:ascii="Garamond" w:eastAsia="Times New Roman" w:hAnsi="Garamond" w:cs="Times New Roman"/>
            <w:kern w:val="0"/>
            <w14:ligatures w14:val="none"/>
          </w:rPr>
          <w:delText>core to</w:delText>
        </w:r>
      </w:del>
      <w:ins w:id="221" w:author="Benjamin J. Makhlouf" w:date="2026-07-09T07:16:00Z" w16du:dateUtc="2026-07-09T14:16:00Z">
        <w:r w:rsidR="00581DBC">
          <w:rPr>
            <w:rFonts w:ascii="Garamond" w:eastAsia="Times New Roman" w:hAnsi="Garamond" w:cs="Times New Roman"/>
            <w:kern w:val="0"/>
            <w14:ligatures w14:val="none"/>
          </w:rPr>
          <w:t>core to</w:t>
        </w:r>
      </w:ins>
      <w:r>
        <w:rPr>
          <w:rFonts w:ascii="Garamond" w:eastAsia="Times New Roman" w:hAnsi="Garamond" w:cs="Times New Roman"/>
          <w:kern w:val="0"/>
          <w14:ligatures w14:val="none"/>
        </w:rPr>
        <w:t xml:space="preserve"> onset of the freshwater signal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{"citationID":"9Eo1mxW7","properties":{"formattedCitation":"(Brennan et al., 2019; Chittaro et al., 2023)","plainCitation":"(Brennan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 Chittaro et al., 2023)</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ins w:id="222" w:author="Benjamin J. Makhlouf" w:date="2026-07-08T16:56:00Z" w16du:dateUtc="2026-07-08T23:56:00Z">
        <w:r w:rsidR="007D796E">
          <w:rPr>
            <w:rFonts w:ascii="Garamond" w:eastAsia="Times New Roman" w:hAnsi="Garamond" w:cs="Times New Roman"/>
            <w:kern w:val="0"/>
            <w14:ligatures w14:val="none"/>
          </w:rPr>
          <w:t xml:space="preserve"> We used </w:t>
        </w:r>
      </w:ins>
      <w:ins w:id="223" w:author="Benjamin J. Makhlouf" w:date="2026-07-08T12:05:00Z" w16du:dateUtc="2026-07-08T19:05:00Z">
        <w:r w:rsidR="0033663A">
          <w:rPr>
            <w:rFonts w:ascii="Garamond" w:eastAsia="Times New Roman" w:hAnsi="Garamond" w:cs="Times New Roman"/>
            <w:kern w:val="0"/>
            <w:vertAlign w:val="superscript"/>
            <w14:ligatures w14:val="none"/>
          </w:rPr>
          <w:t>88</w:t>
        </w:r>
      </w:ins>
      <w:ins w:id="224" w:author="Benjamin J. Makhlouf" w:date="2026-06-18T19:47:00Z" w16du:dateUtc="2026-06-19T02:47:00Z">
        <w:r w:rsidR="00221CA6">
          <w:rPr>
            <w:rFonts w:ascii="Garamond" w:eastAsia="Times New Roman" w:hAnsi="Garamond" w:cs="Times New Roman"/>
            <w:kern w:val="0"/>
            <w14:ligatures w14:val="none"/>
          </w:rPr>
          <w:t>Sr</w:t>
        </w:r>
      </w:ins>
      <w:ins w:id="225" w:author="Benjamin J. Makhlouf" w:date="2026-06-18T19:48:00Z" w16du:dateUtc="2026-06-19T02:48:00Z">
        <w:r w:rsidR="00221CA6">
          <w:rPr>
            <w:rFonts w:ascii="Garamond" w:eastAsia="Times New Roman" w:hAnsi="Garamond" w:cs="Times New Roman"/>
            <w:kern w:val="0"/>
            <w14:ligatures w14:val="none"/>
          </w:rPr>
          <w:t xml:space="preserve"> as a proxy for </w:t>
        </w:r>
      </w:ins>
      <w:ins w:id="226" w:author="Benjamin J. Makhlouf" w:date="2026-07-08T16:56:00Z" w16du:dateUtc="2026-07-08T23:56:00Z">
        <w:r w:rsidR="007D796E">
          <w:rPr>
            <w:rFonts w:ascii="Garamond" w:eastAsia="Times New Roman" w:hAnsi="Garamond" w:cs="Times New Roman"/>
            <w:kern w:val="0"/>
            <w14:ligatures w14:val="none"/>
          </w:rPr>
          <w:t xml:space="preserve">total </w:t>
        </w:r>
      </w:ins>
      <w:ins w:id="227" w:author="Benjamin J. Makhlouf" w:date="2026-07-08T16:57:00Z" w16du:dateUtc="2026-07-08T23:57:00Z">
        <w:r w:rsidR="007D796E">
          <w:rPr>
            <w:rFonts w:ascii="Garamond" w:eastAsia="Times New Roman" w:hAnsi="Garamond" w:cs="Times New Roman"/>
            <w:kern w:val="0"/>
            <w14:ligatures w14:val="none"/>
          </w:rPr>
          <w:t>s</w:t>
        </w:r>
      </w:ins>
      <w:ins w:id="228" w:author="Benjamin J. Makhlouf" w:date="2026-07-08T16:56:00Z" w16du:dateUtc="2026-07-08T23:56:00Z">
        <w:r w:rsidR="007D796E">
          <w:rPr>
            <w:rFonts w:ascii="Garamond" w:eastAsia="Times New Roman" w:hAnsi="Garamond" w:cs="Times New Roman"/>
            <w:kern w:val="0"/>
            <w14:ligatures w14:val="none"/>
          </w:rPr>
          <w:t>trontium</w:t>
        </w:r>
      </w:ins>
      <w:ins w:id="229" w:author="Benjamin J. Makhlouf" w:date="2026-06-18T19:48:00Z" w16du:dateUtc="2026-06-19T02:48:00Z">
        <w:r w:rsidR="00221CA6">
          <w:rPr>
            <w:rFonts w:ascii="Garamond" w:eastAsia="Times New Roman" w:hAnsi="Garamond" w:cs="Times New Roman"/>
            <w:kern w:val="0"/>
            <w14:ligatures w14:val="none"/>
          </w:rPr>
          <w:t xml:space="preserve"> concentration, which is expected to be much higher in </w:t>
        </w:r>
      </w:ins>
      <w:ins w:id="230" w:author="Benjamin J. Makhlouf" w:date="2026-07-08T16:57:00Z" w16du:dateUtc="2026-07-08T23:57:00Z">
        <w:r w:rsidR="007D796E">
          <w:rPr>
            <w:rFonts w:ascii="Garamond" w:eastAsia="Times New Roman" w:hAnsi="Garamond" w:cs="Times New Roman"/>
            <w:kern w:val="0"/>
            <w14:ligatures w14:val="none"/>
          </w:rPr>
          <w:t>both the</w:t>
        </w:r>
      </w:ins>
      <w:ins w:id="231" w:author="Benjamin J. Makhlouf" w:date="2026-06-18T19:48:00Z" w16du:dateUtc="2026-06-19T02:48:00Z">
        <w:r w:rsidR="00221CA6">
          <w:rPr>
            <w:rFonts w:ascii="Garamond" w:eastAsia="Times New Roman" w:hAnsi="Garamond" w:cs="Times New Roman"/>
            <w:kern w:val="0"/>
            <w14:ligatures w14:val="none"/>
          </w:rPr>
          <w:t xml:space="preserve"> marine environment </w:t>
        </w:r>
      </w:ins>
      <w:ins w:id="232" w:author="Benjamin J. Makhlouf" w:date="2026-07-08T16:57:00Z" w16du:dateUtc="2026-07-08T23:57:00Z">
        <w:r w:rsidR="007D796E">
          <w:rPr>
            <w:rFonts w:ascii="Garamond" w:eastAsia="Times New Roman" w:hAnsi="Garamond" w:cs="Times New Roman"/>
            <w:kern w:val="0"/>
            <w14:ligatures w14:val="none"/>
          </w:rPr>
          <w:t xml:space="preserve">and the </w:t>
        </w:r>
      </w:ins>
      <w:ins w:id="233" w:author="Benjamin J. Makhlouf" w:date="2026-06-18T19:48:00Z" w16du:dateUtc="2026-06-19T02:48:00Z">
        <w:r w:rsidR="00221CA6">
          <w:rPr>
            <w:rFonts w:ascii="Garamond" w:eastAsia="Times New Roman" w:hAnsi="Garamond" w:cs="Times New Roman"/>
            <w:kern w:val="0"/>
            <w14:ligatures w14:val="none"/>
          </w:rPr>
          <w:t>materna</w:t>
        </w:r>
      </w:ins>
      <w:ins w:id="234" w:author="Benjamin J. Makhlouf" w:date="2026-06-18T19:49:00Z" w16du:dateUtc="2026-06-19T02:49:00Z">
        <w:r w:rsidR="00221CA6">
          <w:rPr>
            <w:rFonts w:ascii="Garamond" w:eastAsia="Times New Roman" w:hAnsi="Garamond" w:cs="Times New Roman"/>
            <w:kern w:val="0"/>
            <w14:ligatures w14:val="none"/>
          </w:rPr>
          <w:t>lly influenced core</w:t>
        </w:r>
      </w:ins>
      <w:ins w:id="235" w:author="Benjamin J. Makhlouf" w:date="2026-07-08T16:57:00Z" w16du:dateUtc="2026-07-08T23:57:00Z">
        <w:r w:rsidR="007D796E">
          <w:rPr>
            <w:rFonts w:ascii="Garamond" w:eastAsia="Times New Roman" w:hAnsi="Garamond" w:cs="Times New Roman"/>
            <w:kern w:val="0"/>
            <w14:ligatures w14:val="none"/>
          </w:rPr>
          <w:t xml:space="preserve"> region of the otolith</w:t>
        </w:r>
      </w:ins>
      <w:ins w:id="236" w:author="Benjamin J. Makhlouf" w:date="2026-06-18T19:49:00Z" w16du:dateUtc="2026-06-19T02:49:00Z">
        <w:r w:rsidR="00221CA6">
          <w:rPr>
            <w:rFonts w:ascii="Garamond" w:eastAsia="Times New Roman" w:hAnsi="Garamond" w:cs="Times New Roman"/>
            <w:kern w:val="0"/>
            <w14:ligatures w14:val="none"/>
          </w:rPr>
          <w:t>.</w:t>
        </w:r>
      </w:ins>
      <w:ins w:id="237" w:author="Benjamin J. Makhlouf" w:date="2026-07-09T07:17:00Z" w16du:dateUtc="2026-07-09T14:17:00Z">
        <w:r w:rsidR="00581DBC">
          <w:rPr>
            <w:rFonts w:ascii="Garamond" w:eastAsia="Times New Roman" w:hAnsi="Garamond" w:cs="Times New Roman"/>
            <w:kern w:val="0"/>
            <w14:ligatures w14:val="none"/>
          </w:rPr>
          <w:t xml:space="preserve"> The </w:t>
        </w:r>
        <w:r w:rsidR="00581DBC">
          <w:rPr>
            <w:rFonts w:ascii="Garamond" w:eastAsia="Times New Roman" w:hAnsi="Garamond" w:cs="Times New Roman"/>
            <w:kern w:val="0"/>
            <w:vertAlign w:val="superscript"/>
            <w14:ligatures w14:val="none"/>
          </w:rPr>
          <w:t>88</w:t>
        </w:r>
        <w:r w:rsidR="00581DBC">
          <w:rPr>
            <w:rFonts w:ascii="Garamond" w:eastAsia="Times New Roman" w:hAnsi="Garamond" w:cs="Times New Roman"/>
            <w:kern w:val="0"/>
            <w14:ligatures w14:val="none"/>
          </w:rPr>
          <w:t>Sr signal collected along the ablation path was therefore used to inform the depletion of the maternal signature and onset of the marine signal for manual</w:t>
        </w:r>
      </w:ins>
      <w:ins w:id="238" w:author="Benjamin J. Makhlouf" w:date="2026-07-09T07:18:00Z" w16du:dateUtc="2026-07-09T14:18:00Z">
        <w:r w:rsidR="00581DBC">
          <w:rPr>
            <w:rFonts w:ascii="Garamond" w:eastAsia="Times New Roman" w:hAnsi="Garamond" w:cs="Times New Roman"/>
            <w:kern w:val="0"/>
            <w14:ligatures w14:val="none"/>
          </w:rPr>
          <w:t xml:space="preserve"> selection of the natal origin region.</w:t>
        </w:r>
      </w:ins>
      <w:del w:id="239" w:author="Benjamin J. Makhlouf" w:date="2026-06-18T19:45:00Z" w16du:dateUtc="2026-06-19T02:45:00Z">
        <w:r w:rsidDel="00221CA6">
          <w:rPr>
            <w:rFonts w:ascii="Garamond" w:eastAsia="Times New Roman" w:hAnsi="Garamond" w:cs="Times New Roman"/>
            <w:kern w:val="0"/>
            <w14:ligatures w14:val="none"/>
          </w:rPr>
          <w:delText xml:space="preserve"> </w:delText>
        </w:r>
      </w:del>
    </w:p>
    <w:p w14:paraId="7E3612D2" w14:textId="77777777" w:rsidR="00A10423" w:rsidDel="009D5982" w:rsidRDefault="00A10423" w:rsidP="009D5982">
      <w:pPr>
        <w:spacing w:line="480" w:lineRule="auto"/>
        <w:ind w:firstLine="720"/>
        <w:rPr>
          <w:del w:id="240" w:author="Benjamin J. Makhlouf" w:date="2026-07-09T07:18:00Z" w16du:dateUtc="2026-07-09T14:18:00Z"/>
          <w:rFonts w:ascii="Garamond" w:eastAsia="Times New Roman" w:hAnsi="Garamond" w:cs="Times New Roman"/>
          <w:kern w:val="0"/>
          <w14:ligatures w14:val="none"/>
        </w:rPr>
      </w:pPr>
    </w:p>
    <w:p w14:paraId="088C954F" w14:textId="77777777" w:rsidR="009D5982" w:rsidRDefault="009D5982" w:rsidP="009D5982">
      <w:pPr>
        <w:spacing w:line="480" w:lineRule="auto"/>
        <w:ind w:firstLine="720"/>
        <w:rPr>
          <w:ins w:id="241" w:author="Benjamin J. Makhlouf" w:date="2026-07-13T16:29:00Z" w16du:dateUtc="2026-07-13T23:29:00Z"/>
          <w:rFonts w:ascii="Garamond" w:eastAsia="Times New Roman" w:hAnsi="Garamond" w:cs="Times New Roman"/>
          <w:kern w:val="0"/>
          <w14:ligatures w14:val="none"/>
        </w:rPr>
      </w:pPr>
    </w:p>
    <w:p w14:paraId="08A34DF9" w14:textId="77777777" w:rsidR="009D5982" w:rsidRDefault="009D5982" w:rsidP="009D5982">
      <w:pPr>
        <w:spacing w:line="480" w:lineRule="auto"/>
        <w:ind w:firstLine="720"/>
        <w:rPr>
          <w:ins w:id="242" w:author="Benjamin J. Makhlouf" w:date="2026-07-13T16:29:00Z" w16du:dateUtc="2026-07-13T23:29:00Z"/>
          <w:rFonts w:ascii="Garamond" w:eastAsia="Times New Roman" w:hAnsi="Garamond" w:cs="Times New Roman"/>
          <w:b/>
          <w:bCs/>
          <w:kern w:val="0"/>
          <w14:ligatures w14:val="none"/>
        </w:rPr>
        <w:pPrChange w:id="243" w:author="Benjamin J. Makhlouf" w:date="2026-07-13T16:27:00Z" w16du:dateUtc="2026-07-13T23:27:00Z">
          <w:pPr>
            <w:spacing w:line="480" w:lineRule="auto"/>
          </w:pPr>
        </w:pPrChange>
      </w:pPr>
    </w:p>
    <w:p w14:paraId="696145BD" w14:textId="1982FBC3" w:rsidR="00B857E3" w:rsidRPr="008605CB" w:rsidRDefault="007C6331" w:rsidP="009D5982">
      <w:pPr>
        <w:spacing w:line="480" w:lineRule="auto"/>
        <w:ind w:firstLine="720"/>
        <w:rPr>
          <w:rFonts w:ascii="Garamond" w:eastAsia="Times New Roman" w:hAnsi="Garamond" w:cs="Times New Roman"/>
          <w:b/>
          <w:bCs/>
          <w:kern w:val="0"/>
          <w14:ligatures w14:val="none"/>
        </w:rPr>
        <w:pPrChange w:id="244" w:author="Benjamin J. Makhlouf" w:date="2026-07-13T16:27:00Z" w16du:dateUtc="2026-07-13T23:27:00Z">
          <w:pPr>
            <w:spacing w:line="480" w:lineRule="auto"/>
          </w:pPr>
        </w:pPrChange>
      </w:pPr>
      <w:r>
        <w:rPr>
          <w:rFonts w:ascii="Garamond" w:eastAsia="Times New Roman" w:hAnsi="Garamond" w:cs="Times New Roman"/>
          <w:b/>
          <w:bCs/>
          <w:kern w:val="0"/>
          <w14:ligatures w14:val="none"/>
        </w:rPr>
        <w:t xml:space="preserve">2.2 Natal Origin Estimation </w:t>
      </w:r>
    </w:p>
    <w:p w14:paraId="0305AF90" w14:textId="5910EB5D" w:rsidR="00B857E3" w:rsidRPr="008605CB" w:rsidRDefault="00B857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A strontium isoscape of the Kuskokwim River basin (Fig. 1) was constructed by French et al. (2020) in which spatial variation in </w:t>
      </w:r>
      <w:ins w:id="245"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46"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ratios across the river basin was modeled using spatial stream network modeling (SSNM) derived from water samples collected throughout the river basin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{"citationID":"5Pp7WuA9","properties":{"formattedCitation":"(French et al., 2020)","plainCitation":"(French et al., 2020)","dontUpdate":true,"noteIndex":0},"citationItems":[{"id":1684,"uris":["http://zotero.org/users/8421274/items/M654PKRJ"],"itemData":{"id":1684,"type":"article-journal","abstract":"Riverine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(French et al., 2020, N = 120)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The resulting isoscape includes estimates of </w:t>
      </w:r>
      <w:ins w:id="247"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48"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hAnsi="Garamond" w:cs="Times New Roman"/>
          </w:rPr>
          <w:delText xml:space="preserve"> </w:delText>
        </w:r>
      </w:del>
      <w:r>
        <w:rPr>
          <w:rFonts w:ascii="Garamond" w:hAnsi="Garamond" w:cs="Times New Roman"/>
        </w:rPr>
        <w:t>ratios and associated uncertainty for roughly every 1km of river length across the basin (Fig. 1)</w:t>
      </w:r>
      <w:r>
        <w:rPr>
          <w:rFonts w:ascii="Garamond" w:eastAsia="Times New Roman" w:hAnsi="Garamond" w:cs="Times New Roman"/>
          <w:kern w:val="0"/>
          <w14:ligatures w14:val="none"/>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2016; Ver Hoef &amp; Peterson, 2010)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w:t>
      </w:r>
      <w:r>
        <w:rPr>
          <w:rFonts w:ascii="Garamond" w:hAnsi="Garamond" w:cs="Times New Roman"/>
        </w:rPr>
        <w:t xml:space="preserve">To prevent over-assignment to tributaries with exceptionally low prediction error, uncertainty values were constrained to 0.0006 and above. This threshold was selected by visually examining the histogram for a cutoff which adjusted the values for a small number of exceedingly low uncertainty tributaries (those near extensive sampling) while maintaining the general error distribution from the original SSN model. </w:t>
      </w:r>
    </w:p>
    <w:p w14:paraId="417575B8" w14:textId="711F4E25" w:rsidR="009833DB" w:rsidRPr="008605CB" w:rsidRDefault="002A3F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Posterior probability values were calculated for assigning all fish to potential tributary segments across the river basin using a geographically continuous Bayesian framework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{"citationID":"O7HgVrjI","properties":{"formattedCitation":"(Brennan et al., 2019)","plainCitation":"(Brennan et al., 2019)","noteIndex":0},"citationItems":[{"id":3844,"uris":["http://zotero.org/users/8421274/items/RXD5IA9D"],"itemData":{"id":3844,"type":"article-journal","abstract":"Watersheds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 xml:space="preserve">(Brennan et </w:t>
      </w:r>
      <w:r>
        <w:rPr>
          <w:rFonts w:ascii="Garamond" w:eastAsia="Times New Roman" w:hAnsi="Garamond" w:cs="Times New Roman"/>
          <w:noProof/>
          <w:kern w:val="0"/>
          <w14:ligatures w14:val="none"/>
        </w:rPr>
        <w:lastRenderedPageBreak/>
        <w:t>al., 2019)</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This approach considers the relationship between extracted natal origin otolith </w:t>
      </w:r>
      <w:ins w:id="249"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50"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values as well as several variance generating processes</w:t>
      </w:r>
      <w:ins w:id="251" w:author="Benjamin J. Makhlouf" w:date="2026-07-09T07:19:00Z" w16du:dateUtc="2026-07-09T14:19:00Z">
        <w:r w:rsidR="00581DBC">
          <w:rPr>
            <w:rFonts w:ascii="Garamond" w:eastAsia="Times New Roman" w:hAnsi="Garamond" w:cs="Times New Roman"/>
            <w:kern w:val="0"/>
            <w14:ligatures w14:val="none"/>
          </w:rPr>
          <w:t xml:space="preserve"> </w:t>
        </w:r>
      </w:ins>
      <w:ins w:id="252" w:author="Benjamin J. Makhlouf" w:date="2026-06-22T08:49:00Z">
        <w:r w:rsidR="0080518D" w:rsidRPr="0080518D">
          <w:rPr>
            <w:rFonts w:ascii="Garamond" w:eastAsia="Times New Roman" w:hAnsi="Garamond" w:cs="Times New Roman"/>
            <w:kern w:val="0"/>
            <w14:ligatures w14:val="none"/>
          </w:rPr>
          <w:t>includ</w:t>
        </w:r>
      </w:ins>
      <w:ins w:id="253" w:author="Benjamin J. Makhlouf" w:date="2026-07-09T07:19:00Z" w16du:dateUtc="2026-07-09T14:19:00Z">
        <w:r w:rsidR="00581DBC">
          <w:rPr>
            <w:rFonts w:ascii="Garamond" w:eastAsia="Times New Roman" w:hAnsi="Garamond" w:cs="Times New Roman"/>
            <w:kern w:val="0"/>
            <w14:ligatures w14:val="none"/>
          </w:rPr>
          <w:t>ing</w:t>
        </w:r>
      </w:ins>
      <w:ins w:id="254" w:author="Benjamin J. Makhlouf" w:date="2026-06-22T08:49:00Z">
        <w:r w:rsidR="0080518D" w:rsidRPr="0080518D">
          <w:rPr>
            <w:rFonts w:ascii="Garamond" w:eastAsia="Times New Roman" w:hAnsi="Garamond" w:cs="Times New Roman"/>
            <w:kern w:val="0"/>
            <w14:ligatures w14:val="none"/>
          </w:rPr>
          <w:t xml:space="preserve"> analytical error (variation among repeated standard measurements; 0.000055), within-population error (variation among individuals at the same site; 0.00016), and isoscape error (uncertainty in isoscape model predictions; basin-wide mean = 0.00072)</w:t>
        </w:r>
      </w:ins>
      <w:ins w:id="255" w:author="Benjamin J. Makhlouf" w:date="2026-06-22T10:03:00Z" w16du:dateUtc="2026-06-22T17:03:00Z">
        <w:r w:rsidR="003224CC">
          <w:rPr>
            <w:rFonts w:ascii="Garamond" w:eastAsia="Times New Roman" w:hAnsi="Garamond" w:cs="Times New Roman"/>
            <w:kern w:val="0"/>
            <w14:ligatures w14:val="none"/>
          </w:rPr>
          <w:t xml:space="preserve"> </w:t>
        </w:r>
      </w:ins>
      <w:ins w:id="256" w:author="Benjamin J. Makhlouf" w:date="2026-06-22T10:05:00Z" w16du:dateUtc="2026-06-22T17:05:00Z">
        <w:r w:rsidR="003224CC" w:rsidRPr="00581DBC">
          <w:rPr>
            <w:rFonts w:ascii="Garamond" w:eastAsia="Times New Roman" w:hAnsi="Garamond" w:cs="Times New Roman"/>
            <w:kern w:val="0"/>
            <w:highlight w:val="yellow"/>
            <w14:ligatures w14:val="none"/>
            <w:rPrChange w:id="257" w:author="Benjamin J. Makhlouf" w:date="2026-07-09T07:20:00Z" w16du:dateUtc="2026-07-09T14:20:00Z">
              <w:rPr>
                <w:rFonts w:ascii="Garamond" w:eastAsia="Times New Roman" w:hAnsi="Garamond" w:cs="Times New Roman"/>
                <w:kern w:val="0"/>
                <w14:ligatures w14:val="none"/>
              </w:rPr>
            </w:rPrChange>
          </w:rPr>
          <w:t xml:space="preserve">(Brennan et al., 2015, French at al., </w:t>
        </w:r>
      </w:ins>
      <w:ins w:id="258" w:author="Benjamin J. Makhlouf" w:date="2026-07-09T07:20:00Z" w16du:dateUtc="2026-07-09T14:20:00Z">
        <w:r w:rsidR="00581DBC" w:rsidRPr="00581DBC">
          <w:rPr>
            <w:rFonts w:ascii="Garamond" w:eastAsia="Times New Roman" w:hAnsi="Garamond" w:cs="Times New Roman"/>
            <w:kern w:val="0"/>
            <w:highlight w:val="yellow"/>
            <w14:ligatures w14:val="none"/>
            <w:rPrChange w:id="259" w:author="Benjamin J. Makhlouf" w:date="2026-07-09T07:20:00Z" w16du:dateUtc="2026-07-09T14:20:00Z">
              <w:rPr>
                <w:rFonts w:ascii="Garamond" w:eastAsia="Times New Roman" w:hAnsi="Garamond" w:cs="Times New Roman"/>
                <w:kern w:val="0"/>
                <w14:ligatures w14:val="none"/>
              </w:rPr>
            </w:rPrChange>
          </w:rPr>
          <w:t>2020</w:t>
        </w:r>
      </w:ins>
      <w:ins w:id="260" w:author="Benjamin J. Makhlouf" w:date="2026-06-22T10:05:00Z" w16du:dateUtc="2026-06-22T17:05:00Z">
        <w:r w:rsidR="003224CC" w:rsidRPr="00581DBC">
          <w:rPr>
            <w:rFonts w:ascii="Garamond" w:eastAsia="Times New Roman" w:hAnsi="Garamond" w:cs="Times New Roman"/>
            <w:kern w:val="0"/>
            <w:highlight w:val="yellow"/>
            <w14:ligatures w14:val="none"/>
            <w:rPrChange w:id="261" w:author="Benjamin J. Makhlouf" w:date="2026-07-09T07:20:00Z" w16du:dateUtc="2026-07-09T14:20:00Z">
              <w:rPr>
                <w:rFonts w:ascii="Garamond" w:eastAsia="Times New Roman" w:hAnsi="Garamond" w:cs="Times New Roman"/>
                <w:kern w:val="0"/>
                <w14:ligatures w14:val="none"/>
              </w:rPr>
            </w:rPrChange>
          </w:rPr>
          <w:t>).</w:t>
        </w:r>
        <w:r w:rsidR="003224CC">
          <w:rPr>
            <w:rFonts w:ascii="Garamond" w:eastAsia="Times New Roman" w:hAnsi="Garamond" w:cs="Times New Roman"/>
            <w:kern w:val="0"/>
            <w14:ligatures w14:val="none"/>
          </w:rPr>
          <w:t xml:space="preserve"> </w:t>
        </w:r>
      </w:ins>
      <w:del w:id="262" w:author="Benjamin J. Makhlouf" w:date="2026-06-22T08:33:00Z" w16du:dateUtc="2026-06-22T15:33:00Z">
        <w:r w:rsidDel="000B6B65">
          <w:rPr>
            <w:rFonts w:ascii="Garamond" w:eastAsia="Times New Roman" w:hAnsi="Garamond" w:cs="Times New Roman"/>
            <w:kern w:val="0"/>
            <w14:ligatures w14:val="none"/>
          </w:rPr>
          <w:delText xml:space="preserve"> including </w:delText>
        </w:r>
        <w:r w:rsidDel="000B6B65">
          <w:rPr>
            <w:rFonts w:ascii="Garamond" w:hAnsi="Garamond" w:cs="Times New Roman"/>
          </w:rPr>
          <w:delText>analytical</w:delText>
        </w:r>
      </w:del>
      <w:del w:id="263" w:author="Benjamin J. Makhlouf" w:date="2026-06-22T10:06:00Z" w16du:dateUtc="2026-06-22T17:06:00Z">
        <w:r w:rsidDel="003224CC">
          <w:rPr>
            <w:rFonts w:ascii="Garamond" w:hAnsi="Garamond" w:cs="Times New Roman"/>
          </w:rPr>
          <w:delText xml:space="preserve">, within-population, and isoscape prediction errors. </w:delText>
        </w:r>
      </w:del>
      <w:r>
        <w:rPr>
          <w:rFonts w:ascii="Garamond" w:eastAsia="Times New Roman" w:hAnsi="Garamond" w:cs="Times New Roman"/>
          <w:color w:val="000000"/>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2D726DB7" w:rsidR="009833DB" w:rsidRPr="008605CB" w:rsidRDefault="009833DB" w:rsidP="009833DB">
      <w:pPr>
        <w:spacing w:line="480" w:lineRule="auto"/>
        <w:ind w:firstLine="720"/>
        <w:rPr>
          <w:rFonts w:ascii="Garamond" w:hAnsi="Garamond" w:cs="Times New Roman"/>
        </w:rPr>
      </w:pPr>
      <w:r>
        <w:rPr>
          <w:rFonts w:ascii="Garamond" w:hAnsi="Garamond" w:cs="Times New Roman"/>
        </w:rPr>
        <w:t xml:space="preserve">Posterior probability values for each tributary (j) were then calculated using Bayes’ theorem </w:t>
      </w:r>
      <w:r>
        <w:rPr>
          <w:rFonts w:ascii="Garamond" w:hAnsi="Garamond" w:cs="Times New Roman"/>
        </w:rPr>
        <w:fldChar w:fldCharType="begin"/>
      </w:r>
      <w:r>
        <w:rPr>
          <w:rFonts w:ascii="Garamond" w:hAnsi="Garamond" w:cs="Times New Roman"/>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DOI":"10.1007/978-90-481-3354-3_12","ISBN":"978-90-481-3353-6","language":"en","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Wunder, 2010)</w:t>
      </w:r>
      <w:r>
        <w:rPr>
          <w:rFonts w:ascii="Garamond" w:hAnsi="Garamond" w:cs="Times New Roman"/>
        </w:rPr>
        <w:fldChar w:fldCharType="end"/>
      </w:r>
      <w:r>
        <w:rPr>
          <w:rFonts w:ascii="Garamond" w:hAnsi="Garamond" w:cs="Times New Roman"/>
        </w:rPr>
        <w:t>;</w:t>
      </w:r>
    </w:p>
    <w:p w14:paraId="69565D7E" w14:textId="40C97ED7" w:rsidR="00B857E3" w:rsidRPr="00EE2480" w:rsidRDefault="009833DB" w:rsidP="00EE2480">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5282A2B" w14:textId="77777777" w:rsidR="0082206F" w:rsidRPr="008605CB" w:rsidRDefault="009833DB" w:rsidP="00B857E3">
      <w:pPr>
        <w:spacing w:line="480" w:lineRule="auto"/>
        <w:ind w:firstLine="720"/>
        <w:rPr>
          <w:rFonts w:ascii="Garamond" w:hAnsi="Garamond" w:cs="Times New Roman"/>
        </w:rPr>
      </w:pPr>
      <w:r>
        <w:rPr>
          <w:rFonts w:ascii="Garamond" w:hAnsi="Garamond" w:cs="Times New Roman"/>
        </w:rPr>
        <w:t xml:space="preserve">The probability of an individual assigning to tributary </w:t>
      </w:r>
      <w:r>
        <w:rPr>
          <w:rFonts w:ascii="Garamond" w:hAnsi="Garamond" w:cs="Times New Roman"/>
          <w:i/>
          <w:iCs/>
        </w:rPr>
        <w:t>j</w:t>
      </w:r>
      <w:r>
        <w:rPr>
          <w:rFonts w:ascii="Garamond" w:hAnsi="Garamond" w:cs="Times New Roman"/>
        </w:rPr>
        <w:t xml:space="preserve"> is defined as the product of the probability of the isotope ratio in the otolith of an individual (</w:t>
      </w:r>
      <w:r>
        <w:rPr>
          <w:rFonts w:ascii="Garamond" w:hAnsi="Garamond" w:cs="Times New Roman"/>
          <w:i/>
          <w:iCs/>
        </w:rPr>
        <w:t>o)</w:t>
      </w:r>
      <w:r>
        <w:rPr>
          <w:rFonts w:ascii="Garamond" w:hAnsi="Garamond" w:cs="Times New Roman"/>
        </w:rPr>
        <w:t xml:space="preserve"> given the isotope ratio in tributary </w:t>
      </w:r>
      <w:r>
        <w:rPr>
          <w:rFonts w:ascii="Garamond" w:hAnsi="Garamond" w:cs="Times New Roman"/>
          <w:i/>
          <w:iCs/>
        </w:rPr>
        <w:t xml:space="preserve">j </w:t>
      </w:r>
      <w:r>
        <w:rPr>
          <w:rFonts w:ascii="Garamond" w:hAnsi="Garamond" w:cs="Times New Roman"/>
        </w:rPr>
        <w:t>(</w:t>
      </w:r>
      <w:r>
        <w:rPr>
          <w:rFonts w:ascii="Garamond" w:hAnsi="Garamond" w:cs="Times New Roman"/>
          <w:i/>
          <w:iCs/>
        </w:rPr>
        <w:t>r</w:t>
      </w:r>
      <w:del w:id="264" w:author="Benjamin J. Makhlouf" w:date="2026-07-08T14:55:00Z" w16du:dateUtc="2026-07-08T21:55:00Z">
        <w:r w:rsidDel="00923A9B">
          <w:rPr>
            <w:rFonts w:ascii="Garamond" w:hAnsi="Garamond" w:cs="Times New Roman"/>
            <w:i/>
            <w:iCs/>
          </w:rPr>
          <w:delText>_</w:delText>
        </w:r>
      </w:del>
      <w:r>
        <w:rPr>
          <w:rFonts w:ascii="Garamond" w:hAnsi="Garamond" w:cs="Times New Roman"/>
          <w:i/>
          <w:iCs/>
        </w:rPr>
        <w:t>j</w:t>
      </w:r>
      <w:r>
        <w:rPr>
          <w:rFonts w:ascii="Garamond" w:hAnsi="Garamond" w:cs="Times New Roman"/>
        </w:rPr>
        <w:t>). The probability of the isotope ratio (</w:t>
      </w:r>
      <w:r>
        <w:rPr>
          <w:rFonts w:ascii="Garamond" w:hAnsi="Garamond" w:cs="Times New Roman"/>
          <w:i/>
          <w:iCs/>
        </w:rPr>
        <w:t>rj</w:t>
      </w:r>
      <w:r>
        <w:rPr>
          <w:rFonts w:ascii="Garamond" w:hAnsi="Garamond" w:cs="Times New Roman"/>
        </w:rPr>
        <w:t>) was assumed to be normally distributed with a mean represented by the otolith isotope ratio (</w:t>
      </w:r>
      <w:r>
        <w:rPr>
          <w:rFonts w:ascii="Garamond" w:hAnsi="Garamond" w:cs="Times New Roman"/>
          <w:i/>
          <w:iCs/>
        </w:rPr>
        <w:t>o</w:t>
      </w:r>
      <w:r>
        <w:rPr>
          <w:rFonts w:ascii="Garamond" w:hAnsi="Garamond" w:cs="Times New Roman"/>
        </w:rPr>
        <w:t xml:space="preserve">) and an error of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combined</m:t>
            </m:r>
          </m:sub>
        </m:sSub>
      </m:oMath>
      <w:r>
        <w:rPr>
          <w:rFonts w:ascii="Garamond" w:hAnsi="Garamond" w:cs="Times New Roman"/>
        </w:rPr>
        <w:t xml:space="preserve">. </w:t>
      </w:r>
    </w:p>
    <w:p w14:paraId="27D6E1BC" w14:textId="16833564" w:rsidR="009833DB" w:rsidRPr="008605CB" w:rsidRDefault="009833DB" w:rsidP="00B857E3">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14:ligatures w14:val="none"/>
        </w:rPr>
        <w:t xml:space="preserve">Several priors were included to limit assignments to areas within the river basin suitable for spawning Chinook salmon. </w:t>
      </w:r>
      <w:r>
        <w:rPr>
          <w:rFonts w:ascii="Garamond" w:hAnsi="Garamond" w:cs="Times New Roman"/>
        </w:rPr>
        <w:t xml:space="preserve">First, a </w:t>
      </w:r>
      <w:r>
        <w:rPr>
          <w:rFonts w:ascii="Garamond" w:eastAsia="Times New Roman" w:hAnsi="Garamond" w:cs="Times New Roman"/>
        </w:rPr>
        <w:t>stream order prior (</w:t>
      </w:r>
      <w:r>
        <w:rPr>
          <w:rFonts w:ascii="Garamond" w:eastAsia="Times New Roman" w:hAnsi="Garamond" w:cs="Times New Roman"/>
          <w:i/>
          <w:iCs/>
        </w:rPr>
        <w:t>PStreamOrder</w:t>
      </w:r>
      <w:r>
        <w:rPr>
          <w:rFonts w:ascii="Garamond" w:eastAsia="Times New Roman" w:hAnsi="Garamond" w:cs="Times New Roman"/>
        </w:rPr>
        <w:t>)</w:t>
      </w:r>
      <w:r>
        <w:rPr>
          <w:rFonts w:ascii="Garamond" w:hAnsi="Garamond" w:cs="Times New Roman"/>
        </w:rPr>
        <w:t xml:space="preserve"> was applied to limit assignments to tributaries with a stream order of three or greater, reflecting Chinook salmon’s known preference for spawning in larger streams </w:t>
      </w:r>
      <w:r>
        <w:rPr>
          <w:rFonts w:ascii="Garamond" w:hAnsi="Garamond" w:cs="Times New Roman"/>
        </w:rPr>
        <w:fldChar w:fldCharType="begin"/>
      </w:r>
      <w:r>
        <w:rPr>
          <w:rFonts w:ascii="Garamond" w:hAnsi="Garamond" w:cs="Times New Roman"/>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Pr>
          <w:rFonts w:ascii="Garamond" w:hAnsi="Garamond" w:cs="Times New Roman"/>
        </w:rPr>
        <w:fldChar w:fldCharType="separate"/>
      </w:r>
      <w:r>
        <w:rPr>
          <w:rFonts w:ascii="Garamond" w:hAnsi="Garamond" w:cs="Times New Roman"/>
          <w:noProof/>
        </w:rPr>
        <w:t>(Quinn, 2018)</w:t>
      </w:r>
      <w:r>
        <w:rPr>
          <w:rFonts w:ascii="Garamond" w:hAnsi="Garamond" w:cs="Times New Roman"/>
        </w:rPr>
        <w:fldChar w:fldCharType="end"/>
      </w:r>
      <w:r>
        <w:rPr>
          <w:rFonts w:ascii="Garamond" w:hAnsi="Garamond" w:cs="Times New Roman"/>
        </w:rPr>
        <w:t xml:space="preserve">. Reaches with a stream order of three or greater were included in assignments (assigned a prior value of one), while smaller tributaries were excluded (assigned a value of zero). </w:t>
      </w:r>
      <w:r>
        <w:rPr>
          <w:rFonts w:ascii="Garamond" w:eastAsia="Times New Roman" w:hAnsi="Garamond" w:cs="Times New Roman"/>
          <w:kern w:val="0"/>
          <w14:ligatures w14:val="none"/>
        </w:rPr>
        <w:t>Second, a habitat suitability prior (</w:t>
      </w:r>
      <w:r>
        <w:rPr>
          <w:rFonts w:ascii="Garamond" w:eastAsia="Times New Roman" w:hAnsi="Garamond" w:cs="Times New Roman"/>
          <w:i/>
          <w:iCs/>
          <w:kern w:val="0"/>
          <w14:ligatures w14:val="none"/>
        </w:rPr>
        <w:t>PHabitat</w:t>
      </w:r>
      <w:r>
        <w:rPr>
          <w:rFonts w:ascii="Garamond" w:eastAsia="Times New Roman" w:hAnsi="Garamond" w:cs="Times New Roman"/>
          <w:kern w:val="0"/>
          <w14:ligatures w14:val="none"/>
        </w:rPr>
        <w:t xml:space="preserve">) was </w:t>
      </w:r>
      <w:r>
        <w:rPr>
          <w:rFonts w:ascii="Garamond" w:eastAsia="Times New Roman" w:hAnsi="Garamond" w:cs="Times New Roman"/>
          <w:kern w:val="0"/>
          <w14:ligatures w14:val="none"/>
        </w:rPr>
        <w:lastRenderedPageBreak/>
        <w:t xml:space="preserve">used to exclude exceedingly slow or flat reaches determined to be unsuitable for spawning Chinook salmon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(Makhlouf et al.,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r>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14:ligatures w14:val="none"/>
        </w:rPr>
        <w:t xml:space="preserve">Finally, data were included on observed locations of Chinook spawners derived from USGS Arctic-Yukon-Kuskokwim (AYK) Chinook Salmon Intrinsic potential mapping, which synthesized several sources of data on observed Chinook salmon spawners into spatially referenced tributary data on the presence or absence of observations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(Falke &amp; Paul,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To avoid biasing regions without observations but with low sampling effort this prior was applied only to the two highest stream orders in the dataset (Stream order greater than five). From these tributaries, reaches identified as lacking observed Chinook spawning were assigned a value of zero.</w:t>
      </w:r>
      <w:r>
        <w:rPr>
          <w:rFonts w:ascii="Garamond" w:eastAsia="Times New Roman" w:hAnsi="Garamond" w:cs="Times New Roman"/>
          <w:kern w:val="0"/>
          <w:sz w:val="22"/>
          <w:szCs w:val="22"/>
          <w14:ligatures w14:val="none"/>
        </w:rPr>
        <w:t xml:space="preserve"> </w:t>
      </w:r>
    </w:p>
    <w:p w14:paraId="5E682EF5" w14:textId="2001A674" w:rsidR="00814EE7" w:rsidRPr="008605CB" w:rsidRDefault="009110AF" w:rsidP="0070414B">
      <w:pPr>
        <w:spacing w:line="480" w:lineRule="auto"/>
        <w:ind w:firstLine="720"/>
        <w:rPr>
          <w:rFonts w:ascii="Garamond" w:hAnsi="Garamond" w:cs="Times New Roman"/>
        </w:rPr>
      </w:pPr>
      <w:r>
        <w:rPr>
          <w:rFonts w:ascii="Garamond" w:hAnsi="Garamond" w:cs="Times New Roman"/>
        </w:rPr>
        <w:t xml:space="preserve">To estimate the spatial distribution of returns across a </w:t>
      </w:r>
      <w:ins w:id="265" w:author="Benjamin J. Makhlouf" w:date="2026-06-22T10:08:00Z" w16du:dateUtc="2026-06-22T17:08:00Z">
        <w:r w:rsidR="003224CC">
          <w:rPr>
            <w:rFonts w:ascii="Garamond" w:hAnsi="Garamond" w:cs="Times New Roman"/>
          </w:rPr>
          <w:t xml:space="preserve">temporal </w:t>
        </w:r>
      </w:ins>
      <w:r>
        <w:rPr>
          <w:rFonts w:ascii="Garamond" w:hAnsi="Garamond" w:cs="Times New Roman"/>
        </w:rPr>
        <w:t>subset of the</w:t>
      </w:r>
      <w:ins w:id="266" w:author="Benjamin J. Makhlouf" w:date="2026-06-22T10:08:00Z" w16du:dateUtc="2026-06-22T17:08:00Z">
        <w:r w:rsidR="003224CC">
          <w:rPr>
            <w:rFonts w:ascii="Garamond" w:hAnsi="Garamond" w:cs="Times New Roman"/>
          </w:rPr>
          <w:t xml:space="preserve"> full return</w:t>
        </w:r>
        <w:r w:rsidR="00AF1AE2">
          <w:rPr>
            <w:rFonts w:ascii="Garamond" w:hAnsi="Garamond" w:cs="Times New Roman"/>
          </w:rPr>
          <w:t xml:space="preserve"> migration</w:t>
        </w:r>
      </w:ins>
      <w:del w:id="267" w:author="Benjamin J. Makhlouf" w:date="2026-06-22T10:08:00Z" w16du:dateUtc="2026-06-22T17:08:00Z">
        <w:r w:rsidDel="003224CC">
          <w:rPr>
            <w:rFonts w:ascii="Garamond" w:hAnsi="Garamond" w:cs="Times New Roman"/>
          </w:rPr>
          <w:delText xml:space="preserve"> population</w:delText>
        </w:r>
      </w:del>
      <w:r>
        <w:rPr>
          <w:rFonts w:ascii="Garamond" w:hAnsi="Garamond" w:cs="Times New Roman"/>
        </w:rPr>
        <w:t>, posterior probability values for all individuals in that subset were summed at each location. Before summing, only highly likely locations (the top 30% of posterior values) were retained</w:t>
      </w:r>
      <w:ins w:id="268" w:author="Benjamin J. Makhlouf" w:date="2026-07-09T07:22:00Z" w16du:dateUtc="2026-07-09T14:22:00Z">
        <w:r w:rsidR="0070414B">
          <w:rPr>
            <w:rFonts w:ascii="Garamond" w:hAnsi="Garamond" w:cs="Times New Roman"/>
          </w:rPr>
          <w:t xml:space="preserve"> to reduce </w:t>
        </w:r>
      </w:ins>
      <w:ins w:id="269" w:author="Benjamin J. Makhlouf" w:date="2026-07-09T07:24:00Z" w16du:dateUtc="2026-07-09T14:24:00Z">
        <w:r w:rsidR="0070414B">
          <w:rPr>
            <w:rFonts w:ascii="Garamond" w:hAnsi="Garamond" w:cs="Times New Roman"/>
          </w:rPr>
          <w:t>uncertainty</w:t>
        </w:r>
      </w:ins>
      <w:ins w:id="270" w:author="Benjamin J. Makhlouf" w:date="2026-07-09T07:24:00Z">
        <w:r w:rsidR="0070414B" w:rsidRPr="0070414B">
          <w:rPr>
            <w:rFonts w:ascii="Garamond" w:hAnsi="Garamond" w:cs="Times New Roman"/>
          </w:rPr>
          <w:t xml:space="preserve"> from diffuse probabilities associated with unlikely assignments, thereby minimizing their influence on basin-wide results</w:t>
        </w:r>
      </w:ins>
      <w:del w:id="271" w:author="Benjamin J. Makhlouf" w:date="2026-07-09T07:22:00Z" w16du:dateUtc="2026-07-09T14:22:00Z">
        <w:r w:rsidDel="0070414B">
          <w:rPr>
            <w:rFonts w:ascii="Garamond" w:hAnsi="Garamond" w:cs="Times New Roman"/>
          </w:rPr>
          <w:delText xml:space="preserve">, </w:delText>
        </w:r>
      </w:del>
      <w:del w:id="272" w:author="Benjamin J. Makhlouf" w:date="2026-07-09T07:27:00Z" w16du:dateUtc="2026-07-09T14:27:00Z">
        <w:r w:rsidDel="0070414B">
          <w:rPr>
            <w:rFonts w:ascii="Garamond" w:hAnsi="Garamond" w:cs="Times New Roman"/>
          </w:rPr>
          <w:delText>whereas all other values were assigned a value of zero</w:delText>
        </w:r>
      </w:del>
      <w:r>
        <w:rPr>
          <w:rFonts w:ascii="Garamond" w:hAnsi="Garamond" w:cs="Times New Roman"/>
        </w:rPr>
        <w:t xml:space="preserve"> </w:t>
      </w:r>
      <w:r>
        <w:rPr>
          <w:rFonts w:ascii="Garamond" w:hAnsi="Garamond" w:cs="Times New Roman"/>
        </w:rPr>
        <w:fldChar w:fldCharType="begin"/>
      </w:r>
      <w:r>
        <w:rPr>
          <w:rFonts w:ascii="Garamond" w:hAnsi="Garamond" w:cs="Times New Roman"/>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Vander Zanden et al., 2015)</w:t>
      </w:r>
      <w:r>
        <w:rPr>
          <w:rFonts w:ascii="Garamond" w:hAnsi="Garamond" w:cs="Times New Roman"/>
        </w:rPr>
        <w:fldChar w:fldCharType="end"/>
      </w:r>
      <w:r>
        <w:rPr>
          <w:rFonts w:ascii="Garamond" w:hAnsi="Garamond" w:cs="Times New Roman"/>
        </w:rPr>
        <w:t xml:space="preserve">. We produced these estimates for four predefined temporal </w:t>
      </w:r>
      <w:ins w:id="273" w:author="Benjamin J. Makhlouf" w:date="2026-06-19T06:36:00Z" w16du:dateUtc="2026-06-19T13:36:00Z">
        <w:r w:rsidR="00D0057C">
          <w:rPr>
            <w:rFonts w:ascii="Garamond" w:hAnsi="Garamond" w:cs="Times New Roman"/>
          </w:rPr>
          <w:t xml:space="preserve">ranges that roughly represent quartiles </w:t>
        </w:r>
      </w:ins>
      <w:del w:id="274" w:author="Benjamin J. Makhlouf" w:date="2026-06-19T06:36:00Z" w16du:dateUtc="2026-06-19T13:36:00Z">
        <w:r w:rsidDel="00D0057C">
          <w:rPr>
            <w:rFonts w:ascii="Garamond" w:hAnsi="Garamond" w:cs="Times New Roman"/>
          </w:rPr>
          <w:delText>quartiles</w:delText>
        </w:r>
      </w:del>
      <w:del w:id="275" w:author="Benjamin J. Makhlouf" w:date="2026-07-13T16:31:00Z" w16du:dateUtc="2026-07-13T23:31:00Z">
        <w:r w:rsidDel="009D5982">
          <w:rPr>
            <w:rFonts w:ascii="Garamond" w:hAnsi="Garamond" w:cs="Times New Roman"/>
          </w:rPr>
          <w:delText xml:space="preserve"> </w:delText>
        </w:r>
      </w:del>
      <w:r>
        <w:rPr>
          <w:rFonts w:ascii="Garamond" w:hAnsi="Garamond" w:cs="Times New Roman"/>
        </w:rPr>
        <w:t xml:space="preserve">of the salmon migration season based on capture date: Q1 (run start through June 11), Q2 (June 12-21), Q3 (June 22-July 1), and Q4 (July 2 onward). These dates were chosen to </w:t>
      </w:r>
      <w:del w:id="276" w:author="Benjamin J. Makhlouf" w:date="2026-07-09T07:28:00Z" w16du:dateUtc="2026-07-09T14:28:00Z">
        <w:r w:rsidDel="0070414B">
          <w:rPr>
            <w:rFonts w:ascii="Garamond" w:hAnsi="Garamond" w:cs="Times New Roman"/>
          </w:rPr>
          <w:delText xml:space="preserve">roughly </w:delText>
        </w:r>
      </w:del>
      <w:r>
        <w:rPr>
          <w:rFonts w:ascii="Garamond" w:hAnsi="Garamond" w:cs="Times New Roman"/>
        </w:rPr>
        <w:t xml:space="preserve">split the full run </w:t>
      </w:r>
      <w:ins w:id="277" w:author="Benjamin J. Makhlouf" w:date="2026-06-19T06:37:00Z" w16du:dateUtc="2026-06-19T13:37:00Z">
        <w:r w:rsidR="00D0057C">
          <w:rPr>
            <w:rFonts w:ascii="Garamond" w:hAnsi="Garamond" w:cs="Times New Roman"/>
          </w:rPr>
          <w:t xml:space="preserve">into </w:t>
        </w:r>
      </w:ins>
      <w:ins w:id="278" w:author="Benjamin J. Makhlouf" w:date="2026-07-09T07:28:00Z" w16du:dateUtc="2026-07-09T14:28:00Z">
        <w:r w:rsidR="0070414B">
          <w:rPr>
            <w:rFonts w:ascii="Garamond" w:hAnsi="Garamond" w:cs="Times New Roman"/>
          </w:rPr>
          <w:t xml:space="preserve">relatively </w:t>
        </w:r>
      </w:ins>
      <w:ins w:id="279" w:author="Benjamin J. Makhlouf" w:date="2026-06-19T06:37:00Z" w16du:dateUtc="2026-06-19T13:37:00Z">
        <w:r w:rsidR="00D0057C">
          <w:rPr>
            <w:rFonts w:ascii="Garamond" w:hAnsi="Garamond" w:cs="Times New Roman"/>
          </w:rPr>
          <w:t>equal quartiles</w:t>
        </w:r>
      </w:ins>
      <w:ins w:id="280" w:author="Benjamin J. Makhlouf" w:date="2026-07-13T16:31:00Z" w16du:dateUtc="2026-07-13T23:31:00Z">
        <w:r w:rsidR="009D5982">
          <w:rPr>
            <w:rFonts w:ascii="Garamond" w:hAnsi="Garamond" w:cs="Times New Roman"/>
          </w:rPr>
          <w:t>,</w:t>
        </w:r>
      </w:ins>
      <w:del w:id="281" w:author="Benjamin J. Makhlouf" w:date="2026-06-19T06:37:00Z" w16du:dateUtc="2026-06-19T13:37:00Z">
        <w:r w:rsidDel="00D0057C">
          <w:rPr>
            <w:rFonts w:ascii="Garamond" w:hAnsi="Garamond" w:cs="Times New Roman"/>
          </w:rPr>
          <w:delText xml:space="preserve">into quartiles </w:delText>
        </w:r>
      </w:del>
      <w:r>
        <w:rPr>
          <w:rFonts w:ascii="Garamond" w:hAnsi="Garamond" w:cs="Times New Roman"/>
        </w:rPr>
        <w:t>while allowing for direct comparison among years.</w:t>
      </w:r>
      <w:ins w:id="282" w:author="Benjamin J. Makhlouf" w:date="2026-06-19T06:37:00Z" w16du:dateUtc="2026-06-19T13:37:00Z">
        <w:r w:rsidR="00D0057C">
          <w:rPr>
            <w:rFonts w:ascii="Garamond" w:hAnsi="Garamond" w:cs="Times New Roman"/>
          </w:rPr>
          <w:t xml:space="preserve"> However, because the start and end date of the return migration varied among years, the duration of Q1 and Q4 varied</w:t>
        </w:r>
      </w:ins>
      <w:ins w:id="283" w:author="Benjamin J. Makhlouf" w:date="2026-07-13T16:32:00Z" w16du:dateUtc="2026-07-13T23:32:00Z">
        <w:r w:rsidR="009D5982">
          <w:rPr>
            <w:rFonts w:ascii="Garamond" w:hAnsi="Garamond" w:cs="Times New Roman"/>
          </w:rPr>
          <w:t xml:space="preserve"> among years. </w:t>
        </w:r>
      </w:ins>
      <w:del w:id="284" w:author="Benjamin J. Makhlouf" w:date="2026-07-13T16:32:00Z" w16du:dateUtc="2026-07-13T23:32:00Z">
        <w:r w:rsidDel="009D5982">
          <w:rPr>
            <w:rFonts w:ascii="Garamond" w:hAnsi="Garamond" w:cs="Times New Roman"/>
          </w:rPr>
          <w:delText xml:space="preserve"> </w:delText>
        </w:r>
      </w:del>
      <w:r>
        <w:rPr>
          <w:rFonts w:ascii="Garamond" w:hAnsi="Garamond" w:cs="Times New Roman"/>
        </w:rPr>
        <w:t xml:space="preserve">The </w:t>
      </w:r>
      <w:ins w:id="285" w:author="Benjamin J. Makhlouf" w:date="2026-07-09T07:28:00Z" w16du:dateUtc="2026-07-09T14:28:00Z">
        <w:r w:rsidR="0070414B">
          <w:rPr>
            <w:rFonts w:ascii="Garamond" w:hAnsi="Garamond" w:cs="Times New Roman"/>
          </w:rPr>
          <w:t>end data of the first quartile</w:t>
        </w:r>
      </w:ins>
      <w:ins w:id="286" w:author="Benjamin J. Makhlouf" w:date="2026-07-09T07:29:00Z" w16du:dateUtc="2026-07-09T14:29:00Z">
        <w:r w:rsidR="0070414B">
          <w:rPr>
            <w:rFonts w:ascii="Garamond" w:hAnsi="Garamond" w:cs="Times New Roman"/>
          </w:rPr>
          <w:t xml:space="preserve"> (</w:t>
        </w:r>
      </w:ins>
      <w:r>
        <w:rPr>
          <w:rFonts w:ascii="Garamond" w:hAnsi="Garamond" w:cs="Times New Roman"/>
        </w:rPr>
        <w:t>June 11</w:t>
      </w:r>
      <w:ins w:id="287" w:author="Benjamin J. Makhlouf" w:date="2026-07-09T07:29:00Z" w16du:dateUtc="2026-07-09T14:29:00Z">
        <w:r w:rsidR="0070414B">
          <w:rPr>
            <w:rFonts w:ascii="Garamond" w:hAnsi="Garamond" w:cs="Times New Roman"/>
          </w:rPr>
          <w:t>)</w:t>
        </w:r>
      </w:ins>
      <w:del w:id="288" w:author="Benjamin J. Makhlouf" w:date="2026-07-09T07:29:00Z" w16du:dateUtc="2026-07-09T14:29:00Z">
        <w:r w:rsidDel="0070414B">
          <w:rPr>
            <w:rFonts w:ascii="Garamond" w:hAnsi="Garamond" w:cs="Times New Roman"/>
          </w:rPr>
          <w:delText xml:space="preserve"> date</w:delText>
        </w:r>
      </w:del>
      <w:r>
        <w:rPr>
          <w:rFonts w:ascii="Garamond" w:hAnsi="Garamond" w:cs="Times New Roman"/>
        </w:rPr>
        <w:t xml:space="preserve"> was chosen specifically to match the end of the ‘front end closure’ of the subsistence fishery. </w:t>
      </w:r>
      <w:ins w:id="289" w:author="Benjamin J. Makhlouf" w:date="2026-07-09T07:29:00Z" w16du:dateUtc="2026-07-09T14:29:00Z">
        <w:r w:rsidR="0070414B">
          <w:rPr>
            <w:rFonts w:ascii="Garamond" w:hAnsi="Garamond" w:cs="Times New Roman"/>
          </w:rPr>
          <w:t xml:space="preserve">In addition to within quartile estimates, these results </w:t>
        </w:r>
      </w:ins>
      <w:del w:id="290" w:author="Benjamin J. Makhlouf" w:date="2026-07-09T07:29:00Z" w16du:dateUtc="2026-07-09T14:29:00Z">
        <w:r w:rsidDel="0070414B">
          <w:rPr>
            <w:rFonts w:ascii="Garamond" w:hAnsi="Garamond" w:cs="Times New Roman"/>
          </w:rPr>
          <w:delText xml:space="preserve">Estimates </w:delText>
        </w:r>
      </w:del>
      <w:r>
        <w:rPr>
          <w:rFonts w:ascii="Garamond" w:hAnsi="Garamond" w:cs="Times New Roman"/>
        </w:rPr>
        <w:t xml:space="preserve">were </w:t>
      </w:r>
      <w:del w:id="291" w:author="Benjamin J. Makhlouf" w:date="2026-07-09T07:36:00Z" w16du:dateUtc="2026-07-09T14:36:00Z">
        <w:r w:rsidDel="00FB2B74">
          <w:rPr>
            <w:rFonts w:ascii="Garamond" w:hAnsi="Garamond" w:cs="Times New Roman"/>
          </w:rPr>
          <w:delText xml:space="preserve">also </w:delText>
        </w:r>
      </w:del>
      <w:r>
        <w:rPr>
          <w:rFonts w:ascii="Garamond" w:hAnsi="Garamond" w:cs="Times New Roman"/>
        </w:rPr>
        <w:t xml:space="preserve">produced for the full run in each year. </w:t>
      </w:r>
    </w:p>
    <w:p w14:paraId="38A831B5" w14:textId="79DEFE2B" w:rsidR="001D3E40" w:rsidRPr="008D39D2" w:rsidRDefault="00D04860" w:rsidP="008D39D2">
      <w:pPr>
        <w:spacing w:line="480" w:lineRule="auto"/>
        <w:ind w:firstLine="720"/>
        <w:rPr>
          <w:rFonts w:ascii="Garamond" w:hAnsi="Garamond"/>
        </w:rPr>
      </w:pPr>
      <w:ins w:id="292" w:author="Benjamin J. Makhlouf" w:date="2026-06-19T07:16:00Z">
        <w:r w:rsidRPr="00D04860">
          <w:rPr>
            <w:rFonts w:ascii="Garamond" w:hAnsi="Garamond" w:cs="Times New Roman"/>
          </w:rPr>
          <w:lastRenderedPageBreak/>
          <w:t>Several major tributaries were identified as focal management areas or important Chinook salmon-producing systems within the Kuskokwim River basin based on expert knowledge and consultation with regional collaborators.</w:t>
        </w:r>
      </w:ins>
      <w:ins w:id="293" w:author="Benjamin J. Makhlouf" w:date="2026-07-09T07:30:00Z" w16du:dateUtc="2026-07-09T14:30:00Z">
        <w:r w:rsidR="0070414B">
          <w:rPr>
            <w:rFonts w:ascii="Garamond" w:hAnsi="Garamond" w:cs="Times New Roman"/>
          </w:rPr>
          <w:t xml:space="preserve"> </w:t>
        </w:r>
      </w:ins>
      <w:del w:id="294" w:author="Benjamin J. Makhlouf" w:date="2026-06-19T07:16:00Z" w16du:dateUtc="2026-06-19T14:16:00Z">
        <w:r w:rsidR="00E3555B" w:rsidDel="00D04860">
          <w:rPr>
            <w:rFonts w:ascii="Garamond" w:hAnsi="Garamond" w:cs="Times New Roman"/>
          </w:rPr>
          <w:delText xml:space="preserve">Several major tributaries were identified in the Kuskokwim River basin. </w:delText>
        </w:r>
      </w:del>
      <w:r w:rsidR="00E3555B">
        <w:rPr>
          <w:rFonts w:ascii="Garamond" w:hAnsi="Garamond" w:cs="Times New Roman"/>
        </w:rPr>
        <w:t>From</w:t>
      </w:r>
      <w:r w:rsidR="00E3555B">
        <w:rPr>
          <w:rStyle w:val="CommentReference"/>
          <w:rFonts w:ascii="Garamond" w:hAnsi="Garamond" w:cs="Times New Roman"/>
          <w:sz w:val="24"/>
          <w:szCs w:val="24"/>
        </w:rPr>
        <w:t xml:space="preserve"> the furthest downstream connection of each of these tributaries to the mainstem Kuskokwim River, all upstream segments were identified and assigned to a common identifier based on the name of the major tributary. Areas of the basin which were not assigned a unit identifier (e.g. portions of the mainstem Kuskokwim) were grouped into regions of comparable size and spatial relevance to ensure complete basin coverage above the location of the test fishery (Fig. 2a). </w:t>
      </w:r>
      <w:ins w:id="295" w:author="Benjamin J. Makhlouf" w:date="2026-07-13T16:33:00Z" w16du:dateUtc="2026-07-13T23:33:00Z">
        <w:r w:rsidR="009D5982">
          <w:rPr>
            <w:rStyle w:val="CommentReference"/>
            <w:rFonts w:ascii="Garamond" w:hAnsi="Garamond" w:cs="Times New Roman"/>
            <w:sz w:val="24"/>
            <w:szCs w:val="24"/>
          </w:rPr>
          <w:t xml:space="preserve">To group these a-priori selected tributary groupings into regions of the watershed that are likely to contain the majority of the posterior assignment probability for individual assignments, we </w:t>
        </w:r>
      </w:ins>
      <w:del w:id="296" w:author="Benjamin J. Makhlouf" w:date="2026-07-13T16:34:00Z" w16du:dateUtc="2026-07-13T23:34:00Z">
        <w:r w:rsidR="00E3555B" w:rsidDel="009D5982">
          <w:rPr>
            <w:rFonts w:ascii="Garamond" w:hAnsi="Garamond" w:cs="Times New Roman"/>
          </w:rPr>
          <w:delText xml:space="preserve">To identify regions of the watershed that can be distinguished based on their isotopic composition, we </w:delText>
        </w:r>
      </w:del>
      <w:r w:rsidR="00E3555B">
        <w:rPr>
          <w:rFonts w:ascii="Garamond" w:hAnsi="Garamond" w:cs="Times New Roman"/>
        </w:rPr>
        <w:t xml:space="preserve">performed k-means clustering of initial tributary groupings using the full range of </w:t>
      </w:r>
      <w:r w:rsidR="00E3555B">
        <w:rPr>
          <w:rFonts w:ascii="Garamond" w:hAnsi="Garamond" w:cs="Times New Roman"/>
          <w:vertAlign w:val="superscript"/>
        </w:rPr>
        <w:t>87</w:t>
      </w:r>
      <w:r w:rsidR="00E3555B">
        <w:rPr>
          <w:rFonts w:ascii="Garamond" w:hAnsi="Garamond" w:cs="Times New Roman"/>
        </w:rPr>
        <w:t>Sr/</w:t>
      </w:r>
      <w:r w:rsidR="00E3555B">
        <w:rPr>
          <w:rFonts w:ascii="Garamond" w:hAnsi="Garamond" w:cs="Times New Roman"/>
          <w:vertAlign w:val="superscript"/>
        </w:rPr>
        <w:t>86</w:t>
      </w:r>
      <w:r w:rsidR="00E3555B">
        <w:rPr>
          <w:rFonts w:ascii="Garamond" w:hAnsi="Garamond" w:cs="Times New Roman"/>
        </w:rPr>
        <w:t>Sr values found in each. We then evaluated the clustering results for a range of cluster numbers (n = 2-</w:t>
      </w:r>
      <w:ins w:id="297" w:author="Benjamin J. Makhlouf" w:date="2026-07-09T07:37:00Z" w16du:dateUtc="2026-07-09T14:37:00Z">
        <w:r w:rsidR="00FB2B74">
          <w:rPr>
            <w:rFonts w:ascii="Garamond" w:hAnsi="Garamond" w:cs="Times New Roman"/>
          </w:rPr>
          <w:t>8</w:t>
        </w:r>
      </w:ins>
      <w:del w:id="298" w:author="Benjamin J. Makhlouf" w:date="2026-07-09T07:37:00Z" w16du:dateUtc="2026-07-09T14:37:00Z">
        <w:r w:rsidR="00E3555B" w:rsidDel="00FB2B74">
          <w:rPr>
            <w:rFonts w:ascii="Garamond" w:hAnsi="Garamond" w:cs="Times New Roman"/>
          </w:rPr>
          <w:delText>6</w:delText>
        </w:r>
      </w:del>
      <w:r w:rsidR="00E3555B">
        <w:rPr>
          <w:rFonts w:ascii="Garamond" w:hAnsi="Garamond" w:cs="Times New Roman"/>
        </w:rPr>
        <w:t>) using the silhouette score, which measures cluster quality by comparing within-cluster versus between-cluster distances</w:t>
      </w:r>
      <w:ins w:id="299" w:author="Benjamin J. Makhlouf" w:date="2026-07-09T07:40:00Z" w16du:dateUtc="2026-07-09T14:40:00Z">
        <w:r w:rsidR="00FB2B74">
          <w:rPr>
            <w:rFonts w:ascii="Garamond" w:hAnsi="Garamond" w:cs="Times New Roman"/>
          </w:rPr>
          <w:t>, as well as a histogram of the isotopic separation among groups.</w:t>
        </w:r>
      </w:ins>
      <w:del w:id="300" w:author="Benjamin J. Makhlouf" w:date="2026-07-09T07:40:00Z" w16du:dateUtc="2026-07-09T14:40:00Z">
        <w:r w:rsidR="00E3555B" w:rsidDel="00FB2B74">
          <w:rPr>
            <w:rFonts w:ascii="Garamond" w:hAnsi="Garamond" w:cs="Times New Roman"/>
          </w:rPr>
          <w:delText>.</w:delText>
        </w:r>
      </w:del>
      <w:r w:rsidR="00E3555B">
        <w:rPr>
          <w:rFonts w:ascii="Garamond" w:hAnsi="Garamond" w:cs="Times New Roman"/>
        </w:rPr>
        <w:t xml:space="preserve"> From this metric we selected n = 6, which </w:t>
      </w:r>
      <w:ins w:id="301" w:author="Benjamin J. Makhlouf" w:date="2026-07-09T07:41:00Z" w16du:dateUtc="2026-07-09T14:41:00Z">
        <w:r w:rsidR="00FB2B74">
          <w:rPr>
            <w:rFonts w:ascii="Garamond" w:hAnsi="Garamond" w:cs="Times New Roman"/>
          </w:rPr>
          <w:t xml:space="preserve">was the maximum </w:t>
        </w:r>
        <w:r w:rsidR="007B2EDA">
          <w:rPr>
            <w:rFonts w:ascii="Garamond" w:hAnsi="Garamond" w:cs="Times New Roman"/>
          </w:rPr>
          <w:t xml:space="preserve">number of groups that </w:t>
        </w:r>
      </w:ins>
      <w:r w:rsidR="00E3555B">
        <w:rPr>
          <w:rFonts w:ascii="Garamond" w:hAnsi="Garamond" w:cs="Times New Roman"/>
        </w:rPr>
        <w:t xml:space="preserve">maintained a high silhouette score </w:t>
      </w:r>
      <w:del w:id="302" w:author="Benjamin J. Makhlouf" w:date="2026-07-09T07:42:00Z" w16du:dateUtc="2026-07-09T14:42:00Z">
        <w:r w:rsidR="00E3555B" w:rsidDel="007B2EDA">
          <w:rPr>
            <w:rFonts w:ascii="Garamond" w:hAnsi="Garamond" w:cs="Times New Roman"/>
          </w:rPr>
          <w:delText>while</w:delText>
        </w:r>
      </w:del>
      <w:del w:id="303" w:author="Benjamin J. Makhlouf" w:date="2026-07-09T07:41:00Z" w16du:dateUtc="2026-07-09T14:41:00Z">
        <w:r w:rsidR="00E3555B" w:rsidDel="007B2EDA">
          <w:rPr>
            <w:rFonts w:ascii="Garamond" w:hAnsi="Garamond" w:cs="Times New Roman"/>
          </w:rPr>
          <w:delText xml:space="preserve"> </w:delText>
        </w:r>
      </w:del>
      <w:ins w:id="304" w:author="Benjamin J. Makhlouf" w:date="2026-07-09T07:42:00Z" w16du:dateUtc="2026-07-09T14:42:00Z">
        <w:r w:rsidR="007B2EDA">
          <w:rPr>
            <w:rFonts w:ascii="Garamond" w:hAnsi="Garamond" w:cs="Times New Roman"/>
          </w:rPr>
          <w:t>while maintaining</w:t>
        </w:r>
      </w:ins>
      <w:ins w:id="305" w:author="Benjamin J. Makhlouf" w:date="2026-07-09T07:41:00Z" w16du:dateUtc="2026-07-09T14:41:00Z">
        <w:r w:rsidR="007B2EDA">
          <w:rPr>
            <w:rFonts w:ascii="Garamond" w:hAnsi="Garamond" w:cs="Times New Roman"/>
          </w:rPr>
          <w:t xml:space="preserve"> separation in isotope values among </w:t>
        </w:r>
        <w:commentRangeStart w:id="306"/>
        <w:r w:rsidR="007B2EDA">
          <w:rPr>
            <w:rFonts w:ascii="Garamond" w:hAnsi="Garamond" w:cs="Times New Roman"/>
          </w:rPr>
          <w:t>g</w:t>
        </w:r>
      </w:ins>
      <w:ins w:id="307" w:author="Benjamin J. Makhlouf" w:date="2026-07-09T07:42:00Z" w16du:dateUtc="2026-07-09T14:42:00Z">
        <w:r w:rsidR="007B2EDA">
          <w:rPr>
            <w:rFonts w:ascii="Garamond" w:hAnsi="Garamond" w:cs="Times New Roman"/>
          </w:rPr>
          <w:t>roups</w:t>
        </w:r>
      </w:ins>
      <w:commentRangeEnd w:id="306"/>
      <w:r w:rsidR="008D39D2">
        <w:rPr>
          <w:rStyle w:val="CommentReference"/>
          <w:rFonts w:ascii="Garamond" w:hAnsi="Garamond" w:cs="Times New Roman"/>
          <w:sz w:val="24"/>
          <w:szCs w:val="24"/>
        </w:rPr>
        <w:commentReference w:id="306"/>
      </w:r>
      <w:ins w:id="308" w:author="Benjamin J. Makhlouf" w:date="2026-07-09T07:42:00Z" w16du:dateUtc="2026-07-09T14:42:00Z">
        <w:r w:rsidR="007B2EDA">
          <w:rPr>
            <w:rFonts w:ascii="Garamond" w:hAnsi="Garamond" w:cs="Times New Roman"/>
          </w:rPr>
          <w:t xml:space="preserve"> </w:t>
        </w:r>
        <w:r w:rsidR="007B2EDA" w:rsidRPr="008D39D2">
          <w:rPr>
            <w:rFonts w:ascii="Garamond" w:hAnsi="Garamond" w:cs="Times New Roman"/>
            <w:highlight w:val="yellow"/>
            <w:rPrChange w:id="309" w:author="Benjamin J. Makhlouf" w:date="2026-07-13T16:38:00Z" w16du:dateUtc="2026-07-13T23:38:00Z">
              <w:rPr>
                <w:rFonts w:ascii="Garamond" w:hAnsi="Garamond" w:cs="Times New Roman"/>
              </w:rPr>
            </w:rPrChange>
          </w:rPr>
          <w:t>(</w:t>
        </w:r>
      </w:ins>
      <w:ins w:id="310" w:author="Benjamin J. Makhlouf" w:date="2026-07-09T07:44:00Z" w16du:dateUtc="2026-07-09T14:44:00Z">
        <w:r w:rsidR="007B2EDA" w:rsidRPr="008D39D2">
          <w:rPr>
            <w:rFonts w:ascii="Garamond" w:hAnsi="Garamond" w:cs="Times New Roman"/>
            <w:highlight w:val="yellow"/>
            <w:rPrChange w:id="311" w:author="Benjamin J. Makhlouf" w:date="2026-07-13T16:38:00Z" w16du:dateUtc="2026-07-13T23:38:00Z">
              <w:rPr>
                <w:rFonts w:ascii="Garamond" w:hAnsi="Garamond" w:cs="Times New Roman"/>
              </w:rPr>
            </w:rPrChange>
          </w:rPr>
          <w:t xml:space="preserve">Supp. Fig. </w:t>
        </w:r>
      </w:ins>
      <w:ins w:id="312" w:author="Benjamin J. Makhlouf" w:date="2026-07-09T07:42:00Z" w16du:dateUtc="2026-07-09T14:42:00Z">
        <w:r w:rsidR="007B2EDA" w:rsidRPr="008D39D2">
          <w:rPr>
            <w:rFonts w:ascii="Garamond" w:hAnsi="Garamond" w:cs="Times New Roman"/>
            <w:highlight w:val="yellow"/>
            <w:rPrChange w:id="313" w:author="Benjamin J. Makhlouf" w:date="2026-07-13T16:38:00Z" w16du:dateUtc="2026-07-13T23:38:00Z">
              <w:rPr>
                <w:rFonts w:ascii="Garamond" w:hAnsi="Garamond" w:cs="Times New Roman"/>
              </w:rPr>
            </w:rPrChange>
          </w:rPr>
          <w:t xml:space="preserve">). </w:t>
        </w:r>
      </w:ins>
      <w:del w:id="314" w:author="Benjamin J. Makhlouf" w:date="2026-07-09T07:41:00Z" w16du:dateUtc="2026-07-09T14:41:00Z">
        <w:r w:rsidR="00E3555B" w:rsidRPr="008D39D2" w:rsidDel="007B2EDA">
          <w:rPr>
            <w:rFonts w:ascii="Garamond" w:hAnsi="Garamond" w:cs="Times New Roman"/>
            <w:highlight w:val="yellow"/>
            <w:rPrChange w:id="315" w:author="Benjamin J. Makhlouf" w:date="2026-07-13T16:38:00Z" w16du:dateUtc="2026-07-13T23:38:00Z">
              <w:rPr>
                <w:rFonts w:ascii="Garamond" w:hAnsi="Garamond" w:cs="Times New Roman"/>
              </w:rPr>
            </w:rPrChange>
          </w:rPr>
          <w:delText>providing finer isotopic resolution across groups</w:delText>
        </w:r>
      </w:del>
      <w:del w:id="316" w:author="Benjamin J. Makhlouf" w:date="2026-07-13T16:34:00Z" w16du:dateUtc="2026-07-13T23:34:00Z">
        <w:r w:rsidR="00E3555B" w:rsidRPr="008D39D2" w:rsidDel="009D5982">
          <w:rPr>
            <w:rFonts w:ascii="Garamond" w:hAnsi="Garamond" w:cs="Times New Roman"/>
            <w:highlight w:val="yellow"/>
            <w:rPrChange w:id="317" w:author="Benjamin J. Makhlouf" w:date="2026-07-13T16:38:00Z" w16du:dateUtc="2026-07-13T23:38:00Z">
              <w:rPr>
                <w:rFonts w:ascii="Garamond" w:hAnsi="Garamond" w:cs="Times New Roman"/>
              </w:rPr>
            </w:rPrChange>
          </w:rPr>
          <w:delText>.</w:delText>
        </w:r>
      </w:del>
      <w:r w:rsidR="00E3555B">
        <w:rPr>
          <w:rFonts w:ascii="Garamond" w:hAnsi="Garamond" w:cs="Times New Roman"/>
        </w:rPr>
        <w:t xml:space="preserve"> </w:t>
      </w:r>
      <w:ins w:id="318" w:author="Benjamin J. Makhlouf" w:date="2026-07-13T16:35:00Z" w16du:dateUtc="2026-07-13T23:35:00Z">
        <w:r w:rsidR="009D5982">
          <w:rPr>
            <w:rFonts w:ascii="Garamond" w:hAnsi="Garamond" w:cs="Times New Roman"/>
          </w:rPr>
          <w:t>K-means clustering placed the South Fork Kuskokwim in a lower watershed group because of a very small number of enriched tributaries at the headwaters of this group. Based on an evaluation of the overall isotopic composition compared to other nearby tributary groups, we manually added the South Fork Kuskokwim to its nearest watershed group, group two.</w:t>
        </w:r>
        <w:r w:rsidR="009D5982">
          <w:rPr>
            <w:rFonts w:ascii="Garamond" w:hAnsi="Garamond" w:cs="Times New Roman"/>
          </w:rPr>
          <w:t xml:space="preserve"> </w:t>
        </w:r>
      </w:ins>
      <w:ins w:id="319" w:author="Benjamin J. Makhlouf" w:date="2026-07-13T16:43:00Z">
        <w:r w:rsidR="008D39D2" w:rsidRPr="008D39D2">
          <w:rPr>
            <w:rFonts w:ascii="Garamond" w:hAnsi="Garamond"/>
          </w:rPr>
          <w:t xml:space="preserve">Splitting the watershed in this way produced regions that were likely to encompass the majority of each individual's </w:t>
        </w:r>
      </w:ins>
      <w:ins w:id="320" w:author="Benjamin J. Makhlouf" w:date="2026-07-13T16:44:00Z" w16du:dateUtc="2026-07-13T23:44:00Z">
        <w:r w:rsidR="008D39D2">
          <w:rPr>
            <w:rFonts w:ascii="Garamond" w:hAnsi="Garamond"/>
          </w:rPr>
          <w:t xml:space="preserve">retained </w:t>
        </w:r>
      </w:ins>
      <w:ins w:id="321" w:author="Benjamin J. Makhlouf" w:date="2026-07-13T16:43:00Z">
        <w:r w:rsidR="008D39D2" w:rsidRPr="008D39D2">
          <w:rPr>
            <w:rFonts w:ascii="Garamond" w:hAnsi="Garamond"/>
          </w:rPr>
          <w:t>posterior assignments while also representing management units that are relevant to management within the basin</w:t>
        </w:r>
      </w:ins>
      <w:ins w:id="322" w:author="Benjamin J. Makhlouf" w:date="2026-07-13T16:44:00Z" w16du:dateUtc="2026-07-13T23:44:00Z">
        <w:r w:rsidR="008D39D2">
          <w:rPr>
            <w:rFonts w:ascii="Garamond" w:hAnsi="Garamond"/>
          </w:rPr>
          <w:t xml:space="preserve"> </w:t>
        </w:r>
      </w:ins>
      <w:del w:id="323" w:author="Benjamin J. Makhlouf" w:date="2026-07-13T16:37:00Z" w16du:dateUtc="2026-07-13T23:37:00Z">
        <w:r w:rsidR="00E3555B" w:rsidDel="008D39D2">
          <w:rPr>
            <w:rFonts w:ascii="Garamond" w:hAnsi="Garamond" w:cs="Times New Roman"/>
          </w:rPr>
          <w:delText>The resulting</w:delText>
        </w:r>
      </w:del>
      <w:del w:id="324" w:author="Benjamin J. Makhlouf" w:date="2026-07-13T16:36:00Z" w16du:dateUtc="2026-07-13T23:36:00Z">
        <w:r w:rsidR="00E3555B" w:rsidDel="008D39D2">
          <w:rPr>
            <w:rFonts w:ascii="Garamond" w:hAnsi="Garamond" w:cs="Times New Roman"/>
          </w:rPr>
          <w:delText xml:space="preserve"> regional</w:delText>
        </w:r>
      </w:del>
      <w:del w:id="325" w:author="Benjamin J. Makhlouf" w:date="2026-07-13T16:37:00Z" w16du:dateUtc="2026-07-13T23:37:00Z">
        <w:r w:rsidR="00E3555B" w:rsidDel="008D39D2">
          <w:rPr>
            <w:rFonts w:ascii="Garamond" w:hAnsi="Garamond" w:cs="Times New Roman"/>
          </w:rPr>
          <w:delText xml:space="preserve"> </w:delText>
        </w:r>
        <w:r w:rsidR="00E3555B" w:rsidDel="008D39D2">
          <w:rPr>
            <w:rFonts w:ascii="Garamond" w:hAnsi="Garamond" w:cs="Times New Roman"/>
          </w:rPr>
          <w:lastRenderedPageBreak/>
          <w:delText xml:space="preserve">groupings </w:delText>
        </w:r>
      </w:del>
      <w:del w:id="326" w:author="Benjamin J. Makhlouf" w:date="2026-07-13T16:35:00Z" w16du:dateUtc="2026-07-13T23:35:00Z">
        <w:r w:rsidR="00E3555B" w:rsidDel="008D39D2">
          <w:rPr>
            <w:rFonts w:ascii="Garamond" w:hAnsi="Garamond" w:cs="Times New Roman"/>
          </w:rPr>
          <w:delText>displayed a general pattern from upstream to downstream regions</w:delText>
        </w:r>
      </w:del>
      <w:del w:id="327" w:author="Benjamin J. Makhlouf" w:date="2026-07-12T17:01:00Z" w16du:dateUtc="2026-07-13T00:01:00Z">
        <w:r w:rsidR="00E3555B" w:rsidDel="009C7F14">
          <w:rPr>
            <w:rFonts w:ascii="Garamond" w:hAnsi="Garamond" w:cs="Times New Roman"/>
          </w:rPr>
          <w:delText xml:space="preserve"> </w:delText>
        </w:r>
      </w:del>
      <w:r w:rsidR="00E3555B">
        <w:rPr>
          <w:rFonts w:ascii="Garamond" w:hAnsi="Garamond" w:cs="Times New Roman"/>
        </w:rPr>
        <w:t xml:space="preserve">(Fig. 2b). </w:t>
      </w:r>
      <w:del w:id="328" w:author="Benjamin J. Makhlouf" w:date="2026-07-13T16:45:00Z" w16du:dateUtc="2026-07-13T23:45:00Z">
        <w:r w:rsidR="00E3555B" w:rsidDel="008D39D2">
          <w:rPr>
            <w:rFonts w:ascii="Garamond" w:hAnsi="Garamond" w:cs="Times New Roman"/>
          </w:rPr>
          <w:delText xml:space="preserve">However, </w:delText>
        </w:r>
      </w:del>
      <w:del w:id="329" w:author="Benjamin J. Makhlouf" w:date="2026-07-13T16:35:00Z" w16du:dateUtc="2026-07-13T23:35:00Z">
        <w:r w:rsidR="00E3555B" w:rsidDel="009D5982">
          <w:rPr>
            <w:rFonts w:ascii="Garamond" w:hAnsi="Garamond" w:cs="Times New Roman"/>
          </w:rPr>
          <w:delText xml:space="preserve">K-means clustering placed the South Fork Kuskokwim in a lower watershed group because of a very small number of enriched tributaries at the headwaters of this group. Based on an evaluation of the overall isotopic composition compared to other nearby tributary groups, we manually added the South Fork Kuskokwim to its nearest watershed group, group </w:delText>
        </w:r>
      </w:del>
      <w:del w:id="330" w:author="Benjamin J. Makhlouf" w:date="2026-06-22T10:17:00Z" w16du:dateUtc="2026-06-22T17:17:00Z">
        <w:r w:rsidR="00E3555B" w:rsidDel="00AF1AE2">
          <w:rPr>
            <w:rFonts w:ascii="Garamond" w:hAnsi="Garamond" w:cs="Times New Roman"/>
          </w:rPr>
          <w:delText>five</w:delText>
        </w:r>
      </w:del>
      <w:del w:id="331" w:author="Benjamin J. Makhlouf" w:date="2026-07-13T16:35:00Z" w16du:dateUtc="2026-07-13T23:35:00Z">
        <w:r w:rsidR="00E3555B" w:rsidDel="009D5982">
          <w:rPr>
            <w:rFonts w:ascii="Garamond" w:hAnsi="Garamond" w:cs="Times New Roman"/>
          </w:rPr>
          <w:delText xml:space="preserve">. </w:delText>
        </w:r>
      </w:del>
      <w:ins w:id="332" w:author="Benjamin J. Makhlouf" w:date="2026-07-12T17:07:00Z">
        <w:r w:rsidR="003B6620" w:rsidRPr="003B6620">
          <w:rPr>
            <w:rFonts w:ascii="Garamond" w:hAnsi="Garamond" w:cs="Times New Roman"/>
          </w:rPr>
          <w:t xml:space="preserve">Regions identified as the “upper watershed” in </w:t>
        </w:r>
      </w:ins>
      <w:ins w:id="333" w:author="Benjamin J. Makhlouf" w:date="2026-07-13T16:45:00Z" w16du:dateUtc="2026-07-13T23:45:00Z">
        <w:r w:rsidR="008D39D2">
          <w:rPr>
            <w:rFonts w:ascii="Garamond" w:hAnsi="Garamond" w:cs="Times New Roman"/>
          </w:rPr>
          <w:t xml:space="preserve">telemetry </w:t>
        </w:r>
      </w:ins>
      <w:ins w:id="334" w:author="Benjamin J. Makhlouf" w:date="2026-07-12T17:07:00Z">
        <w:r w:rsidR="003B6620" w:rsidRPr="003B6620">
          <w:rPr>
            <w:rFonts w:ascii="Garamond" w:hAnsi="Garamond" w:cs="Times New Roman"/>
          </w:rPr>
          <w:t>studies are represented within groups one, two, and four. However, group four includes a mixture of upper-watershed tributaries (Takotna and Nixon Fork) and middle-to-lower watershed tributaries (Holitna and Hoholitna)</w:t>
        </w:r>
      </w:ins>
      <w:ins w:id="335" w:author="Benjamin J. Makhlouf" w:date="2026-07-12T17:08:00Z" w16du:dateUtc="2026-07-13T00:08:00Z">
        <w:r w:rsidR="003B6620">
          <w:rPr>
            <w:rFonts w:ascii="Garamond" w:hAnsi="Garamond" w:cs="Times New Roman"/>
          </w:rPr>
          <w:t xml:space="preserve"> </w:t>
        </w:r>
        <w:r w:rsidR="003B6620" w:rsidRPr="008D39D2">
          <w:rPr>
            <w:rFonts w:ascii="Garamond" w:hAnsi="Garamond" w:cs="Times New Roman"/>
            <w:highlight w:val="yellow"/>
            <w:rPrChange w:id="336" w:author="Benjamin J. Makhlouf" w:date="2026-07-13T16:45:00Z" w16du:dateUtc="2026-07-13T23:45:00Z">
              <w:rPr>
                <w:rFonts w:ascii="Garamond" w:hAnsi="Garamond" w:cs="Times New Roman"/>
              </w:rPr>
            </w:rPrChange>
          </w:rPr>
          <w:t>[ref].</w:t>
        </w:r>
        <w:r w:rsidR="003B6620">
          <w:rPr>
            <w:rFonts w:ascii="Garamond" w:hAnsi="Garamond" w:cs="Times New Roman"/>
          </w:rPr>
          <w:t xml:space="preserve"> </w:t>
        </w:r>
      </w:ins>
    </w:p>
    <w:p w14:paraId="168A5EB6" w14:textId="19CE2CEA" w:rsidR="007F747D" w:rsidRPr="008605CB" w:rsidRDefault="007C6331" w:rsidP="007F747D">
      <w:pPr>
        <w:spacing w:line="480" w:lineRule="auto"/>
        <w:rPr>
          <w:rFonts w:ascii="Garamond" w:hAnsi="Garamond" w:cs="Times New Roman"/>
          <w:b/>
          <w:bCs/>
        </w:rPr>
      </w:pPr>
      <w:r>
        <w:rPr>
          <w:rFonts w:ascii="Garamond" w:hAnsi="Garamond" w:cs="Times New Roman"/>
          <w:b/>
          <w:bCs/>
        </w:rPr>
        <w:t xml:space="preserve">2.3 Spatiotemporal Stock Contribution Analysis </w:t>
      </w:r>
    </w:p>
    <w:p w14:paraId="28D4A637" w14:textId="614A7F6A" w:rsidR="00961F08" w:rsidRPr="008605CB" w:rsidRDefault="00E352BB" w:rsidP="006B5AB0">
      <w:pPr>
        <w:spacing w:line="480" w:lineRule="auto"/>
        <w:ind w:firstLine="720"/>
        <w:rPr>
          <w:rFonts w:ascii="Garamond" w:hAnsi="Garamond" w:cs="Times New Roman"/>
        </w:rPr>
      </w:pPr>
      <w:r>
        <w:rPr>
          <w:rFonts w:ascii="Garamond" w:hAnsi="Garamond" w:cs="Times New Roman"/>
        </w:rPr>
        <w:t xml:space="preserve">For each year and seasonal quartile, tributary-level return estimates were aggregated into the six regional groups and normalized to sum to one across the basin, representing each group’s proportional contribution to that quartile. Summary statistics were then calculated across all years for each group </w:t>
      </w:r>
      <w:del w:id="337" w:author="Benjamin J. Makhlouf" w:date="2026-07-09T07:50:00Z" w16du:dateUtc="2026-07-09T14:50:00Z">
        <w:r w:rsidDel="007B2EDA">
          <w:rPr>
            <w:rFonts w:ascii="Garamond" w:hAnsi="Garamond" w:cs="Times New Roman"/>
          </w:rPr>
          <w:delText>(Fig. 3)</w:delText>
        </w:r>
      </w:del>
      <w:r>
        <w:rPr>
          <w:rFonts w:ascii="Garamond" w:hAnsi="Garamond" w:cs="Times New Roman"/>
        </w:rPr>
        <w:t xml:space="preserve">. Cumulative distribution functions were constructed to examine trends in relative run timing among regional groups independent of abundance and quartile cut-off dates. For each year, the full run was split into three-day intervals and the cumulative number of returners for each group was compared to its full season contribution. </w:t>
      </w:r>
      <w:ins w:id="338" w:author="Benjamin J. Makhlouf" w:date="2026-07-09T07:52:00Z">
        <w:r w:rsidR="000B652C" w:rsidRPr="000B652C">
          <w:rPr>
            <w:rFonts w:ascii="Garamond" w:hAnsi="Garamond" w:cs="Times New Roman"/>
          </w:rPr>
          <w:t>To directly compare relative run timing with the temporal distribution of the full run, we used daily CPUE data collected from the BTF to calculate, for each day, the cumulative proportion of the total seasonal CPUE remaining based on the sum of daily CPUE values.</w:t>
        </w:r>
      </w:ins>
      <w:ins w:id="339" w:author="Benjamin J. Makhlouf" w:date="2026-07-09T07:52:00Z" w16du:dateUtc="2026-07-09T14:52:00Z">
        <w:r w:rsidR="000B652C">
          <w:rPr>
            <w:rFonts w:ascii="Garamond" w:hAnsi="Garamond" w:cs="Times New Roman"/>
          </w:rPr>
          <w:t xml:space="preserve"> </w:t>
        </w:r>
      </w:ins>
      <w:del w:id="340" w:author="Benjamin J. Makhlouf" w:date="2026-07-09T07:52:00Z" w16du:dateUtc="2026-07-09T14:52:00Z">
        <w:r w:rsidDel="000B652C">
          <w:rPr>
            <w:rFonts w:ascii="Garamond" w:hAnsi="Garamond" w:cs="Times New Roman"/>
          </w:rPr>
          <w:delText xml:space="preserve">To directly compare relative run timing to the temporal distribution of the full run, we used daily CPUE data collected from the BTF to calculate the cumulative proportion of the full run’s CPUE remaining for each day. </w:delText>
        </w:r>
      </w:del>
      <w:r>
        <w:rPr>
          <w:rFonts w:ascii="Garamond" w:hAnsi="Garamond" w:cs="Times New Roman"/>
        </w:rPr>
        <w:t xml:space="preserve">This value represents the maximum potential harvest available if harvest rates are proportional to CPUE. However, </w:t>
      </w:r>
      <w:ins w:id="341" w:author="Benjamin J. Makhlouf" w:date="2026-07-09T07:53:00Z" w16du:dateUtc="2026-07-09T14:53:00Z">
        <w:r w:rsidR="000B652C">
          <w:rPr>
            <w:rFonts w:ascii="Garamond" w:hAnsi="Garamond" w:cs="Times New Roman"/>
          </w:rPr>
          <w:t xml:space="preserve">it </w:t>
        </w:r>
      </w:ins>
      <w:del w:id="342" w:author="Benjamin J. Makhlouf" w:date="2026-07-09T07:53:00Z" w16du:dateUtc="2026-07-09T14:53:00Z">
        <w:r w:rsidDel="000B652C">
          <w:rPr>
            <w:rFonts w:ascii="Garamond" w:hAnsi="Garamond" w:cs="Times New Roman"/>
          </w:rPr>
          <w:delText>t</w:delText>
        </w:r>
      </w:del>
      <w:del w:id="343" w:author="Benjamin J. Makhlouf" w:date="2026-07-09T07:52:00Z" w16du:dateUtc="2026-07-09T14:52:00Z">
        <w:r w:rsidDel="000B652C">
          <w:rPr>
            <w:rFonts w:ascii="Garamond" w:hAnsi="Garamond" w:cs="Times New Roman"/>
          </w:rPr>
          <w:delText>his value</w:delText>
        </w:r>
      </w:del>
      <w:r>
        <w:rPr>
          <w:rFonts w:ascii="Garamond" w:hAnsi="Garamond" w:cs="Times New Roman"/>
        </w:rPr>
        <w:t xml:space="preserve"> does not account for the preferred harvest timing without the closure implemented, which may not follow </w:t>
      </w:r>
      <w:r>
        <w:rPr>
          <w:rFonts w:ascii="Garamond" w:hAnsi="Garamond" w:cs="Times New Roman"/>
        </w:rPr>
        <w:lastRenderedPageBreak/>
        <w:t xml:space="preserve">this pattern. Resulting data (Fig. 4) illustrate the proportion (from zero to one) of each group’s total cumulative contribution to the overall run at each three-day interval as well as the proportion of the total potential harvest remaining for each day. </w:t>
      </w:r>
      <w:ins w:id="344" w:author="Benjamin J. Makhlouf" w:date="2026-07-09T08:32:00Z">
        <w:r w:rsidR="00141DEA" w:rsidRPr="00141DEA">
          <w:rPr>
            <w:rFonts w:ascii="Garamond" w:hAnsi="Garamond" w:cs="Times New Roman"/>
          </w:rPr>
          <w:t>From these data, we identified the date by which 50% of the total run had entered the system and calculated the coefficient of variation (CV) across years to quantify interannual variation in return timing among groups.</w:t>
        </w:r>
      </w:ins>
    </w:p>
    <w:p w14:paraId="2E1403AA" w14:textId="393B4E83" w:rsidR="00E35059" w:rsidRDefault="006E1BBC" w:rsidP="009C0002">
      <w:pPr>
        <w:spacing w:line="480" w:lineRule="auto"/>
        <w:ind w:firstLine="720"/>
        <w:rPr>
          <w:ins w:id="345" w:author="Benjamin J. Makhlouf" w:date="2026-07-09T08:32:00Z" w16du:dateUtc="2026-07-09T15:32:00Z"/>
          <w:rFonts w:ascii="Garamond" w:hAnsi="Garamond" w:cs="Times New Roman"/>
        </w:rPr>
      </w:pPr>
      <w:r>
        <w:rPr>
          <w:rFonts w:ascii="Garamond" w:hAnsi="Garamond"/>
        </w:rPr>
        <w:t xml:space="preserve">To assess the impact of the existing front-end closure, we quantified the </w:t>
      </w:r>
      <w:ins w:id="346" w:author="Benjamin J. Makhlouf" w:date="2026-06-20T15:18:00Z">
        <w:r w:rsidR="009C0002" w:rsidRPr="009C0002">
          <w:rPr>
            <w:rFonts w:ascii="Garamond" w:hAnsi="Garamond"/>
          </w:rPr>
          <w:t>proportion of total abundance occurring within the closure period (corresponding to the first seasonal quartile, Q1, in our dataset) that was assigned to each regional group based on otolith</w:t>
        </w:r>
      </w:ins>
      <w:ins w:id="347" w:author="Benjamin J. Makhlouf" w:date="2026-06-20T15:20:00Z" w16du:dateUtc="2026-06-20T22:20:00Z">
        <w:r w:rsidR="009C0002">
          <w:rPr>
            <w:rFonts w:ascii="Garamond" w:hAnsi="Garamond"/>
          </w:rPr>
          <w:t xml:space="preserve"> isotope</w:t>
        </w:r>
      </w:ins>
      <w:ins w:id="348" w:author="Benjamin J. Makhlouf" w:date="2026-06-20T15:18:00Z">
        <w:r w:rsidR="009C0002" w:rsidRPr="009C0002">
          <w:rPr>
            <w:rFonts w:ascii="Garamond" w:hAnsi="Garamond"/>
          </w:rPr>
          <w:t xml:space="preserve"> assignments. We refer to this metric</w:t>
        </w:r>
      </w:ins>
      <w:ins w:id="349" w:author="Benjamin J. Makhlouf" w:date="2026-06-20T15:20:00Z" w16du:dateUtc="2026-06-20T22:20:00Z">
        <w:r w:rsidR="009C0002">
          <w:rPr>
            <w:rFonts w:ascii="Garamond" w:hAnsi="Garamond"/>
          </w:rPr>
          <w:t xml:space="preserve"> hereafter</w:t>
        </w:r>
      </w:ins>
      <w:ins w:id="350" w:author="Benjamin J. Makhlouf" w:date="2026-06-20T15:18:00Z">
        <w:r w:rsidR="009C0002" w:rsidRPr="009C0002">
          <w:rPr>
            <w:rFonts w:ascii="Garamond" w:hAnsi="Garamond"/>
          </w:rPr>
          <w:t xml:space="preserve"> as </w:t>
        </w:r>
      </w:ins>
      <w:ins w:id="351" w:author="Benjamin J. Makhlouf" w:date="2026-06-20T15:20:00Z" w16du:dateUtc="2026-06-20T22:20:00Z">
        <w:r w:rsidR="009C0002">
          <w:rPr>
            <w:rFonts w:ascii="Garamond" w:hAnsi="Garamond"/>
          </w:rPr>
          <w:t>“</w:t>
        </w:r>
      </w:ins>
      <w:ins w:id="352" w:author="Benjamin J. Makhlouf" w:date="2026-06-20T15:18:00Z">
        <w:r w:rsidR="009C0002" w:rsidRPr="009C0002">
          <w:rPr>
            <w:rFonts w:ascii="Garamond" w:hAnsi="Garamond"/>
            <w:rPrChange w:id="353" w:author="Benjamin J. Makhlouf" w:date="2026-06-20T15:19:00Z" w16du:dateUtc="2026-06-20T22:19:00Z">
              <w:rPr>
                <w:rFonts w:ascii="Garamond" w:hAnsi="Garamond"/>
                <w:b/>
                <w:bCs/>
              </w:rPr>
            </w:rPrChange>
          </w:rPr>
          <w:t>percent protection</w:t>
        </w:r>
      </w:ins>
      <w:ins w:id="354" w:author="Benjamin J. Makhlouf" w:date="2026-06-20T15:20:00Z" w16du:dateUtc="2026-06-20T22:20:00Z">
        <w:r w:rsidR="009C0002">
          <w:rPr>
            <w:rFonts w:ascii="Garamond" w:hAnsi="Garamond"/>
          </w:rPr>
          <w:t>”</w:t>
        </w:r>
      </w:ins>
      <w:ins w:id="355" w:author="Benjamin J. Makhlouf" w:date="2026-06-20T15:18:00Z">
        <w:r w:rsidR="009C0002" w:rsidRPr="009C0002">
          <w:rPr>
            <w:rFonts w:ascii="Garamond" w:hAnsi="Garamond"/>
          </w:rPr>
          <w:t>.</w:t>
        </w:r>
      </w:ins>
      <w:del w:id="356" w:author="Benjamin J. Makhlouf" w:date="2026-06-20T15:17:00Z" w16du:dateUtc="2026-06-20T22:17:00Z">
        <w:r w:rsidDel="009C0002">
          <w:rPr>
            <w:rFonts w:ascii="Garamond" w:hAnsi="Garamond"/>
          </w:rPr>
          <w:delText>share of each group’s total annual return that fell within the closure period (the first seasonal quartile, Q1 in our dataset</w:delText>
        </w:r>
      </w:del>
      <w:del w:id="357" w:author="Benjamin J. Makhlouf" w:date="2026-07-13T16:47:00Z" w16du:dateUtc="2026-07-13T23:47:00Z">
        <w:r w:rsidDel="00706214">
          <w:rPr>
            <w:rFonts w:ascii="Garamond" w:hAnsi="Garamond"/>
          </w:rPr>
          <w:delText>)</w:delText>
        </w:r>
      </w:del>
      <w:ins w:id="358" w:author="Benjamin J. Makhlouf" w:date="2026-07-13T16:47:00Z" w16du:dateUtc="2026-07-13T23:47:00Z">
        <w:r w:rsidR="00706214">
          <w:rPr>
            <w:rFonts w:ascii="Garamond" w:hAnsi="Garamond"/>
          </w:rPr>
          <w:t xml:space="preserve"> </w:t>
        </w:r>
      </w:ins>
      <w:del w:id="359" w:author="Benjamin J. Makhlouf" w:date="2026-07-13T16:47:00Z" w16du:dateUtc="2026-07-13T23:47:00Z">
        <w:r w:rsidDel="00706214">
          <w:rPr>
            <w:rFonts w:ascii="Garamond" w:hAnsi="Garamond"/>
          </w:rPr>
          <w:delText xml:space="preserve">. </w:delText>
        </w:r>
      </w:del>
      <w:r>
        <w:rPr>
          <w:rFonts w:ascii="Garamond" w:hAnsi="Garamond"/>
        </w:rPr>
        <w:t>This comparison illustrates the maximum degree of protection provided to each stock group by estimating the portion of its annual run excluded from harvest</w:t>
      </w:r>
      <w:r>
        <w:rPr>
          <w:rFonts w:ascii="Garamond" w:hAnsi="Garamond" w:cs="Times New Roman"/>
        </w:rPr>
        <w:t>. We then assessed the same metric but with a set of alternative closure durations by calculating proportional protection at three alternate end dates for the closure: June 8</w:t>
      </w:r>
      <w:r>
        <w:rPr>
          <w:rFonts w:ascii="Garamond" w:hAnsi="Garamond" w:cs="Times New Roman"/>
          <w:vertAlign w:val="superscript"/>
        </w:rPr>
        <w:t>th</w:t>
      </w:r>
      <w:r>
        <w:rPr>
          <w:rFonts w:ascii="Garamond" w:hAnsi="Garamond" w:cs="Times New Roman"/>
        </w:rPr>
        <w:t xml:space="preserve"> (three days before current closure end date), June 14</w:t>
      </w:r>
      <w:r>
        <w:rPr>
          <w:rFonts w:ascii="Garamond" w:hAnsi="Garamond" w:cs="Times New Roman"/>
          <w:vertAlign w:val="superscript"/>
        </w:rPr>
        <w:t>th</w:t>
      </w:r>
      <w:r>
        <w:rPr>
          <w:rFonts w:ascii="Garamond" w:hAnsi="Garamond" w:cs="Times New Roman"/>
        </w:rPr>
        <w:t xml:space="preserve"> (three days after current closure end date), and June 17</w:t>
      </w:r>
      <w:r>
        <w:rPr>
          <w:rFonts w:ascii="Garamond" w:hAnsi="Garamond" w:cs="Times New Roman"/>
          <w:vertAlign w:val="superscript"/>
        </w:rPr>
        <w:t>th</w:t>
      </w:r>
      <w:r>
        <w:rPr>
          <w:rFonts w:ascii="Garamond" w:hAnsi="Garamond" w:cs="Times New Roman"/>
        </w:rPr>
        <w:t xml:space="preserve"> (six days after current closure end date) (Fig. 5). For each scenario, we calculated the proportion of the total CPUE that occurred within the adjusted closure window and compared this value to the potential protection afforded to each group across all years (Fig. 6). Together, these results illustrate the tradeoff between increased protection under later closure end dates and the corresponding loss of potential harvest opportunity for stakeholders in the basin.</w:t>
      </w:r>
    </w:p>
    <w:p w14:paraId="6F0644BD" w14:textId="77777777" w:rsidR="001C4C41" w:rsidRPr="009C0002" w:rsidRDefault="001C4C41" w:rsidP="009C0002">
      <w:pPr>
        <w:spacing w:line="480" w:lineRule="auto"/>
        <w:ind w:firstLine="720"/>
        <w:rPr>
          <w:rFonts w:ascii="Garamond" w:hAnsi="Garamond"/>
        </w:rPr>
      </w:pPr>
    </w:p>
    <w:p w14:paraId="1B967039" w14:textId="4D3077C3" w:rsidR="004A0003" w:rsidRPr="007C6331" w:rsidRDefault="0019169F" w:rsidP="007C6331">
      <w:pPr>
        <w:pStyle w:val="ListParagraph"/>
        <w:numPr>
          <w:ilvl w:val="0"/>
          <w:numId w:val="12"/>
        </w:numPr>
        <w:spacing w:line="480" w:lineRule="auto"/>
        <w:rPr>
          <w:rFonts w:ascii="Garamond" w:hAnsi="Garamond"/>
          <w:b/>
          <w:bCs/>
          <w:sz w:val="32"/>
          <w:szCs w:val="32"/>
        </w:rPr>
      </w:pPr>
      <w:r>
        <w:rPr>
          <w:rFonts w:ascii="Garamond" w:hAnsi="Garamond"/>
          <w:b/>
          <w:bCs/>
          <w:sz w:val="32"/>
          <w:szCs w:val="32"/>
        </w:rPr>
        <w:t>Results</w:t>
      </w:r>
    </w:p>
    <w:p w14:paraId="10DADB8B" w14:textId="699DD951" w:rsidR="00397FF6" w:rsidRPr="00FC02BD" w:rsidRDefault="007C6331" w:rsidP="007A07BC">
      <w:pPr>
        <w:spacing w:line="480" w:lineRule="auto"/>
        <w:rPr>
          <w:rFonts w:ascii="Garamond" w:hAnsi="Garamond" w:cs="Times New Roman"/>
          <w:b/>
          <w:bCs/>
          <w:sz w:val="28"/>
          <w:szCs w:val="28"/>
        </w:rPr>
      </w:pPr>
      <w:r>
        <w:rPr>
          <w:rFonts w:ascii="Garamond" w:hAnsi="Garamond" w:cs="Times New Roman"/>
          <w:b/>
          <w:bCs/>
          <w:sz w:val="28"/>
          <w:szCs w:val="28"/>
        </w:rPr>
        <w:t>3.1 Variation in stock return timing within season</w:t>
      </w:r>
    </w:p>
    <w:p w14:paraId="14441915" w14:textId="7DC566AE" w:rsidR="001740E9" w:rsidRPr="00FC02BD" w:rsidRDefault="00D625F2" w:rsidP="007A07BC">
      <w:pPr>
        <w:pStyle w:val="whitespace-normal"/>
        <w:spacing w:line="480" w:lineRule="auto"/>
        <w:rPr>
          <w:rFonts w:ascii="Garamond" w:hAnsi="Garamond"/>
        </w:rPr>
      </w:pPr>
      <w:r>
        <w:rPr>
          <w:b/>
          <w:bCs/>
          <w:sz w:val="22"/>
          <w:szCs w:val="22"/>
        </w:rPr>
        <w:lastRenderedPageBreak/>
        <w:tab/>
      </w:r>
      <w:r>
        <w:rPr>
          <w:rFonts w:ascii="Garamond" w:hAnsi="Garamond"/>
        </w:rPr>
        <w:t>Across all years of our dataset (2017-2022), returns to the six regional groups exhibited a general transition from the furthest upstream to the furthest downstream as the season progressed (Fig. 3</w:t>
      </w:r>
      <w:ins w:id="360" w:author="Benjamin J. Makhlouf" w:date="2026-07-09T08:20:00Z" w16du:dateUtc="2026-07-09T15:20:00Z">
        <w:r w:rsidR="00684CAF">
          <w:rPr>
            <w:rFonts w:ascii="Garamond" w:hAnsi="Garamond"/>
          </w:rPr>
          <w:t>a</w:t>
        </w:r>
      </w:ins>
      <w:r>
        <w:rPr>
          <w:rFonts w:ascii="Garamond" w:hAnsi="Garamond"/>
        </w:rPr>
        <w:t>). Notably, group one, which contains the North Fork and East Fork Kuskokwim River, consistently contributed little to all years and quartiles (max: 2.9%)</w:t>
      </w:r>
      <w:ins w:id="361" w:author="Benjamin J. Makhlouf" w:date="2026-07-13T16:50:00Z" w16du:dateUtc="2026-07-13T23:50:00Z">
        <w:r w:rsidR="00706214">
          <w:rPr>
            <w:rFonts w:ascii="Garamond" w:hAnsi="Garamond"/>
          </w:rPr>
          <w:t xml:space="preserve"> (Fig</w:t>
        </w:r>
      </w:ins>
      <w:ins w:id="362" w:author="Benjamin J. Makhlouf" w:date="2026-07-13T16:51:00Z" w16du:dateUtc="2026-07-13T23:51:00Z">
        <w:r w:rsidR="00706214">
          <w:rPr>
            <w:rFonts w:ascii="Garamond" w:hAnsi="Garamond"/>
          </w:rPr>
          <w:t>. 3b)</w:t>
        </w:r>
      </w:ins>
      <w:r>
        <w:rPr>
          <w:rFonts w:ascii="Garamond" w:hAnsi="Garamond"/>
        </w:rPr>
        <w:t>. Early season returns (Q1: start of run through June 11</w:t>
      </w:r>
      <w:del w:id="363" w:author="Benjamin J. Makhlouf" w:date="2026-07-09T08:20:00Z" w16du:dateUtc="2026-07-09T15:20:00Z">
        <w:r w:rsidDel="00684CAF">
          <w:rPr>
            <w:rFonts w:ascii="Garamond" w:hAnsi="Garamond"/>
          </w:rPr>
          <w:delText>, Fig. 3a.</w:delText>
        </w:r>
      </w:del>
      <w:r>
        <w:rPr>
          <w:rFonts w:ascii="Garamond" w:hAnsi="Garamond"/>
        </w:rPr>
        <w:t>) were represented primarily by high contributions from group two (median: 42.2%), with relatively low median contribution (20% or less) from all other groups</w:t>
      </w:r>
      <w:ins w:id="364" w:author="Benjamin J. Makhlouf" w:date="2026-07-09T08:20:00Z" w16du:dateUtc="2026-07-09T15:20:00Z">
        <w:r w:rsidR="00684CAF">
          <w:rPr>
            <w:rFonts w:ascii="Garamond" w:hAnsi="Garamond"/>
          </w:rPr>
          <w:t xml:space="preserve"> (F</w:t>
        </w:r>
      </w:ins>
      <w:ins w:id="365" w:author="Benjamin J. Makhlouf" w:date="2026-07-09T08:21:00Z" w16du:dateUtc="2026-07-09T15:21:00Z">
        <w:r w:rsidR="00684CAF">
          <w:rPr>
            <w:rFonts w:ascii="Garamond" w:hAnsi="Garamond"/>
          </w:rPr>
          <w:t>igure 3b)</w:t>
        </w:r>
      </w:ins>
      <w:r>
        <w:rPr>
          <w:rFonts w:ascii="Garamond" w:hAnsi="Garamond"/>
        </w:rPr>
        <w:t>. The second quartile (June 12</w:t>
      </w:r>
      <w:r>
        <w:rPr>
          <w:rFonts w:ascii="Garamond" w:hAnsi="Garamond"/>
          <w:vertAlign w:val="superscript"/>
        </w:rPr>
        <w:t>th</w:t>
      </w:r>
      <w:r>
        <w:rPr>
          <w:rFonts w:ascii="Garamond" w:hAnsi="Garamond"/>
        </w:rPr>
        <w:t xml:space="preserve"> – 21</w:t>
      </w:r>
      <w:r>
        <w:rPr>
          <w:rFonts w:ascii="Garamond" w:hAnsi="Garamond"/>
          <w:vertAlign w:val="superscript"/>
        </w:rPr>
        <w:t>st</w:t>
      </w:r>
      <w:r>
        <w:rPr>
          <w:rFonts w:ascii="Garamond" w:hAnsi="Garamond"/>
        </w:rPr>
        <w:t>, Fig. 3b.) exhibited a slight decrease in contribution from group two (31.0%), with increasing contribution from groups four and five (25.8% and 19.8%, respectively). This pattern largely held in the 3</w:t>
      </w:r>
      <w:r>
        <w:rPr>
          <w:rFonts w:ascii="Garamond" w:hAnsi="Garamond"/>
          <w:vertAlign w:val="superscript"/>
        </w:rPr>
        <w:t>rd</w:t>
      </w:r>
      <w:r>
        <w:rPr>
          <w:rFonts w:ascii="Garamond" w:hAnsi="Garamond"/>
        </w:rPr>
        <w:t xml:space="preserve"> quartile (June 22</w:t>
      </w:r>
      <w:r>
        <w:rPr>
          <w:rFonts w:ascii="Garamond" w:hAnsi="Garamond"/>
          <w:vertAlign w:val="superscript"/>
        </w:rPr>
        <w:t>nd</w:t>
      </w:r>
      <w:r>
        <w:rPr>
          <w:rFonts w:ascii="Garamond" w:hAnsi="Garamond"/>
        </w:rPr>
        <w:t>- July 1st</w:t>
      </w:r>
      <w:del w:id="366" w:author="Benjamin J. Makhlouf" w:date="2026-07-09T08:21:00Z" w16du:dateUtc="2026-07-09T15:21:00Z">
        <w:r w:rsidDel="00684CAF">
          <w:rPr>
            <w:rFonts w:ascii="Garamond" w:hAnsi="Garamond"/>
          </w:rPr>
          <w:delText>, Fig. 3c</w:delText>
        </w:r>
      </w:del>
      <w:r>
        <w:rPr>
          <w:rFonts w:ascii="Garamond" w:hAnsi="Garamond"/>
        </w:rPr>
        <w:t>.), with a further decrease in contribution from group two (21.6%) and an increased contribution from group four (30.1%). Finally, the fourth quartile (July 2</w:t>
      </w:r>
      <w:r>
        <w:rPr>
          <w:rFonts w:ascii="Garamond" w:hAnsi="Garamond"/>
          <w:vertAlign w:val="superscript"/>
        </w:rPr>
        <w:t>nd</w:t>
      </w:r>
      <w:r>
        <w:rPr>
          <w:rFonts w:ascii="Garamond" w:hAnsi="Garamond"/>
        </w:rPr>
        <w:t xml:space="preserve"> onward</w:t>
      </w:r>
      <w:del w:id="367" w:author="Benjamin J. Makhlouf" w:date="2026-07-09T08:21:00Z" w16du:dateUtc="2026-07-09T15:21:00Z">
        <w:r w:rsidDel="00684CAF">
          <w:rPr>
            <w:rFonts w:ascii="Garamond" w:hAnsi="Garamond"/>
          </w:rPr>
          <w:delText>, Fig. 3d</w:delText>
        </w:r>
      </w:del>
      <w:r>
        <w:rPr>
          <w:rFonts w:ascii="Garamond" w:hAnsi="Garamond"/>
        </w:rPr>
        <w:t xml:space="preserve">.) exhibited a marked increase in median contribution from the furthest downstream group (group six, 17.9%), and contribution to this quartile was largely driven by groups four and five located in the bottom of the watershed (26.9% and 25.4%, respectively). </w:t>
      </w:r>
    </w:p>
    <w:p w14:paraId="02B40C2D" w14:textId="161D0354" w:rsidR="009E7ECB" w:rsidDel="00706214" w:rsidRDefault="00536536" w:rsidP="006D6AEE">
      <w:pPr>
        <w:pStyle w:val="whitespace-normal"/>
        <w:spacing w:line="480" w:lineRule="auto"/>
        <w:rPr>
          <w:del w:id="368" w:author="Benjamin J. Makhlouf" w:date="2026-07-09T08:37:00Z" w16du:dateUtc="2026-07-09T15:37:00Z"/>
          <w:rFonts w:ascii="Garamond" w:hAnsi="Garamond"/>
        </w:rPr>
      </w:pPr>
      <w:r>
        <w:rPr>
          <w:rFonts w:ascii="Garamond" w:hAnsi="Garamond"/>
        </w:rPr>
        <w:t>Cumulative distribution plots (Fig. 4) illustrated</w:t>
      </w:r>
      <w:ins w:id="369" w:author="Benjamin J. Makhlouf" w:date="2026-06-23T09:20:00Z" w16du:dateUtc="2026-06-23T16:20:00Z">
        <w:r w:rsidR="00906B81">
          <w:rPr>
            <w:rFonts w:ascii="Garamond" w:hAnsi="Garamond"/>
          </w:rPr>
          <w:t xml:space="preserve"> interannual</w:t>
        </w:r>
      </w:ins>
      <w:r>
        <w:rPr>
          <w:rFonts w:ascii="Garamond" w:hAnsi="Garamond"/>
        </w:rPr>
        <w:t xml:space="preserve"> variation in seasonal migration timing among regional groups independent of the total returning individuals within each group. In each year, upper watershed individuals arrived earlier in the season, whereas further downstream groups returned later. There was some variability in run timing among middle/lower watershed groups, however, a clear pattern in run timing between the upper and lower portions of the watershed was evident despite differences in the average migration timing and temporal distribution of the run (i.e. compressed vs. protracted run timing) (Fig. 4, gray solid line). The proportion of total CPUE remaining at the front-end closure date (dashed gray line, Fig. 4) varied substantially among years. In some years, nearly the entire run had yet to arrive by the closure date (e.g., 2017), whereas in others, </w:t>
      </w:r>
      <w:r>
        <w:rPr>
          <w:rFonts w:ascii="Garamond" w:hAnsi="Garamond"/>
        </w:rPr>
        <w:lastRenderedPageBreak/>
        <w:t>almost 25% of the total return occurred before the closure end date.</w:t>
      </w:r>
      <w:ins w:id="370" w:author="Benjamin J. Makhlouf" w:date="2026-07-09T08:38:00Z" w16du:dateUtc="2026-07-09T15:38:00Z">
        <w:r w:rsidR="009E7ECB">
          <w:rPr>
            <w:rFonts w:ascii="Garamond" w:hAnsi="Garamond"/>
          </w:rPr>
          <w:t xml:space="preserve"> </w:t>
        </w:r>
      </w:ins>
      <w:ins w:id="371" w:author="Benjamin J. Makhlouf" w:date="2026-07-09T09:08:00Z">
        <w:r w:rsidR="004C4B85" w:rsidRPr="004C4B85">
          <w:rPr>
            <w:rFonts w:ascii="Garamond" w:hAnsi="Garamond"/>
          </w:rPr>
          <w:t>In addition, interannual variability in return timing differed among groups. Based on the date by which 50% of the cumulative run had entered the system, Groups 1 and 2 exhibited greater variability in return timing (CV = 3.5% and 2.4%, respectively) than the remaining groups across the watershed (CV = 1.4</w:t>
        </w:r>
      </w:ins>
      <w:ins w:id="372" w:author="Benjamin J. Makhlouf" w:date="2026-07-13T16:56:00Z" w16du:dateUtc="2026-07-13T23:56:00Z">
        <w:r w:rsidR="004A579B">
          <w:rPr>
            <w:rFonts w:ascii="Garamond" w:hAnsi="Garamond"/>
          </w:rPr>
          <w:t xml:space="preserve"> </w:t>
        </w:r>
      </w:ins>
      <w:ins w:id="373" w:author="Benjamin J. Makhlouf" w:date="2026-07-09T09:08:00Z">
        <w:r w:rsidR="004C4B85" w:rsidRPr="004C4B85">
          <w:rPr>
            <w:rFonts w:ascii="Garamond" w:hAnsi="Garamond"/>
          </w:rPr>
          <w:t>–1.6%).</w:t>
        </w:r>
      </w:ins>
    </w:p>
    <w:p w14:paraId="57A1F09E" w14:textId="77777777" w:rsidR="00706214" w:rsidRPr="009E7ECB" w:rsidRDefault="00706214" w:rsidP="009E7ECB">
      <w:pPr>
        <w:pStyle w:val="whitespace-normal"/>
        <w:spacing w:line="480" w:lineRule="auto"/>
        <w:ind w:firstLine="720"/>
        <w:rPr>
          <w:ins w:id="374" w:author="Benjamin J. Makhlouf" w:date="2026-07-13T16:56:00Z" w16du:dateUtc="2026-07-13T23:56:00Z"/>
          <w:rFonts w:ascii="Garamond" w:hAnsi="Garamond"/>
          <w:rPrChange w:id="375" w:author="Benjamin J. Makhlouf" w:date="2026-07-09T08:39:00Z" w16du:dateUtc="2026-07-09T15:39:00Z">
            <w:rPr>
              <w:ins w:id="376" w:author="Benjamin J. Makhlouf" w:date="2026-07-13T16:56:00Z" w16du:dateUtc="2026-07-13T23:56:00Z"/>
              <w:rFonts w:ascii="Garamond" w:hAnsi="Garamond"/>
              <w:b/>
              <w:bCs/>
            </w:rPr>
          </w:rPrChange>
        </w:rPr>
      </w:pPr>
    </w:p>
    <w:p w14:paraId="425125A7" w14:textId="7EB8F101" w:rsidR="00397FF6" w:rsidRPr="00FC02BD" w:rsidRDefault="007C6331" w:rsidP="006D6AEE">
      <w:pPr>
        <w:pStyle w:val="whitespace-normal"/>
        <w:spacing w:line="480" w:lineRule="auto"/>
        <w:rPr>
          <w:rFonts w:ascii="Garamond" w:hAnsi="Garamond"/>
        </w:rPr>
      </w:pPr>
      <w:r>
        <w:rPr>
          <w:rFonts w:ascii="Garamond" w:hAnsi="Garamond"/>
          <w:b/>
          <w:bCs/>
        </w:rPr>
        <w:t xml:space="preserve">3.2 Front-end closure protections </w:t>
      </w:r>
    </w:p>
    <w:p w14:paraId="3E0FDA39" w14:textId="6346631C" w:rsidR="00A54B4A" w:rsidRPr="00FC02BD" w:rsidRDefault="00E67672" w:rsidP="00D516D1">
      <w:pPr>
        <w:pStyle w:val="whitespace-normal"/>
        <w:spacing w:line="480" w:lineRule="auto"/>
        <w:ind w:firstLine="720"/>
        <w:rPr>
          <w:rFonts w:ascii="Garamond" w:hAnsi="Garamond"/>
        </w:rPr>
      </w:pPr>
      <w:r>
        <w:rPr>
          <w:rFonts w:ascii="Garamond" w:hAnsi="Garamond"/>
        </w:rPr>
        <w:t xml:space="preserve">Early returning upper Kuskokwim populations were afforded higher proportional protection through the implementation of a front-end closure management strategy (Fig. 5). On average, group one, comprised of the furthest upstream populations, received 22.6% of its total </w:t>
      </w:r>
      <w:ins w:id="377" w:author="Benjamin J. Makhlouf" w:date="2026-07-08T14:57:00Z" w16du:dateUtc="2026-07-08T21:57:00Z">
        <w:r w:rsidR="00923A9B">
          <w:rPr>
            <w:rFonts w:ascii="Garamond" w:hAnsi="Garamond"/>
          </w:rPr>
          <w:t xml:space="preserve">relative abundance </w:t>
        </w:r>
      </w:ins>
      <w:del w:id="378" w:author="Benjamin J. Makhlouf" w:date="2026-07-08T14:57:00Z" w16du:dateUtc="2026-07-08T21:57:00Z">
        <w:r w:rsidDel="00923A9B">
          <w:rPr>
            <w:rFonts w:ascii="Garamond" w:hAnsi="Garamond"/>
          </w:rPr>
          <w:delText>contribution</w:delText>
        </w:r>
      </w:del>
      <w:r>
        <w:rPr>
          <w:rFonts w:ascii="Garamond" w:hAnsi="Garamond"/>
        </w:rPr>
        <w:t xml:space="preserve"> within the front-end closure window, followed by group two at 13.5%. In contrast, populations in further downstream areas received considerably less protection, with less than 10% protection afforded to groups three through six on average. These downstream groups also displayed a much narrower range of protection values across all years of our dataset: proportional protection ranged from 1.0%–14% for groups four through six and 1.7%–19% for group three. In contrast, upstream groups displayed a much larger range of </w:t>
      </w:r>
      <w:ins w:id="379" w:author="Benjamin J. Makhlouf" w:date="2026-07-08T14:58:00Z" w16du:dateUtc="2026-07-08T21:58:00Z">
        <w:r w:rsidR="00923A9B">
          <w:rPr>
            <w:rFonts w:ascii="Garamond" w:hAnsi="Garamond"/>
          </w:rPr>
          <w:t>relative ab</w:t>
        </w:r>
      </w:ins>
      <w:ins w:id="380" w:author="Benjamin J. Makhlouf" w:date="2026-07-08T14:59:00Z" w16du:dateUtc="2026-07-08T21:59:00Z">
        <w:r w:rsidR="00923A9B">
          <w:rPr>
            <w:rFonts w:ascii="Garamond" w:hAnsi="Garamond"/>
          </w:rPr>
          <w:t xml:space="preserve">undance </w:t>
        </w:r>
      </w:ins>
      <w:r>
        <w:rPr>
          <w:rFonts w:ascii="Garamond" w:hAnsi="Garamond"/>
        </w:rPr>
        <w:t>protect</w:t>
      </w:r>
      <w:ins w:id="381" w:author="Benjamin J. Makhlouf" w:date="2026-07-08T14:59:00Z" w16du:dateUtc="2026-07-08T21:59:00Z">
        <w:r w:rsidR="00923A9B">
          <w:rPr>
            <w:rFonts w:ascii="Garamond" w:hAnsi="Garamond"/>
          </w:rPr>
          <w:t>ed</w:t>
        </w:r>
      </w:ins>
      <w:del w:id="382" w:author="Benjamin J. Makhlouf" w:date="2026-07-08T14:59:00Z" w16du:dateUtc="2026-07-08T21:59:00Z">
        <w:r w:rsidDel="00923A9B">
          <w:rPr>
            <w:rFonts w:ascii="Garamond" w:hAnsi="Garamond"/>
          </w:rPr>
          <w:delText>ion</w:delText>
        </w:r>
      </w:del>
      <w:r>
        <w:rPr>
          <w:rFonts w:ascii="Garamond" w:hAnsi="Garamond"/>
        </w:rPr>
        <w:t xml:space="preserve"> across our dataset, with group two ranging from 2.4%–29.4% and group one ranging from 3%–52% of the overall return protected by the front-end closure. </w:t>
      </w:r>
    </w:p>
    <w:p w14:paraId="0CCE43E4" w14:textId="77777777" w:rsidR="00CE01B9" w:rsidRDefault="00BA542C" w:rsidP="00A95426">
      <w:pPr>
        <w:pStyle w:val="whitespace-normal"/>
        <w:spacing w:line="480" w:lineRule="auto"/>
        <w:ind w:firstLine="720"/>
        <w:rPr>
          <w:ins w:id="383" w:author="Benjamin J. Makhlouf" w:date="2026-07-08T15:12:00Z" w16du:dateUtc="2026-07-08T22:12:00Z"/>
          <w:rFonts w:ascii="Garamond" w:hAnsi="Garamond"/>
        </w:rPr>
      </w:pPr>
      <w:r>
        <w:rPr>
          <w:rFonts w:ascii="Garamond" w:hAnsi="Garamond"/>
        </w:rPr>
        <w:t xml:space="preserve">Varying the duration of the front-end closure did not change the overall pattern of higher protection afforded to upstream populations. However, an earlier closure date (June 8th) markedly decreased both the median and range of protection for upstream groups; median protection for groups one and two dropped to 5.4% and 6.7%, respectively. In at least one year of our dataset, </w:t>
      </w:r>
      <w:r>
        <w:rPr>
          <w:rFonts w:ascii="Garamond" w:hAnsi="Garamond"/>
        </w:rPr>
        <w:lastRenderedPageBreak/>
        <w:t xml:space="preserve">ending the front-end closure three days early resulted in &lt;1% protection for all groups, and no group received greater than 20% protection in any year. In contrast, extending the front-end closure later than the current date increased median protection across all groups. Groups one and two saw an increase of </w:t>
      </w:r>
      <w:bookmarkStart w:id="384" w:name="_Hlk213834610"/>
      <w:r>
        <w:rPr>
          <w:rFonts w:ascii="Garamond" w:hAnsi="Garamond"/>
        </w:rPr>
        <w:t xml:space="preserve">17.4% and 9.1% in median protection, respectively, by extending the front-end closure three days and the same groups saw a 32.3% and 21.3% </w:t>
      </w:r>
      <w:bookmarkEnd w:id="384"/>
      <w:r>
        <w:rPr>
          <w:rFonts w:ascii="Garamond" w:hAnsi="Garamond"/>
        </w:rPr>
        <w:t xml:space="preserve">increase in protection by extending the front-end closure six days past the current closure date. Importantly, the </w:t>
      </w:r>
      <w:ins w:id="385" w:author="Benjamin J. Makhlouf" w:date="2026-06-23T09:53:00Z" w16du:dateUtc="2026-06-23T16:53:00Z">
        <w:r w:rsidR="00A95426">
          <w:rPr>
            <w:rFonts w:ascii="Garamond" w:hAnsi="Garamond"/>
          </w:rPr>
          <w:t xml:space="preserve">lowest proportional protection in the </w:t>
        </w:r>
      </w:ins>
      <w:del w:id="386" w:author="Benjamin J. Makhlouf" w:date="2026-06-23T09:53:00Z" w16du:dateUtc="2026-06-23T16:53:00Z">
        <w:r w:rsidDel="00A95426">
          <w:rPr>
            <w:rFonts w:ascii="Garamond" w:hAnsi="Garamond"/>
          </w:rPr>
          <w:delText xml:space="preserve">minimum protection values in the </w:delText>
        </w:r>
      </w:del>
      <w:r>
        <w:rPr>
          <w:rFonts w:ascii="Garamond" w:hAnsi="Garamond"/>
        </w:rPr>
        <w:t>three-day extension scenario were similar to the results of the currently implemented closure</w:t>
      </w:r>
      <w:ins w:id="387" w:author="Benjamin J. Makhlouf" w:date="2026-07-08T15:10:00Z" w16du:dateUtc="2026-07-08T22:10:00Z">
        <w:r w:rsidR="00356C95">
          <w:rPr>
            <w:rFonts w:ascii="Garamond" w:hAnsi="Garamond"/>
          </w:rPr>
          <w:t xml:space="preserve">, indicating that in select years extending the front end closure by three days would not provide additional conservation benefit. </w:t>
        </w:r>
      </w:ins>
      <w:del w:id="388" w:author="Benjamin J. Makhlouf" w:date="2026-07-08T15:10:00Z" w16du:dateUtc="2026-07-08T22:10:00Z">
        <w:r w:rsidDel="00356C95">
          <w:rPr>
            <w:rFonts w:ascii="Garamond" w:hAnsi="Garamond"/>
          </w:rPr>
          <w:delText xml:space="preserve">. </w:delText>
        </w:r>
      </w:del>
      <w:r>
        <w:rPr>
          <w:rFonts w:ascii="Garamond" w:hAnsi="Garamond"/>
        </w:rPr>
        <w:t>For a closure ending on June 14</w:t>
      </w:r>
      <w:r>
        <w:rPr>
          <w:rFonts w:ascii="Garamond" w:hAnsi="Garamond"/>
          <w:vertAlign w:val="superscript"/>
        </w:rPr>
        <w:t>th</w:t>
      </w:r>
      <w:r>
        <w:rPr>
          <w:rFonts w:ascii="Garamond" w:hAnsi="Garamond"/>
        </w:rPr>
        <w:t>, the lowest protection afforded to groups one and two was 7.8% and 4.4%, respectively, which are only 4.4% and 2.0% increases over the original closure date. By extending the closure by six days (June 17</w:t>
      </w:r>
      <w:r>
        <w:rPr>
          <w:rFonts w:ascii="Garamond" w:hAnsi="Garamond"/>
          <w:vertAlign w:val="superscript"/>
        </w:rPr>
        <w:t>th</w:t>
      </w:r>
      <w:r>
        <w:rPr>
          <w:rFonts w:ascii="Garamond" w:hAnsi="Garamond"/>
        </w:rPr>
        <w:t xml:space="preserve">), minimum protection values increased more prominently to 21.9% and 14.9% for groups one and two. </w:t>
      </w:r>
    </w:p>
    <w:p w14:paraId="2A9EA7B8" w14:textId="470C9691" w:rsidR="00AB779D" w:rsidRPr="00D0678D" w:rsidRDefault="00BA542C" w:rsidP="00A95426">
      <w:pPr>
        <w:pStyle w:val="whitespace-normal"/>
        <w:spacing w:line="480" w:lineRule="auto"/>
        <w:ind w:firstLine="720"/>
        <w:rPr>
          <w:rFonts w:ascii="Garamond" w:hAnsi="Garamond"/>
        </w:rPr>
      </w:pPr>
      <w:r>
        <w:rPr>
          <w:rFonts w:ascii="Garamond" w:hAnsi="Garamond"/>
        </w:rPr>
        <w:t>While a longer front-end closure provides greater protection to stocks across the basin, it also increases the share of the total return that cannot be harvested. Under the current closure duration, an average of 1</w:t>
      </w:r>
      <w:ins w:id="389" w:author="Benjamin J. Makhlouf" w:date="2026-07-09T09:14:00Z" w16du:dateUtc="2026-07-09T16:14:00Z">
        <w:r w:rsidR="004C4B85">
          <w:rPr>
            <w:rFonts w:ascii="Garamond" w:hAnsi="Garamond"/>
          </w:rPr>
          <w:t>1</w:t>
        </w:r>
      </w:ins>
      <w:del w:id="390" w:author="Benjamin J. Makhlouf" w:date="2026-07-09T09:14:00Z" w16du:dateUtc="2026-07-09T16:14:00Z">
        <w:r w:rsidDel="004C4B85">
          <w:rPr>
            <w:rFonts w:ascii="Garamond" w:hAnsi="Garamond"/>
          </w:rPr>
          <w:delText>2</w:delText>
        </w:r>
      </w:del>
      <w:r>
        <w:rPr>
          <w:rFonts w:ascii="Garamond" w:hAnsi="Garamond"/>
        </w:rPr>
        <w:t>% of the total CPUE fell within the closure period</w:t>
      </w:r>
      <w:ins w:id="391" w:author="Benjamin J. Makhlouf" w:date="2026-07-08T15:16:00Z" w16du:dateUtc="2026-07-08T22:16:00Z">
        <w:r w:rsidR="00CE01B9">
          <w:rPr>
            <w:rFonts w:ascii="Garamond" w:hAnsi="Garamond"/>
          </w:rPr>
          <w:t xml:space="preserve"> </w:t>
        </w:r>
        <w:r w:rsidR="00CE01B9" w:rsidRPr="004C4B85">
          <w:rPr>
            <w:rFonts w:ascii="Garamond" w:hAnsi="Garamond"/>
          </w:rPr>
          <w:t xml:space="preserve">(range </w:t>
        </w:r>
      </w:ins>
      <w:ins w:id="392" w:author="Benjamin J. Makhlouf" w:date="2026-07-09T09:15:00Z" w16du:dateUtc="2026-07-09T16:15:00Z">
        <w:r w:rsidR="004C4B85" w:rsidRPr="004C4B85">
          <w:rPr>
            <w:rFonts w:ascii="Garamond" w:hAnsi="Garamond"/>
            <w:rPrChange w:id="393" w:author="Benjamin J. Makhlouf" w:date="2026-07-09T09:17:00Z" w16du:dateUtc="2026-07-09T16:17:00Z">
              <w:rPr>
                <w:rFonts w:ascii="Garamond" w:hAnsi="Garamond"/>
                <w:highlight w:val="yellow"/>
              </w:rPr>
            </w:rPrChange>
          </w:rPr>
          <w:t xml:space="preserve">= </w:t>
        </w:r>
      </w:ins>
      <w:ins w:id="394" w:author="Benjamin J. Makhlouf" w:date="2026-07-09T09:14:00Z" w16du:dateUtc="2026-07-09T16:14:00Z">
        <w:r w:rsidR="004C4B85" w:rsidRPr="004C4B85">
          <w:rPr>
            <w:rFonts w:ascii="Garamond" w:hAnsi="Garamond"/>
            <w:rPrChange w:id="395" w:author="Benjamin J. Makhlouf" w:date="2026-07-09T09:17:00Z" w16du:dateUtc="2026-07-09T16:17:00Z">
              <w:rPr>
                <w:rFonts w:ascii="Garamond" w:hAnsi="Garamond"/>
                <w:highlight w:val="yellow"/>
              </w:rPr>
            </w:rPrChange>
          </w:rPr>
          <w:t>4.9% - 20.3%</w:t>
        </w:r>
      </w:ins>
      <w:ins w:id="396" w:author="Benjamin J. Makhlouf" w:date="2026-07-08T15:16:00Z" w16du:dateUtc="2026-07-08T22:16:00Z">
        <w:r w:rsidR="00CE01B9" w:rsidRPr="004C4B85">
          <w:rPr>
            <w:rFonts w:ascii="Garamond" w:hAnsi="Garamond"/>
          </w:rPr>
          <w:t>)</w:t>
        </w:r>
      </w:ins>
      <w:r w:rsidRPr="004C4B85">
        <w:rPr>
          <w:rFonts w:ascii="Garamond" w:hAnsi="Garamond"/>
        </w:rPr>
        <w:t>.</w:t>
      </w:r>
      <w:r>
        <w:rPr>
          <w:rFonts w:ascii="Garamond" w:hAnsi="Garamond"/>
        </w:rPr>
        <w:t xml:space="preserve"> Shortening the closure reduces this loss to less than 5% but offers very little protection for upstream stocks (Fig. 5). Extending the closure, by contrast, substantially increases protection for </w:t>
      </w:r>
      <w:ins w:id="397" w:author="Benjamin J. Makhlouf" w:date="2026-07-08T15:14:00Z" w16du:dateUtc="2026-07-08T22:14:00Z">
        <w:r w:rsidR="00CE01B9">
          <w:rPr>
            <w:rFonts w:ascii="Garamond" w:hAnsi="Garamond"/>
          </w:rPr>
          <w:t>upriver</w:t>
        </w:r>
      </w:ins>
      <w:del w:id="398" w:author="Benjamin J. Makhlouf" w:date="2026-07-08T15:14:00Z" w16du:dateUtc="2026-07-08T22:14:00Z">
        <w:r w:rsidDel="00CE01B9">
          <w:rPr>
            <w:rFonts w:ascii="Garamond" w:hAnsi="Garamond"/>
          </w:rPr>
          <w:delText>severa</w:delText>
        </w:r>
      </w:del>
      <w:del w:id="399" w:author="Benjamin J. Makhlouf" w:date="2026-07-08T15:13:00Z" w16du:dateUtc="2026-07-08T22:13:00Z">
        <w:r w:rsidDel="00CE01B9">
          <w:rPr>
            <w:rFonts w:ascii="Garamond" w:hAnsi="Garamond"/>
          </w:rPr>
          <w:delText>l</w:delText>
        </w:r>
      </w:del>
      <w:r>
        <w:rPr>
          <w:rFonts w:ascii="Garamond" w:hAnsi="Garamond"/>
        </w:rPr>
        <w:t xml:space="preserve"> groups; however, an average of 17%</w:t>
      </w:r>
      <w:ins w:id="400" w:author="Benjamin J. Makhlouf" w:date="2026-07-09T09:15:00Z" w16du:dateUtc="2026-07-09T16:15:00Z">
        <w:r w:rsidR="004C4B85">
          <w:rPr>
            <w:rFonts w:ascii="Garamond" w:hAnsi="Garamond"/>
          </w:rPr>
          <w:t xml:space="preserve"> (range = 7.5%</w:t>
        </w:r>
      </w:ins>
      <w:ins w:id="401" w:author="Benjamin J. Makhlouf" w:date="2026-07-13T16:57:00Z" w16du:dateUtc="2026-07-13T23:57:00Z">
        <w:r w:rsidR="004A579B">
          <w:rPr>
            <w:rFonts w:ascii="Garamond" w:hAnsi="Garamond"/>
          </w:rPr>
          <w:t xml:space="preserve"> </w:t>
        </w:r>
      </w:ins>
      <w:ins w:id="402" w:author="Benjamin J. Makhlouf" w:date="2026-07-09T09:15:00Z" w16du:dateUtc="2026-07-09T16:15:00Z">
        <w:r w:rsidR="004C4B85">
          <w:rPr>
            <w:rFonts w:ascii="Garamond" w:hAnsi="Garamond"/>
          </w:rPr>
          <w:t>-</w:t>
        </w:r>
      </w:ins>
      <w:ins w:id="403" w:author="Benjamin J. Makhlouf" w:date="2026-07-13T16:57:00Z" w16du:dateUtc="2026-07-13T23:57:00Z">
        <w:r w:rsidR="004A579B">
          <w:rPr>
            <w:rFonts w:ascii="Garamond" w:hAnsi="Garamond"/>
          </w:rPr>
          <w:t xml:space="preserve"> </w:t>
        </w:r>
      </w:ins>
      <w:ins w:id="404" w:author="Benjamin J. Makhlouf" w:date="2026-07-09T09:15:00Z" w16du:dateUtc="2026-07-09T16:15:00Z">
        <w:r w:rsidR="004C4B85">
          <w:rPr>
            <w:rFonts w:ascii="Garamond" w:hAnsi="Garamond"/>
          </w:rPr>
          <w:t>28.1%)</w:t>
        </w:r>
      </w:ins>
      <w:r>
        <w:rPr>
          <w:rFonts w:ascii="Garamond" w:hAnsi="Garamond"/>
        </w:rPr>
        <w:t xml:space="preserve"> and 24%</w:t>
      </w:r>
      <w:ins w:id="405" w:author="Benjamin J. Makhlouf" w:date="2026-07-09T09:15:00Z" w16du:dateUtc="2026-07-09T16:15:00Z">
        <w:r w:rsidR="004C4B85">
          <w:rPr>
            <w:rFonts w:ascii="Garamond" w:hAnsi="Garamond"/>
          </w:rPr>
          <w:t xml:space="preserve"> (range = 11.9% - 39.6%)</w:t>
        </w:r>
      </w:ins>
      <w:r>
        <w:rPr>
          <w:rFonts w:ascii="Garamond" w:hAnsi="Garamond"/>
        </w:rPr>
        <w:t xml:space="preserve"> of the total potential harvest fell within the front-end closure with a three or six-day extension to the current end date.</w:t>
      </w:r>
      <w:r>
        <w:t xml:space="preserve"> </w:t>
      </w:r>
    </w:p>
    <w:p w14:paraId="31EF3EFC" w14:textId="3BB8BE79" w:rsidR="006A798F" w:rsidRPr="00FC02BD" w:rsidRDefault="000854BE" w:rsidP="007C6331">
      <w:pPr>
        <w:pStyle w:val="whitespace-normal"/>
        <w:numPr>
          <w:ilvl w:val="0"/>
          <w:numId w:val="12"/>
        </w:numPr>
        <w:spacing w:line="480" w:lineRule="auto"/>
        <w:rPr>
          <w:rFonts w:ascii="Garamond" w:hAnsi="Garamond"/>
          <w:b/>
          <w:bCs/>
          <w:sz w:val="32"/>
          <w:szCs w:val="32"/>
          <w:u w:val="single"/>
        </w:rPr>
      </w:pPr>
      <w:commentRangeStart w:id="406"/>
      <w:r>
        <w:rPr>
          <w:rFonts w:ascii="Garamond" w:hAnsi="Garamond"/>
          <w:b/>
          <w:bCs/>
          <w:sz w:val="32"/>
          <w:szCs w:val="32"/>
          <w:u w:val="single"/>
        </w:rPr>
        <w:t>Discussion</w:t>
      </w:r>
      <w:commentRangeEnd w:id="406"/>
      <w:r w:rsidR="00561B04" w:rsidRPr="00FC02BD">
        <w:rPr>
          <w:rStyle w:val="CommentReference"/>
          <w:rFonts w:ascii="Garamond" w:hAnsi="Garamond"/>
          <w:b/>
          <w:bCs/>
          <w:sz w:val="32"/>
          <w:szCs w:val="32"/>
          <w:u w:val="single"/>
        </w:rPr>
        <w:commentReference w:id="406"/>
      </w:r>
    </w:p>
    <w:p w14:paraId="7E471F36" w14:textId="6AD35D60" w:rsidR="00E67672" w:rsidDel="009D3D60" w:rsidRDefault="004504D1" w:rsidP="00256AEE">
      <w:pPr>
        <w:pStyle w:val="whitespace-normal"/>
        <w:spacing w:line="480" w:lineRule="auto"/>
        <w:ind w:firstLine="720"/>
        <w:rPr>
          <w:del w:id="407" w:author="Benjamin J. Makhlouf" w:date="2026-07-09T09:35:00Z" w16du:dateUtc="2026-07-09T16:35:00Z"/>
          <w:rFonts w:ascii="Garamond" w:hAnsi="Garamond"/>
        </w:rPr>
      </w:pPr>
      <w:r>
        <w:rPr>
          <w:rFonts w:ascii="Garamond" w:hAnsi="Garamond"/>
        </w:rPr>
        <w:lastRenderedPageBreak/>
        <w:t xml:space="preserve">The results presented here illustrate the most recent and comprehensive basin-wide quantification of the spatiotemporal patterns of Chinook salmon migrating into the Kuskokwim River. Our data corroborate previously observed relationships between run timing and watershed position of spawning habitat, wherein the earliest returning fish contribute to </w:t>
      </w:r>
      <w:ins w:id="408" w:author="Benjamin J. Makhlouf" w:date="2026-06-23T10:02:00Z" w16du:dateUtc="2026-06-23T17:02:00Z">
        <w:r w:rsidR="007F65C8">
          <w:rPr>
            <w:rFonts w:ascii="Garamond" w:hAnsi="Garamond"/>
          </w:rPr>
          <w:t>tributaries</w:t>
        </w:r>
      </w:ins>
      <w:ins w:id="409" w:author="Benjamin J. Makhlouf" w:date="2026-07-13T16:58:00Z" w16du:dateUtc="2026-07-13T23:58:00Z">
        <w:r w:rsidR="004A579B">
          <w:rPr>
            <w:rFonts w:ascii="Garamond" w:hAnsi="Garamond"/>
          </w:rPr>
          <w:t xml:space="preserve"> </w:t>
        </w:r>
      </w:ins>
      <w:del w:id="410" w:author="Benjamin J. Makhlouf" w:date="2026-06-23T10:02:00Z" w16du:dateUtc="2026-06-23T17:02:00Z">
        <w:r w:rsidDel="007F65C8">
          <w:rPr>
            <w:rFonts w:ascii="Garamond" w:hAnsi="Garamond"/>
          </w:rPr>
          <w:delText xml:space="preserve">watersheds </w:delText>
        </w:r>
      </w:del>
      <w:r>
        <w:rPr>
          <w:rFonts w:ascii="Garamond" w:hAnsi="Garamond"/>
        </w:rPr>
        <w:t>in</w:t>
      </w:r>
      <w:ins w:id="411" w:author="Benjamin J. Makhlouf" w:date="2026-07-13T16:58:00Z" w16du:dateUtc="2026-07-13T23:58:00Z">
        <w:r w:rsidR="004A579B">
          <w:rPr>
            <w:rFonts w:ascii="Garamond" w:hAnsi="Garamond"/>
          </w:rPr>
          <w:t xml:space="preserve"> </w:t>
        </w:r>
      </w:ins>
      <w:del w:id="412" w:author="Benjamin J. Makhlouf" w:date="2026-07-09T09:36:00Z" w16du:dateUtc="2026-07-09T16:36:00Z">
        <w:r w:rsidDel="00EC283C">
          <w:rPr>
            <w:rFonts w:ascii="Garamond" w:hAnsi="Garamond"/>
          </w:rPr>
          <w:delText xml:space="preserve"> </w:delText>
        </w:r>
      </w:del>
      <w:r>
        <w:rPr>
          <w:rFonts w:ascii="Garamond" w:hAnsi="Garamond"/>
        </w:rPr>
        <w:t>the uppermost portions and the latest returning fish return to the furthest downstream portions of the watershed</w:t>
      </w:r>
      <w:ins w:id="413" w:author="Benjamin J. Makhlouf" w:date="2026-07-09T09:17:00Z" w16du:dateUtc="2026-07-09T16:17:00Z">
        <w:r w:rsidR="004C4B85">
          <w:rPr>
            <w:rFonts w:ascii="Garamond" w:hAnsi="Garamond"/>
          </w:rPr>
          <w:t xml:space="preserve"> </w:t>
        </w:r>
      </w:ins>
      <w:ins w:id="414" w:author="Benjamin J. Makhlouf" w:date="2026-07-13T17:12:00Z" w16du:dateUtc="2026-07-14T00:12:00Z">
        <w:r w:rsidR="00BE3061">
          <w:rPr>
            <w:rFonts w:ascii="Garamond" w:hAnsi="Garamond"/>
            <w:highlight w:val="yellow"/>
          </w:rPr>
          <w:t xml:space="preserve">, which was </w:t>
        </w:r>
      </w:ins>
      <w:del w:id="415" w:author="Benjamin J. Makhlouf" w:date="2026-07-13T17:12:00Z" w16du:dateUtc="2026-07-14T00:12:00Z">
        <w:r w:rsidRPr="004A579B" w:rsidDel="00BE3061">
          <w:rPr>
            <w:rFonts w:ascii="Garamond" w:hAnsi="Garamond"/>
            <w:highlight w:val="yellow"/>
            <w:rPrChange w:id="416" w:author="Benjamin J. Makhlouf" w:date="2026-07-13T16:58:00Z" w16du:dateUtc="2026-07-13T23:58:00Z">
              <w:rPr>
                <w:rFonts w:ascii="Garamond" w:hAnsi="Garamond"/>
              </w:rPr>
            </w:rPrChange>
          </w:rPr>
          <w:delText>.</w:delText>
        </w:r>
        <w:r w:rsidDel="00BE3061">
          <w:rPr>
            <w:rFonts w:ascii="Garamond" w:hAnsi="Garamond"/>
          </w:rPr>
          <w:delText xml:space="preserve"> This relationship was </w:delText>
        </w:r>
      </w:del>
      <w:r>
        <w:rPr>
          <w:rFonts w:ascii="Garamond" w:hAnsi="Garamond"/>
        </w:rPr>
        <w:t>consistent throughout our multi-year dataset</w:t>
      </w:r>
      <w:ins w:id="417" w:author="Benjamin J. Makhlouf" w:date="2026-07-08T15:15:00Z" w16du:dateUtc="2026-07-08T22:15:00Z">
        <w:r w:rsidR="00CE01B9">
          <w:rPr>
            <w:rFonts w:ascii="Garamond" w:hAnsi="Garamond"/>
          </w:rPr>
          <w:t xml:space="preserve"> (2017-2022)</w:t>
        </w:r>
      </w:ins>
      <w:del w:id="418" w:author="Benjamin J. Makhlouf" w:date="2026-06-23T10:05:00Z" w16du:dateUtc="2026-06-23T17:05:00Z">
        <w:r w:rsidDel="001E03F0">
          <w:rPr>
            <w:rFonts w:ascii="Garamond" w:hAnsi="Garamond"/>
          </w:rPr>
          <w:delText>, emphasizing the consistency of this pattern</w:delText>
        </w:r>
      </w:del>
      <w:r>
        <w:rPr>
          <w:rFonts w:ascii="Garamond" w:hAnsi="Garamond"/>
        </w:rPr>
        <w:t xml:space="preserve"> </w:t>
      </w:r>
      <w:del w:id="419" w:author="Benjamin J. Makhlouf" w:date="2026-06-23T10:05:00Z" w16du:dateUtc="2026-06-23T17:05:00Z">
        <w:r w:rsidDel="001E03F0">
          <w:rPr>
            <w:rFonts w:ascii="Garamond" w:hAnsi="Garamond"/>
          </w:rPr>
          <w:delText xml:space="preserve">across several generations </w:delText>
        </w:r>
      </w:del>
      <w:r>
        <w:rPr>
          <w:rFonts w:ascii="Garamond" w:hAnsi="Garamond"/>
        </w:rPr>
        <w:t>despite variation in the overall migration timing</w:t>
      </w:r>
      <w:ins w:id="420" w:author="Benjamin J. Makhlouf" w:date="2026-07-09T09:35:00Z" w16du:dateUtc="2026-07-09T16:35:00Z">
        <w:r w:rsidR="00EC283C">
          <w:rPr>
            <w:rFonts w:ascii="Garamond" w:hAnsi="Garamond"/>
          </w:rPr>
          <w:t xml:space="preserve">. </w:t>
        </w:r>
      </w:ins>
      <w:del w:id="421" w:author="Benjamin J. Makhlouf" w:date="2026-07-09T09:34:00Z" w16du:dateUtc="2026-07-09T16:34:00Z">
        <w:r w:rsidDel="00EC283C">
          <w:rPr>
            <w:rFonts w:ascii="Garamond" w:hAnsi="Garamond"/>
          </w:rPr>
          <w:delText xml:space="preserve"> and abundance</w:delText>
        </w:r>
      </w:del>
      <w:del w:id="422" w:author="Benjamin J. Makhlouf" w:date="2026-07-09T09:35:00Z" w16du:dateUtc="2026-07-09T16:35:00Z">
        <w:r w:rsidDel="00EC283C">
          <w:rPr>
            <w:rFonts w:ascii="Garamond" w:hAnsi="Garamond"/>
          </w:rPr>
          <w:delText>.</w:delText>
        </w:r>
      </w:del>
      <w:ins w:id="423" w:author="Benjamin J. Makhlouf" w:date="2026-07-13T17:12:00Z" w16du:dateUtc="2026-07-14T00:12:00Z">
        <w:r w:rsidR="00BE3061">
          <w:rPr>
            <w:rFonts w:ascii="Garamond" w:hAnsi="Garamond"/>
          </w:rPr>
          <w:t>T</w:t>
        </w:r>
      </w:ins>
      <w:ins w:id="424" w:author="Benjamin J. Makhlouf" w:date="2026-07-09T09:55:00Z">
        <w:r w:rsidR="00256AEE" w:rsidRPr="00256AEE">
          <w:rPr>
            <w:rFonts w:ascii="Garamond" w:hAnsi="Garamond"/>
          </w:rPr>
          <w:t>elemetry studies identified similar patterns in</w:t>
        </w:r>
      </w:ins>
      <w:ins w:id="425" w:author="Benjamin J. Makhlouf" w:date="2026-07-13T17:13:00Z" w16du:dateUtc="2026-07-14T00:13:00Z">
        <w:r w:rsidR="00BE3061">
          <w:rPr>
            <w:rFonts w:ascii="Garamond" w:hAnsi="Garamond"/>
          </w:rPr>
          <w:t xml:space="preserve"> relative</w:t>
        </w:r>
      </w:ins>
      <w:ins w:id="426" w:author="Benjamin J. Makhlouf" w:date="2026-07-09T09:55:00Z">
        <w:r w:rsidR="00256AEE" w:rsidRPr="00256AEE">
          <w:rPr>
            <w:rFonts w:ascii="Garamond" w:hAnsi="Garamond"/>
          </w:rPr>
          <w:t xml:space="preserve"> run timing among regions of the watershed, including comparable </w:t>
        </w:r>
      </w:ins>
      <w:ins w:id="427" w:author="Benjamin J. Makhlouf" w:date="2026-07-13T17:13:00Z" w16du:dateUtc="2026-07-14T00:13:00Z">
        <w:r w:rsidR="00BE3061">
          <w:rPr>
            <w:rFonts w:ascii="Garamond" w:hAnsi="Garamond"/>
          </w:rPr>
          <w:t xml:space="preserve">average </w:t>
        </w:r>
      </w:ins>
      <w:ins w:id="428" w:author="Benjamin J. Makhlouf" w:date="2026-07-09T09:57:00Z" w16du:dateUtc="2026-07-09T16:57:00Z">
        <w:r w:rsidR="00256AEE">
          <w:rPr>
            <w:rFonts w:ascii="Garamond" w:hAnsi="Garamond"/>
          </w:rPr>
          <w:t xml:space="preserve">return timing to upper watershed tributaries. </w:t>
        </w:r>
      </w:ins>
      <w:ins w:id="429" w:author="Benjamin J. Makhlouf" w:date="2026-07-09T09:55:00Z">
        <w:r w:rsidR="00256AEE" w:rsidRPr="00256AEE">
          <w:rPr>
            <w:rFonts w:ascii="Garamond" w:hAnsi="Garamond"/>
          </w:rPr>
          <w:t>In one year of overlapping data</w:t>
        </w:r>
      </w:ins>
      <w:ins w:id="430" w:author="Benjamin J. Makhlouf" w:date="2026-07-09T09:58:00Z" w16du:dateUtc="2026-07-09T16:58:00Z">
        <w:r w:rsidR="00256AEE">
          <w:rPr>
            <w:rFonts w:ascii="Garamond" w:hAnsi="Garamond"/>
          </w:rPr>
          <w:t xml:space="preserve"> between telemetry studies and our dataset (2017)</w:t>
        </w:r>
      </w:ins>
      <w:ins w:id="431" w:author="Benjamin J. Makhlouf" w:date="2026-07-09T09:55:00Z">
        <w:r w:rsidR="00256AEE" w:rsidRPr="00256AEE">
          <w:rPr>
            <w:rFonts w:ascii="Garamond" w:hAnsi="Garamond"/>
          </w:rPr>
          <w:t xml:space="preserve">, telemetry observations indicated a four-day difference in median return timing between fish returning to tributaries above McGrath and those returning to the middle watershed, approximately between Aniak and McGrath. </w:t>
        </w:r>
      </w:ins>
      <w:ins w:id="432" w:author="Benjamin J. Makhlouf" w:date="2026-07-09T09:58:00Z" w16du:dateUtc="2026-07-09T16:58:00Z">
        <w:r w:rsidR="00256AEE">
          <w:rPr>
            <w:rFonts w:ascii="Garamond" w:hAnsi="Garamond"/>
          </w:rPr>
          <w:t xml:space="preserve">Although these stock groupings </w:t>
        </w:r>
      </w:ins>
      <w:ins w:id="433" w:author="Benjamin J. Makhlouf" w:date="2026-07-12T17:11:00Z" w16du:dateUtc="2026-07-13T00:11:00Z">
        <w:r w:rsidR="009368EA">
          <w:rPr>
            <w:rFonts w:ascii="Garamond" w:hAnsi="Garamond"/>
          </w:rPr>
          <w:t>are not a dire</w:t>
        </w:r>
      </w:ins>
      <w:ins w:id="434" w:author="Benjamin J. Makhlouf" w:date="2026-07-12T17:12:00Z" w16du:dateUtc="2026-07-13T00:12:00Z">
        <w:r w:rsidR="009368EA">
          <w:rPr>
            <w:rFonts w:ascii="Garamond" w:hAnsi="Garamond"/>
          </w:rPr>
          <w:t xml:space="preserve">ct comparison to our isotope-defined groups, </w:t>
        </w:r>
      </w:ins>
      <w:ins w:id="435" w:author="Benjamin J. Makhlouf" w:date="2026-07-09T09:55:00Z">
        <w:r w:rsidR="00256AEE" w:rsidRPr="00256AEE">
          <w:rPr>
            <w:rFonts w:ascii="Garamond" w:hAnsi="Garamond"/>
          </w:rPr>
          <w:t xml:space="preserve">the observed </w:t>
        </w:r>
      </w:ins>
      <w:ins w:id="436" w:author="Benjamin J. Makhlouf" w:date="2026-07-13T17:13:00Z" w16du:dateUtc="2026-07-14T00:13:00Z">
        <w:r w:rsidR="00BE3061" w:rsidRPr="00256AEE">
          <w:rPr>
            <w:rFonts w:ascii="Garamond" w:hAnsi="Garamond"/>
          </w:rPr>
          <w:t>difference</w:t>
        </w:r>
      </w:ins>
      <w:ins w:id="437" w:author="Benjamin J. Makhlouf" w:date="2026-07-09T09:55:00Z">
        <w:r w:rsidR="00256AEE" w:rsidRPr="00256AEE">
          <w:rPr>
            <w:rFonts w:ascii="Garamond" w:hAnsi="Garamond"/>
          </w:rPr>
          <w:t xml:space="preserve"> in timing </w:t>
        </w:r>
      </w:ins>
      <w:ins w:id="438" w:author="Benjamin J. Makhlouf" w:date="2026-07-09T09:59:00Z" w16du:dateUtc="2026-07-09T16:59:00Z">
        <w:r w:rsidR="00256AEE">
          <w:rPr>
            <w:rFonts w:ascii="Garamond" w:hAnsi="Garamond"/>
          </w:rPr>
          <w:t>is</w:t>
        </w:r>
      </w:ins>
      <w:ins w:id="439" w:author="Benjamin J. Makhlouf" w:date="2026-07-09T09:55:00Z">
        <w:r w:rsidR="00256AEE" w:rsidRPr="00256AEE">
          <w:rPr>
            <w:rFonts w:ascii="Garamond" w:hAnsi="Garamond"/>
          </w:rPr>
          <w:t xml:space="preserve"> broadly consistent with </w:t>
        </w:r>
      </w:ins>
      <w:ins w:id="440" w:author="Benjamin J. Makhlouf" w:date="2026-07-13T17:14:00Z" w16du:dateUtc="2026-07-14T00:14:00Z">
        <w:r w:rsidR="00BE3061">
          <w:rPr>
            <w:rFonts w:ascii="Garamond" w:hAnsi="Garamond"/>
          </w:rPr>
          <w:t xml:space="preserve">our </w:t>
        </w:r>
      </w:ins>
      <w:ins w:id="441" w:author="Benjamin J. Makhlouf" w:date="2026-07-09T09:55:00Z">
        <w:r w:rsidR="00256AEE" w:rsidRPr="00256AEE">
          <w:rPr>
            <w:rFonts w:ascii="Garamond" w:hAnsi="Garamond"/>
          </w:rPr>
          <w:t>observ</w:t>
        </w:r>
      </w:ins>
      <w:ins w:id="442" w:author="Benjamin J. Makhlouf" w:date="2026-07-13T17:14:00Z" w16du:dateUtc="2026-07-14T00:14:00Z">
        <w:r w:rsidR="00BE3061">
          <w:rPr>
            <w:rFonts w:ascii="Garamond" w:hAnsi="Garamond"/>
          </w:rPr>
          <w:t>ations</w:t>
        </w:r>
      </w:ins>
      <w:ins w:id="443" w:author="Benjamin J. Makhlouf" w:date="2026-07-09T09:55:00Z">
        <w:r w:rsidR="00256AEE" w:rsidRPr="00256AEE">
          <w:rPr>
            <w:rFonts w:ascii="Garamond" w:hAnsi="Garamond"/>
          </w:rPr>
          <w:t xml:space="preserve"> </w:t>
        </w:r>
      </w:ins>
      <w:ins w:id="444" w:author="Benjamin J. Makhlouf" w:date="2026-07-13T17:14:00Z" w16du:dateUtc="2026-07-14T00:14:00Z">
        <w:r w:rsidR="00BE3061">
          <w:rPr>
            <w:rFonts w:ascii="Garamond" w:hAnsi="Garamond"/>
          </w:rPr>
          <w:t xml:space="preserve">between </w:t>
        </w:r>
      </w:ins>
      <w:ins w:id="445" w:author="Benjamin J. Makhlouf" w:date="2026-07-09T10:01:00Z" w16du:dateUtc="2026-07-09T17:01:00Z">
        <w:r w:rsidR="009D3E39">
          <w:rPr>
            <w:rFonts w:ascii="Garamond" w:hAnsi="Garamond"/>
          </w:rPr>
          <w:t>g</w:t>
        </w:r>
      </w:ins>
      <w:ins w:id="446" w:author="Benjamin J. Makhlouf" w:date="2026-07-09T09:55:00Z">
        <w:r w:rsidR="00256AEE" w:rsidRPr="00256AEE">
          <w:rPr>
            <w:rFonts w:ascii="Garamond" w:hAnsi="Garamond"/>
          </w:rPr>
          <w:t xml:space="preserve">roups </w:t>
        </w:r>
      </w:ins>
      <w:ins w:id="447" w:author="Benjamin J. Makhlouf" w:date="2026-07-09T10:01:00Z" w16du:dateUtc="2026-07-09T17:01:00Z">
        <w:r w:rsidR="009D3E39">
          <w:rPr>
            <w:rFonts w:ascii="Garamond" w:hAnsi="Garamond"/>
          </w:rPr>
          <w:t>one</w:t>
        </w:r>
      </w:ins>
      <w:ins w:id="448" w:author="Benjamin J. Makhlouf" w:date="2026-07-09T09:55:00Z">
        <w:r w:rsidR="00256AEE" w:rsidRPr="00256AEE">
          <w:rPr>
            <w:rFonts w:ascii="Garamond" w:hAnsi="Garamond"/>
          </w:rPr>
          <w:t xml:space="preserve"> and </w:t>
        </w:r>
      </w:ins>
      <w:ins w:id="449" w:author="Benjamin J. Makhlouf" w:date="2026-07-09T10:01:00Z" w16du:dateUtc="2026-07-09T17:01:00Z">
        <w:r w:rsidR="009D3E39">
          <w:rPr>
            <w:rFonts w:ascii="Garamond" w:hAnsi="Garamond"/>
          </w:rPr>
          <w:t>two</w:t>
        </w:r>
      </w:ins>
      <w:ins w:id="450" w:author="Benjamin J. Makhlouf" w:date="2026-07-09T09:55:00Z">
        <w:r w:rsidR="00256AEE" w:rsidRPr="00256AEE">
          <w:rPr>
            <w:rFonts w:ascii="Garamond" w:hAnsi="Garamond"/>
          </w:rPr>
          <w:t xml:space="preserve">, </w:t>
        </w:r>
        <w:r w:rsidR="00256AEE" w:rsidRPr="00BE3061">
          <w:rPr>
            <w:rFonts w:ascii="Garamond" w:hAnsi="Garamond"/>
            <w:highlight w:val="yellow"/>
            <w:rPrChange w:id="451" w:author="Benjamin J. Makhlouf" w:date="2026-07-13T17:14:00Z" w16du:dateUtc="2026-07-14T00:14:00Z">
              <w:rPr>
                <w:rFonts w:ascii="Garamond" w:hAnsi="Garamond"/>
              </w:rPr>
            </w:rPrChange>
          </w:rPr>
          <w:t>which primarily occur within these regions</w:t>
        </w:r>
      </w:ins>
      <w:ins w:id="452" w:author="Benjamin J. Makhlouf" w:date="2026-07-09T13:31:00Z" w16du:dateUtc="2026-07-09T20:31:00Z">
        <w:r w:rsidR="00005DA6" w:rsidRPr="00BE3061">
          <w:rPr>
            <w:rFonts w:ascii="Garamond" w:hAnsi="Garamond"/>
            <w:highlight w:val="yellow"/>
            <w:rPrChange w:id="453" w:author="Benjamin J. Makhlouf" w:date="2026-07-13T17:14:00Z" w16du:dateUtc="2026-07-14T00:14:00Z">
              <w:rPr>
                <w:rFonts w:ascii="Garamond" w:hAnsi="Garamond"/>
              </w:rPr>
            </w:rPrChange>
          </w:rPr>
          <w:t xml:space="preserve"> (Liller et al., x)</w:t>
        </w:r>
      </w:ins>
      <w:ins w:id="454" w:author="Benjamin J. Makhlouf" w:date="2026-07-13T17:14:00Z" w16du:dateUtc="2026-07-14T00:14:00Z">
        <w:r w:rsidR="00BE3061" w:rsidRPr="00BE3061">
          <w:rPr>
            <w:rFonts w:ascii="Garamond" w:hAnsi="Garamond"/>
            <w:highlight w:val="yellow"/>
            <w:rPrChange w:id="455" w:author="Benjamin J. Makhlouf" w:date="2026-07-13T17:14:00Z" w16du:dateUtc="2026-07-14T00:14:00Z">
              <w:rPr>
                <w:rFonts w:ascii="Garamond" w:hAnsi="Garamond"/>
              </w:rPr>
            </w:rPrChange>
          </w:rPr>
          <w:t>.</w:t>
        </w:r>
        <w:r w:rsidR="00BE3061">
          <w:rPr>
            <w:rFonts w:ascii="Garamond" w:hAnsi="Garamond"/>
          </w:rPr>
          <w:t xml:space="preserve"> </w:t>
        </w:r>
      </w:ins>
    </w:p>
    <w:p w14:paraId="476F8195" w14:textId="4615E73D" w:rsidR="00450ED3" w:rsidRPr="00EC283C" w:rsidRDefault="00EE2B9C" w:rsidP="00005DA6">
      <w:pPr>
        <w:pStyle w:val="whitespace-normal"/>
        <w:spacing w:line="480" w:lineRule="auto"/>
        <w:ind w:firstLine="720"/>
        <w:rPr>
          <w:rStyle w:val="Strong"/>
          <w:rFonts w:ascii="Garamond" w:hAnsi="Garamond"/>
          <w:b w:val="0"/>
          <w:bCs w:val="0"/>
          <w:rPrChange w:id="456" w:author="Benjamin J. Makhlouf" w:date="2026-07-09T09:32:00Z" w16du:dateUtc="2026-07-09T16:32:00Z">
            <w:rPr>
              <w:rStyle w:val="Strong"/>
              <w:rFonts w:ascii="Garamond" w:eastAsiaTheme="majorEastAsia" w:hAnsi="Garamond" w:cstheme="minorBidi"/>
              <w:b w:val="0"/>
              <w:bCs w:val="0"/>
              <w:kern w:val="2"/>
              <w14:ligatures w14:val="standardContextual"/>
            </w:rPr>
          </w:rPrChange>
        </w:rPr>
      </w:pPr>
      <w:commentRangeStart w:id="457"/>
      <w:r>
        <w:rPr>
          <w:rFonts w:ascii="Garamond" w:hAnsi="Garamond"/>
        </w:rPr>
        <w:t>A</w:t>
      </w:r>
      <w:commentRangeEnd w:id="457"/>
      <w:r w:rsidR="009D3D60">
        <w:rPr>
          <w:rStyle w:val="CommentReference"/>
          <w:rFonts w:ascii="Garamond" w:hAnsi="Garamond"/>
          <w:sz w:val="24"/>
          <w:szCs w:val="24"/>
        </w:rPr>
        <w:commentReference w:id="457"/>
      </w:r>
      <w:r>
        <w:rPr>
          <w:rFonts w:ascii="Garamond" w:hAnsi="Garamond"/>
        </w:rPr>
        <w:t xml:space="preserve"> clear pattern of early-returning upriver populations supports the front-end closure’s objective of protecting these fish from downriver harvest and providing more equitable harvest opportunities</w:t>
      </w:r>
      <w:ins w:id="458" w:author="Benjamin J. Makhlouf" w:date="2026-07-09T09:34:00Z" w16du:dateUtc="2026-07-09T16:34:00Z">
        <w:r w:rsidR="00EC283C">
          <w:rPr>
            <w:rFonts w:ascii="Garamond" w:hAnsi="Garamond"/>
          </w:rPr>
          <w:t xml:space="preserve"> </w:t>
        </w:r>
      </w:ins>
      <w:r>
        <w:rPr>
          <w:rStyle w:val="CommentReference"/>
          <w:rFonts w:asciiTheme="minorHAnsi" w:eastAsiaTheme="minorHAnsi" w:hAnsiTheme="minorHAnsi" w:cstheme="minorBidi"/>
          <w:kern w:val="2"/>
          <w14:ligatures w14:val="standardContextual"/>
        </w:rPr>
        <w:t xml:space="preserve"> </w:t>
      </w:r>
      <w:r>
        <w:rPr>
          <w:rFonts w:ascii="Garamond" w:hAnsi="Garamond"/>
        </w:rPr>
        <w:t>in the upper watershed. Upper Kuskokwim groups contributed substantially to early-season migrants (i.e. group two); however, the furthest upstream populations (group one) consistently represented only a small portion of total basin-wide returns in our dataset</w:t>
      </w:r>
      <w:ins w:id="459" w:author="Benjamin J. Makhlouf" w:date="2026-07-09T13:29:00Z" w16du:dateUtc="2026-07-09T20:29:00Z">
        <w:r w:rsidR="00005DA6">
          <w:rPr>
            <w:rFonts w:ascii="Garamond" w:hAnsi="Garamond"/>
          </w:rPr>
          <w:t xml:space="preserve"> (F</w:t>
        </w:r>
      </w:ins>
      <w:ins w:id="460" w:author="Benjamin J. Makhlouf" w:date="2026-07-09T13:30:00Z" w16du:dateUtc="2026-07-09T20:30:00Z">
        <w:r w:rsidR="00005DA6">
          <w:rPr>
            <w:rFonts w:ascii="Garamond" w:hAnsi="Garamond"/>
          </w:rPr>
          <w:t xml:space="preserve">ig. </w:t>
        </w:r>
      </w:ins>
      <w:ins w:id="461" w:author="Benjamin J. Makhlouf" w:date="2026-07-09T13:31:00Z" w16du:dateUtc="2026-07-09T20:31:00Z">
        <w:r w:rsidR="00005DA6">
          <w:rPr>
            <w:rFonts w:ascii="Garamond" w:hAnsi="Garamond"/>
          </w:rPr>
          <w:t>3b)</w:t>
        </w:r>
      </w:ins>
      <w:ins w:id="462" w:author="Benjamin J. Makhlouf" w:date="2026-07-13T17:15:00Z" w16du:dateUtc="2026-07-14T00:15:00Z">
        <w:r w:rsidR="00BE3061">
          <w:rPr>
            <w:rFonts w:ascii="Garamond" w:hAnsi="Garamond"/>
          </w:rPr>
          <w:t xml:space="preserve">. </w:t>
        </w:r>
      </w:ins>
      <w:del w:id="463" w:author="Benjamin J. Makhlouf" w:date="2026-07-09T13:31:00Z" w16du:dateUtc="2026-07-09T20:31:00Z">
        <w:r w:rsidDel="00005DA6">
          <w:rPr>
            <w:rFonts w:ascii="Garamond" w:hAnsi="Garamond"/>
          </w:rPr>
          <w:delText xml:space="preserve">. </w:delText>
        </w:r>
      </w:del>
      <w:r>
        <w:rPr>
          <w:rFonts w:ascii="Garamond" w:hAnsi="Garamond"/>
        </w:rPr>
        <w:t xml:space="preserve">Despite this variation in abundance, individuals in both upper watershed groups returned early in the migration season. As such, the front-end closure strategy as it is currently implemented provides </w:t>
      </w:r>
      <w:r>
        <w:rPr>
          <w:rFonts w:ascii="Garamond" w:hAnsi="Garamond"/>
        </w:rPr>
        <w:lastRenderedPageBreak/>
        <w:t xml:space="preserve">harvest protection to </w:t>
      </w:r>
      <w:ins w:id="464" w:author="Benjamin J. Makhlouf" w:date="2026-07-13T17:15:00Z" w16du:dateUtc="2026-07-14T00:15:00Z">
        <w:r w:rsidR="00BE3061">
          <w:rPr>
            <w:rFonts w:ascii="Garamond" w:hAnsi="Garamond"/>
          </w:rPr>
          <w:t xml:space="preserve">both </w:t>
        </w:r>
      </w:ins>
      <w:del w:id="465" w:author="Benjamin J. Makhlouf" w:date="2026-07-13T17:15:00Z" w16du:dateUtc="2026-07-14T00:15:00Z">
        <w:r w:rsidDel="00BE3061">
          <w:rPr>
            <w:rFonts w:ascii="Garamond" w:hAnsi="Garamond"/>
          </w:rPr>
          <w:delText xml:space="preserve">upper watershed </w:delText>
        </w:r>
      </w:del>
      <w:r>
        <w:rPr>
          <w:rFonts w:ascii="Garamond" w:hAnsi="Garamond"/>
        </w:rPr>
        <w:t xml:space="preserve">populations regardless of their overall abundance. For relatively small stocks such as those found in group one, this strategy may be particularly important for preserving biodiversity by preventing overharvest very early in the season when they may be co-migrating with much more abundant populations such as those in group two. Protecting these populations, despite relatively low returns, </w:t>
      </w:r>
      <w:ins w:id="466" w:author="Benjamin J. Makhlouf" w:date="2026-07-13T17:16:00Z" w16du:dateUtc="2026-07-14T00:16:00Z">
        <w:r w:rsidR="00BE3061">
          <w:rPr>
            <w:rFonts w:ascii="Garamond" w:hAnsi="Garamond"/>
          </w:rPr>
          <w:t xml:space="preserve">helps to maintain </w:t>
        </w:r>
      </w:ins>
      <w:del w:id="467" w:author="Benjamin J. Makhlouf" w:date="2026-07-13T17:16:00Z" w16du:dateUtc="2026-07-14T00:16:00Z">
        <w:r w:rsidDel="00BE3061">
          <w:rPr>
            <w:rStyle w:val="Strong"/>
            <w:rFonts w:ascii="Garamond" w:eastAsiaTheme="majorEastAsia" w:hAnsi="Garamond"/>
            <w:b w:val="0"/>
            <w:bCs w:val="0"/>
          </w:rPr>
          <w:delText xml:space="preserve">contributes to maintaining </w:delText>
        </w:r>
      </w:del>
      <w:r>
        <w:rPr>
          <w:rStyle w:val="Strong"/>
          <w:rFonts w:ascii="Garamond" w:eastAsiaTheme="majorEastAsia" w:hAnsi="Garamond"/>
          <w:b w:val="0"/>
          <w:bCs w:val="0"/>
        </w:rPr>
        <w:t xml:space="preserve">basin-wide biodiversity and may contribute to adaptive capacity at the basin scale as less dominant sub-stocks can become more productive over longer time frames </w:t>
      </w:r>
      <w:r>
        <w:rPr>
          <w:rStyle w:val="Strong"/>
          <w:rFonts w:ascii="Garamond" w:eastAsiaTheme="majorEastAsia" w:hAnsi="Garamond"/>
          <w:b w:val="0"/>
          <w:bCs w:val="0"/>
        </w:rPr>
        <w:fldChar w:fldCharType="begin"/>
      </w:r>
      <w:r>
        <w:rPr>
          <w:rStyle w:val="Strong"/>
          <w:rFonts w:ascii="Garamond" w:eastAsiaTheme="majorEastAsia" w:hAnsi="Garamond"/>
          <w:b w:val="0"/>
          <w:bCs w:val="0"/>
        </w:rPr>
        <w:instrText xml:space="preserve"> ADDIN ZOTERO_ITEM CSL_CITATION {"citationID":"8jDPVp1V","properties":{"formattedCitation":"(Hilborn et al., 2003; Schindler et al., 2010)","plainCitation":"(Hilborn et al., 2003; Schindler et al., 2010)","noteIndex":0},"citationItems":[{"id":3359,"uris":["http://zotero.org/users/8421274/items/F3IVX7SS"],"itemData":{"id":3359,"type":"article-journal","abstract":"A classic example of a sustainable fishery is that targeting sockeye salmon in Bristol Bay, Alaska, where record catches have occurred during the last 20 years. The stock complex is an amalgamation of several hundred discrete spawning populations. Structured within lake systems, individual populations display diverse life history characteristics and local adaptations to the variation in spawning and rearing habitats. This biocomplexity has enabled the aggregate of populations to sustain its productivity despite major changes in climatic conditions affecting the freshwater and marine environments during the last century. Different geographic and life history components that were minor producers during one climatic regime have dominated during others, emphasizing that the biocomplexity of fish stocks is critical for maintaining their resilience to environmental change.","container-title":"Proceedings of the National Academy of Sciences","DOI":"10.1073/pnas.1037274100","issue":"11","page":"6564-6568","publisher":"Proceedings of the National Academy of Sciences","source":"pnas.org (Atypon)","title":"Biocomplexity and fisheries sustainability","volume":"100","author":[{"family":"Hilborn","given":"Ray"},{"family":"Quinn","given":"Thomas P."},{"family":"Schindler","given":"Daniel E."},{"family":"Rogers","given":"Donald E."}],"issued":{"date-parts":[["2003",5,27]]}}},{"id":272,"uris":["http://zotero.org/users/8421274/items/24NDGS7V"],"itemData":{"id":272,"type":"article-journal","abstract":"One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Style w:val="Strong"/>
          <w:rFonts w:ascii="Garamond" w:eastAsiaTheme="majorEastAsia" w:hAnsi="Garamond"/>
          <w:b w:val="0"/>
          <w:bCs w:val="0"/>
        </w:rPr>
        <w:fldChar w:fldCharType="separate"/>
      </w:r>
      <w:r>
        <w:rPr>
          <w:rStyle w:val="Strong"/>
          <w:rFonts w:ascii="Garamond" w:eastAsiaTheme="majorEastAsia" w:hAnsi="Garamond"/>
          <w:b w:val="0"/>
          <w:bCs w:val="0"/>
          <w:noProof/>
        </w:rPr>
        <w:t>(Hilborn et al., 2003; Schindler et al., 2010)</w:t>
      </w:r>
      <w:r>
        <w:rPr>
          <w:rStyle w:val="Strong"/>
          <w:rFonts w:ascii="Garamond" w:eastAsiaTheme="majorEastAsia" w:hAnsi="Garamond"/>
          <w:b w:val="0"/>
          <w:bCs w:val="0"/>
        </w:rPr>
        <w:fldChar w:fldCharType="end"/>
      </w:r>
      <w:r>
        <w:rPr>
          <w:rStyle w:val="Strong"/>
          <w:rFonts w:ascii="Garamond" w:eastAsiaTheme="majorEastAsia" w:hAnsi="Garamond"/>
          <w:b w:val="0"/>
          <w:bCs w:val="0"/>
        </w:rPr>
        <w:t xml:space="preserve">. </w:t>
      </w:r>
    </w:p>
    <w:p w14:paraId="1DD5BDE7" w14:textId="77777777" w:rsidR="00BE3061" w:rsidRDefault="005312E0" w:rsidP="00BE3061">
      <w:pPr>
        <w:pStyle w:val="whitespace-normal"/>
        <w:spacing w:line="480" w:lineRule="auto"/>
        <w:ind w:firstLine="720"/>
        <w:rPr>
          <w:ins w:id="468" w:author="Benjamin J. Makhlouf" w:date="2026-07-13T17:20:00Z" w16du:dateUtc="2026-07-14T00:20:00Z"/>
          <w:rFonts w:ascii="Garamond" w:hAnsi="Garamond"/>
        </w:rPr>
      </w:pPr>
      <w:r>
        <w:rPr>
          <w:rFonts w:ascii="Garamond" w:hAnsi="Garamond"/>
        </w:rPr>
        <w:t xml:space="preserve">Despite a consistent overall relationship between watershed position and migration timing, we observed substantial interannual variability in both the proportional contributions of regional groups to the total run </w:t>
      </w:r>
      <w:ins w:id="469" w:author="Benjamin J. Makhlouf" w:date="2026-07-13T17:17:00Z" w16du:dateUtc="2026-07-14T00:17:00Z">
        <w:r w:rsidR="00BE3061">
          <w:rPr>
            <w:rFonts w:ascii="Garamond" w:hAnsi="Garamond"/>
          </w:rPr>
          <w:t xml:space="preserve">(Fig. 3b) </w:t>
        </w:r>
      </w:ins>
      <w:r>
        <w:rPr>
          <w:rFonts w:ascii="Garamond" w:hAnsi="Garamond"/>
        </w:rPr>
        <w:t>and the proportional protection afforded by the front-end closure strategy</w:t>
      </w:r>
      <w:ins w:id="470" w:author="Benjamin J. Makhlouf" w:date="2026-07-13T17:17:00Z" w16du:dateUtc="2026-07-14T00:17:00Z">
        <w:r w:rsidR="00BE3061">
          <w:rPr>
            <w:rFonts w:ascii="Garamond" w:hAnsi="Garamond"/>
          </w:rPr>
          <w:t xml:space="preserve"> (Fig. 5). </w:t>
        </w:r>
      </w:ins>
      <w:del w:id="471" w:author="Benjamin J. Makhlouf" w:date="2026-07-13T17:16:00Z" w16du:dateUtc="2026-07-14T00:16:00Z">
        <w:r w:rsidDel="00BE3061">
          <w:rPr>
            <w:rFonts w:ascii="Garamond" w:hAnsi="Garamond"/>
          </w:rPr>
          <w:delText>.</w:delText>
        </w:r>
      </w:del>
      <w:del w:id="472" w:author="Benjamin J. Makhlouf" w:date="2026-07-13T17:17:00Z" w16du:dateUtc="2026-07-14T00:17:00Z">
        <w:r w:rsidDel="00BE3061">
          <w:rPr>
            <w:rFonts w:ascii="Garamond" w:hAnsi="Garamond"/>
          </w:rPr>
          <w:delText xml:space="preserve"> </w:delText>
        </w:r>
      </w:del>
      <w:r>
        <w:rPr>
          <w:rFonts w:ascii="Garamond" w:hAnsi="Garamond"/>
        </w:rPr>
        <w:t>Variability in spatial patterns of production align</w:t>
      </w:r>
      <w:del w:id="473" w:author="Benjamin J. Makhlouf" w:date="2026-07-13T17:17:00Z" w16du:dateUtc="2026-07-14T00:17:00Z">
        <w:r w:rsidDel="00BE3061">
          <w:rPr>
            <w:rFonts w:ascii="Garamond" w:hAnsi="Garamond"/>
          </w:rPr>
          <w:delText>s</w:delText>
        </w:r>
      </w:del>
      <w:r>
        <w:rPr>
          <w:rFonts w:ascii="Garamond" w:hAnsi="Garamond"/>
        </w:rPr>
        <w:t xml:space="preserve"> with well-documented variability in salmon life histories and previously observed shifts in habitat use across annual timescales </w:t>
      </w:r>
      <w:r>
        <w:rPr>
          <w:rFonts w:ascii="Garamond" w:hAnsi="Garamond"/>
        </w:rPr>
        <w:fldChar w:fldCharType="begin"/>
      </w:r>
      <w:r>
        <w:rPr>
          <w:rFonts w:ascii="Garamond" w:hAnsi="Garamond"/>
        </w:rPr>
        <w:instrText xml:space="preserve"> ADDIN ZOTERO_ITEM CSL_CITATION {"citationID":"xeiQXhMP","properties":{"formattedCitation":"(Brennan et al., 2019; Schindler et al., 2010)","plainCitation":"(Brennan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rPr>
        <w:fldChar w:fldCharType="separate"/>
      </w:r>
      <w:r>
        <w:rPr>
          <w:rFonts w:ascii="Garamond" w:hAnsi="Garamond"/>
          <w:noProof/>
        </w:rPr>
        <w:t>(Brennan et al., 2019; Schindler et al., 2010)</w:t>
      </w:r>
      <w:r>
        <w:rPr>
          <w:rFonts w:ascii="Garamond" w:hAnsi="Garamond"/>
        </w:rPr>
        <w:fldChar w:fldCharType="end"/>
      </w:r>
      <w:r>
        <w:rPr>
          <w:rFonts w:ascii="Garamond" w:hAnsi="Garamond"/>
        </w:rPr>
        <w:t xml:space="preserve">. However, variability in the efficacy of the front-end closure also likely reflects the interaction between run dynamics and management strategies that operate on a fixed calendar date. Because the closure is implemented on a fixed schedule, interannual variation in migration timing means that the proportion of the run occurring within the closure window </w:t>
      </w:r>
      <w:commentRangeStart w:id="474"/>
      <w:r>
        <w:rPr>
          <w:rFonts w:ascii="Garamond" w:hAnsi="Garamond"/>
        </w:rPr>
        <w:t>depends on both the timing (early vs. late) and duration (compressed vs. protracted) of the overall migration</w:t>
      </w:r>
      <w:commentRangeEnd w:id="474"/>
      <w:r w:rsidR="0033663A">
        <w:rPr>
          <w:rStyle w:val="CommentReference"/>
          <w:rFonts w:ascii="Garamond" w:hAnsi="Garamond"/>
          <w:sz w:val="24"/>
          <w:szCs w:val="24"/>
        </w:rPr>
        <w:commentReference w:id="474"/>
      </w:r>
      <w:r>
        <w:rPr>
          <w:rFonts w:ascii="Garamond" w:hAnsi="Garamond"/>
        </w:rPr>
        <w:t xml:space="preserve">. Late return timing or extended run duration may result in less proportional contribution within the closure window as compared to earlier returning and less protracted run timing. </w:t>
      </w:r>
      <w:del w:id="475" w:author="Benjamin J. Makhlouf" w:date="2026-07-13T17:19:00Z" w16du:dateUtc="2026-07-14T00:19:00Z">
        <w:r w:rsidDel="00BE3061">
          <w:rPr>
            <w:rFonts w:ascii="Garamond" w:hAnsi="Garamond"/>
          </w:rPr>
          <w:delText xml:space="preserve">As a result, both the amount and distribution of populations afforded protection depend on this interaction. </w:delText>
        </w:r>
      </w:del>
      <w:r>
        <w:rPr>
          <w:rFonts w:ascii="Garamond" w:hAnsi="Garamond"/>
        </w:rPr>
        <w:t>When combined with natural variability in basin-wide production patterns, this may introduce substantial variability in the population-specific effect of the front-end closure</w:t>
      </w:r>
      <w:ins w:id="476" w:author="Benjamin J. Makhlouf" w:date="2026-07-13T17:20:00Z" w16du:dateUtc="2026-07-14T00:20:00Z">
        <w:r w:rsidR="00BE3061">
          <w:rPr>
            <w:rFonts w:ascii="Garamond" w:hAnsi="Garamond"/>
          </w:rPr>
          <w:t xml:space="preserve">, </w:t>
        </w:r>
        <w:r w:rsidR="00BE3061">
          <w:rPr>
            <w:rFonts w:ascii="Garamond" w:hAnsi="Garamond"/>
          </w:rPr>
          <w:lastRenderedPageBreak/>
          <w:t xml:space="preserve">highlighting </w:t>
        </w:r>
      </w:ins>
      <w:del w:id="477" w:author="Benjamin J. Makhlouf" w:date="2026-07-13T17:20:00Z" w16du:dateUtc="2026-07-14T00:20:00Z">
        <w:r w:rsidDel="00BE3061">
          <w:rPr>
            <w:rFonts w:ascii="Garamond" w:hAnsi="Garamond"/>
          </w:rPr>
          <w:delText>.</w:delText>
        </w:r>
      </w:del>
      <w:del w:id="478" w:author="Benjamin J. Makhlouf" w:date="2026-07-09T13:38:00Z" w16du:dateUtc="2026-07-09T20:38:00Z">
        <w:r w:rsidDel="00005DA6">
          <w:rPr>
            <w:rFonts w:ascii="Garamond" w:hAnsi="Garamond"/>
          </w:rPr>
          <w:delText xml:space="preserve"> </w:delText>
        </w:r>
      </w:del>
      <w:del w:id="479" w:author="Benjamin J. Makhlouf" w:date="2026-07-13T17:20:00Z" w16du:dateUtc="2026-07-14T00:20:00Z">
        <w:r w:rsidDel="00BE3061">
          <w:rPr>
            <w:rFonts w:ascii="Garamond" w:hAnsi="Garamond"/>
          </w:rPr>
          <w:delText xml:space="preserve">These results suggest </w:delText>
        </w:r>
      </w:del>
      <w:r>
        <w:rPr>
          <w:rFonts w:ascii="Garamond" w:hAnsi="Garamond"/>
        </w:rPr>
        <w:t>a potential limitation of a fixed date closure and highlight the difficulty of managing for a dynamic ecosystem with fixed-duration management.</w:t>
      </w:r>
    </w:p>
    <w:p w14:paraId="690B8EFD" w14:textId="040D338E" w:rsidR="009C3FA5" w:rsidRPr="00313872" w:rsidRDefault="005312E0" w:rsidP="00BE3061">
      <w:pPr>
        <w:pStyle w:val="whitespace-normal"/>
        <w:spacing w:line="480" w:lineRule="auto"/>
        <w:ind w:firstLine="720"/>
        <w:rPr>
          <w:rFonts w:ascii="Garamond" w:hAnsi="Garamond"/>
          <w:rPrChange w:id="480" w:author="Benjamin J. Makhlouf" w:date="2026-07-09T13:44:00Z" w16du:dateUtc="2026-07-09T20:44:00Z">
            <w:rPr/>
          </w:rPrChange>
        </w:rPr>
      </w:pPr>
      <w:r>
        <w:rPr>
          <w:rFonts w:ascii="Garamond" w:hAnsi="Garamond"/>
        </w:rPr>
        <w:t xml:space="preserve"> </w:t>
      </w:r>
      <w:ins w:id="481" w:author="Benjamin J. Makhlouf" w:date="2026-07-09T19:42:00Z">
        <w:r w:rsidR="00B7081E" w:rsidRPr="00B7081E">
          <w:rPr>
            <w:rFonts w:ascii="Garamond" w:hAnsi="Garamond"/>
          </w:rPr>
          <w:t>In the absence of detailed information on basin-wide spatial ecology, a fixed-date closure provides a practical management approach that offers a predictable harvest window for fishers. The results presented here suggest that this strategy has been largely effective despite limited knowledge of population-specific migration patterns.</w:t>
        </w:r>
      </w:ins>
      <w:ins w:id="482" w:author="Benjamin J. Makhlouf" w:date="2026-07-13T17:20:00Z" w16du:dateUtc="2026-07-14T00:20:00Z">
        <w:r w:rsidR="00BE3061">
          <w:rPr>
            <w:rFonts w:ascii="Garamond" w:hAnsi="Garamond"/>
          </w:rPr>
          <w:t xml:space="preserve"> </w:t>
        </w:r>
      </w:ins>
      <w:ins w:id="483" w:author="Benjamin J. Makhlouf" w:date="2026-07-09T13:53:00Z" w16du:dateUtc="2026-07-09T20:53:00Z">
        <w:r w:rsidR="0065735E">
          <w:rPr>
            <w:rFonts w:ascii="Garamond" w:hAnsi="Garamond"/>
          </w:rPr>
          <w:t>However, a</w:t>
        </w:r>
      </w:ins>
      <w:del w:id="484" w:author="Benjamin J. Makhlouf" w:date="2026-07-09T13:54:00Z" w16du:dateUtc="2026-07-09T20:54:00Z">
        <w:r w:rsidDel="0065735E">
          <w:rPr>
            <w:rFonts w:ascii="Garamond" w:hAnsi="Garamond"/>
          </w:rPr>
          <w:delText>A</w:delText>
        </w:r>
      </w:del>
      <w:r>
        <w:rPr>
          <w:rFonts w:ascii="Garamond" w:hAnsi="Garamond"/>
        </w:rPr>
        <w:t xml:space="preserve"> more dynamic closure which is responsive to predicted or observed run dynamics may provide more consistent protection to upstream populations. </w:t>
      </w:r>
      <w:ins w:id="485" w:author="Benjamin J. Makhlouf" w:date="2026-07-09T19:43:00Z">
        <w:r w:rsidR="00B7081E" w:rsidRPr="00B7081E">
          <w:rPr>
            <w:rFonts w:ascii="Garamond" w:hAnsi="Garamond"/>
          </w:rPr>
          <w:t xml:space="preserve">Implementing such an approach would require accurate forecasts of both the onset of the run and the relative timing of migration among subpopulations. Although </w:t>
        </w:r>
      </w:ins>
      <w:ins w:id="486" w:author="Benjamin J. Makhlouf" w:date="2026-07-13T17:20:00Z" w16du:dateUtc="2026-07-14T00:20:00Z">
        <w:r w:rsidR="00BE3061">
          <w:rPr>
            <w:rFonts w:ascii="Garamond" w:hAnsi="Garamond"/>
          </w:rPr>
          <w:t xml:space="preserve">our results </w:t>
        </w:r>
      </w:ins>
      <w:ins w:id="487" w:author="Benjamin J. Makhlouf" w:date="2026-07-09T19:43:00Z">
        <w:r w:rsidR="00B7081E" w:rsidRPr="00B7081E">
          <w:rPr>
            <w:rFonts w:ascii="Garamond" w:hAnsi="Garamond"/>
          </w:rPr>
          <w:t xml:space="preserve"> indicate broadly consistent differences in migration timing among groups, the greater interannual variability observed for upper watershed populations illustrates the difficulty of designing a dynamic closure that reliably protects a consistent proportion of these stocks.</w:t>
        </w:r>
      </w:ins>
      <w:ins w:id="488" w:author="Benjamin J. Makhlouf" w:date="2026-07-09T19:38:00Z" w16du:dateUtc="2026-07-10T02:38:00Z">
        <w:r w:rsidR="004437C4">
          <w:rPr>
            <w:rFonts w:ascii="Garamond" w:hAnsi="Garamond"/>
          </w:rPr>
          <w:t xml:space="preserve"> </w:t>
        </w:r>
      </w:ins>
      <w:r>
        <w:rPr>
          <w:rFonts w:ascii="Garamond" w:hAnsi="Garamond"/>
        </w:rPr>
        <w:t xml:space="preserve">Improvement of run timing forecasts </w:t>
      </w:r>
      <w:r>
        <w:rPr>
          <w:rFonts w:ascii="Garamond" w:hAnsi="Garamond"/>
        </w:rPr>
        <w:fldChar w:fldCharType="begin"/>
      </w:r>
      <w:r>
        <w:rPr>
          <w:rFonts w:ascii="Garamond" w:hAnsi="Garamond"/>
        </w:rPr>
        <w:instrText xml:space="preserve"> ADDIN ZOTERO_ITEM CSL_CITATION {"citationID":"0VgE4Nmv","properties":{"formattedCitation":"(Mundy, 1982; Staton et al., 2017)","plainCitation":"(Mundy, 1982; Staton et al., 2017)","dontUpdate":true,"noteIndex":0},"citationItems":[{"id":5973,"uris":["http://zotero.org/users/8421274/items/T67UPK8M"],"itemData":{"id":5973,"type":"article-journal","abstract":"An objective definition of migratory timing is applied to commercial and test fishing catch data for chinook salmon (Oncorhynchus tshawytscha) from the Yukon delta, 1961-1980. On the average, 91% of all the commercial catch is taken before the end of June, with one-half of the catch being taken by June 21. The middle part of the migration (25-75%) usually is available for harvest only over a span of 11 days. However, the length of the central span has varied from 8 to 13 days, depending on timing. Mean dates of migration based on catch and CPUE data were nearly identical (about June 21), with range limits of June 12-30. Test fishing and commercial catch data for 1963-1978 showed no significant difference (α = 0.05) for the mean date of migration. The spread of the migration (variance) appears to be inversely proportional to the mean date of migration for early and late migrations. Timing of migration may be dependent on factors related to air temperature.","container-title":"North American Journal of Fisheries Management","DOI":"10.1577/1548-8659(1982)2&lt;359:COMTSF&gt;2.0.CO;2","ISSN":"0275-5947","issue":"4","note":"_eprint: https://doi.org/10.1577/1548-8659(1982)2&lt;359:COMTSF&gt;2.0.CO;2","page":"359-370","publisher":"AFS Website","source":"Taylor and Francis+NEJM","title":"Computation of Migratory Timing Statistics for Adult Chinook Salmon in the Yukon River, Alaska, and Their Relevance to Fisheries Management","volume":"2","author":[{"family":"Mundy","given":"P. R."}],"issued":{"date-parts":[["1982",10,1]]}}},{"id":2532,"uris":["http://zotero.org/users/8421274/items/SGCHNLTN"],"itemData":{"id":2532,"type":"article-journal","abstract":"Annual variation in adult salmon migration timing makes the interpretation of in-season assessment data difficult, leading to much in-season uncertainty in run size. We developed and evaluated a run timing forecast model for the Kuskokwim River Chinook salmon stock, located in western Alaska, intended to aid in reducing this source of uncertainty. An objective and adaptive approach (using model-averaging and a sliding window algorithm to select predictive time periods, both calibrated annually) was adopted to deal with multidimensional selection of four climatic variables and was based entirely on predictive performance. Forecast cross-validation was used to evaluate the performance of three forecasting approaches: the null (i.e., intercept only) model, the single model with the lowest mean absolute error, and a model-averaged forecast across 16 nested linear models. As of 2016, the null model had the lowest mean absolute error (2.64days), although the model-averaged forecast performed as well or better than the null model in the majority of retrospective years. The model-averaged forecast had a consistent mean absolute error regardless of the type of year (i.e., average or extreme early/late) the forecast was made for, which was not true of the null model. The availability of the run timing forecast was not found to increase overall accuracy of in-season run assessments in relation to the null model, but was found to substantially increase the precision of these assessments, particularly early in the season.","container-title":"Fisheries Research","DOI":"10.1016/j.fishres.2017.05.003","ISSN":"0165-7836","journalAbbreviation":"Fisheries Research","language":"en","page":"9-21","source":"ScienceDirect","title":"Development and evaluation of a migration timing forecast model for Kuskokwim River Chinook salmon","volume":"194","author":[{"family":"Staton","given":"Benjamin A."},{"family":"Catalano","given":"Matthew J."},{"family":"Farmer","given":"Troy M."},{"family":"Abebe","given":"Asheber"},{"family":"Dobson","given":"F. Stephen"}],"issued":{"date-parts":[["2017",10,1]]}}}],"schema":"https://github.com/citation-style-language/schema/raw/master/csl-citation.json"} </w:instrText>
      </w:r>
      <w:r>
        <w:rPr>
          <w:rFonts w:ascii="Garamond" w:hAnsi="Garamond"/>
        </w:rPr>
        <w:fldChar w:fldCharType="separate"/>
      </w:r>
      <w:r>
        <w:rPr>
          <w:rFonts w:ascii="Garamond" w:hAnsi="Garamond"/>
          <w:noProof/>
        </w:rPr>
        <w:t>(e.g. Mundy, 1982; Staton et al., 2017)</w:t>
      </w:r>
      <w:r>
        <w:rPr>
          <w:rFonts w:ascii="Garamond" w:hAnsi="Garamond"/>
        </w:rPr>
        <w:fldChar w:fldCharType="end"/>
      </w:r>
      <w:r>
        <w:rPr>
          <w:rFonts w:ascii="Garamond" w:hAnsi="Garamond"/>
        </w:rPr>
        <w:t xml:space="preserve"> might allow for variable front-end closure timing among years; however, until such reliable forecasting methods are developed for the Kuskokwim River, the static approach currently employed here appears to perform relatively well at protecting the upriver stocks that are the primary focus of conservation.</w:t>
      </w:r>
      <w:r>
        <w:t xml:space="preserve"> </w:t>
      </w:r>
    </w:p>
    <w:p w14:paraId="21594D6A" w14:textId="1C698854" w:rsidR="009C3FA5" w:rsidRPr="00FC02BD" w:rsidRDefault="009C3FA5" w:rsidP="00C162F5">
      <w:pPr>
        <w:pStyle w:val="whitespace-normal"/>
        <w:spacing w:line="480" w:lineRule="auto"/>
        <w:ind w:firstLine="720"/>
        <w:rPr>
          <w:rFonts w:ascii="Garamond" w:hAnsi="Garamond"/>
        </w:rPr>
      </w:pPr>
      <w:r>
        <w:rPr>
          <w:rFonts w:ascii="Garamond" w:hAnsi="Garamond"/>
        </w:rPr>
        <w:t xml:space="preserve">Simulated changes to the front-end closure duration increased the average protection afforded to several regional groups, with a six-day extension from the current end date resulting in increased protection to regional groups one and two by 32.3% and 21.3%. However, increasing the duration of the closure did not result in high protection in all years. In both the three and six-day extension scenarios, several years of data displayed moderately low protection in years where the average run timing was relatively late, reiterating the challenge of estimating the population specific impacts even with a longer duration closure window. In addition, management decisions must </w:t>
      </w:r>
      <w:r>
        <w:rPr>
          <w:rFonts w:ascii="Garamond" w:hAnsi="Garamond"/>
        </w:rPr>
        <w:lastRenderedPageBreak/>
        <w:t>consider the dual goals of maintaining both biodiversity and harvest opportunity. As currently implemented, the front-end closure on the Kuskokwim resulted in 12%</w:t>
      </w:r>
      <w:ins w:id="489" w:author="Benjamin J. Makhlouf" w:date="2026-07-09T19:45:00Z" w16du:dateUtc="2026-07-10T02:45:00Z">
        <w:r w:rsidR="00B7081E">
          <w:rPr>
            <w:rFonts w:ascii="Garamond" w:hAnsi="Garamond"/>
          </w:rPr>
          <w:t xml:space="preserve"> </w:t>
        </w:r>
      </w:ins>
      <w:ins w:id="490" w:author="Benjamin J. Makhlouf" w:date="2026-07-09T19:45:00Z">
        <w:r w:rsidR="00B7081E" w:rsidRPr="00B7081E">
          <w:rPr>
            <w:rFonts w:ascii="Garamond" w:hAnsi="Garamond"/>
          </w:rPr>
          <w:t>(range = 4.9% - 20.3%)</w:t>
        </w:r>
      </w:ins>
      <w:r>
        <w:rPr>
          <w:rFonts w:ascii="Garamond" w:hAnsi="Garamond"/>
        </w:rPr>
        <w:t xml:space="preserve"> of the total potential harvest falling within the closure window. Although the three-day and six-day extensions did improve both the minimum and average protection afforded to upper watershed groups, they also resulted in an additional 6%</w:t>
      </w:r>
      <w:ins w:id="491" w:author="Benjamin J. Makhlouf" w:date="2026-07-09T19:47:00Z" w16du:dateUtc="2026-07-10T02:47:00Z">
        <w:r w:rsidR="00B7081E">
          <w:rPr>
            <w:rFonts w:ascii="Garamond" w:hAnsi="Garamond"/>
          </w:rPr>
          <w:t xml:space="preserve"> </w:t>
        </w:r>
      </w:ins>
      <w:ins w:id="492" w:author="Benjamin J. Makhlouf" w:date="2026-07-09T19:47:00Z">
        <w:r w:rsidR="00B7081E" w:rsidRPr="00B7081E">
          <w:rPr>
            <w:rFonts w:ascii="Garamond" w:hAnsi="Garamond"/>
          </w:rPr>
          <w:t>(range = 2.6% – 9.7%)</w:t>
        </w:r>
      </w:ins>
      <w:r>
        <w:rPr>
          <w:rFonts w:ascii="Garamond" w:hAnsi="Garamond"/>
        </w:rPr>
        <w:t xml:space="preserve"> and 1</w:t>
      </w:r>
      <w:ins w:id="493" w:author="Benjamin J. Makhlouf" w:date="2026-07-09T19:48:00Z" w16du:dateUtc="2026-07-10T02:48:00Z">
        <w:r w:rsidR="00B7081E">
          <w:rPr>
            <w:rFonts w:ascii="Garamond" w:hAnsi="Garamond"/>
          </w:rPr>
          <w:t>3%</w:t>
        </w:r>
      </w:ins>
      <w:del w:id="494" w:author="Benjamin J. Makhlouf" w:date="2026-07-09T19:47:00Z" w16du:dateUtc="2026-07-10T02:47:00Z">
        <w:r w:rsidDel="00B7081E">
          <w:rPr>
            <w:rFonts w:ascii="Garamond" w:hAnsi="Garamond"/>
          </w:rPr>
          <w:delText>4</w:delText>
        </w:r>
      </w:del>
      <w:del w:id="495" w:author="Benjamin J. Makhlouf" w:date="2026-07-09T19:48:00Z" w16du:dateUtc="2026-07-10T02:48:00Z">
        <w:r w:rsidDel="00B7081E">
          <w:rPr>
            <w:rFonts w:ascii="Garamond" w:hAnsi="Garamond"/>
          </w:rPr>
          <w:delText>%</w:delText>
        </w:r>
      </w:del>
      <w:ins w:id="496" w:author="Benjamin J. Makhlouf" w:date="2026-07-09T19:47:00Z" w16du:dateUtc="2026-07-10T02:47:00Z">
        <w:r w:rsidR="00B7081E">
          <w:rPr>
            <w:rFonts w:ascii="Garamond" w:hAnsi="Garamond"/>
          </w:rPr>
          <w:t xml:space="preserve"> </w:t>
        </w:r>
      </w:ins>
      <w:ins w:id="497" w:author="Benjamin J. Makhlouf" w:date="2026-07-09T19:47:00Z">
        <w:r w:rsidR="00B7081E" w:rsidRPr="00B7081E">
          <w:rPr>
            <w:rFonts w:ascii="Garamond" w:hAnsi="Garamond"/>
          </w:rPr>
          <w:t>(range = 7.0% – 19.3%)</w:t>
        </w:r>
      </w:ins>
      <w:r>
        <w:rPr>
          <w:rFonts w:ascii="Garamond" w:hAnsi="Garamond"/>
        </w:rPr>
        <w:t xml:space="preserve"> of the potential harvest falling within the closure window. </w:t>
      </w:r>
    </w:p>
    <w:p w14:paraId="5003A478" w14:textId="29A5E514" w:rsidR="003F1234" w:rsidRPr="00FC02BD" w:rsidRDefault="00C57048" w:rsidP="00AC7FA1">
      <w:pPr>
        <w:pStyle w:val="NormalWeb"/>
        <w:spacing w:line="480" w:lineRule="auto"/>
        <w:ind w:firstLine="720"/>
        <w:rPr>
          <w:rFonts w:ascii="Garamond" w:hAnsi="Garamond"/>
        </w:rPr>
      </w:pPr>
      <w:r>
        <w:rPr>
          <w:rFonts w:ascii="Garamond" w:hAnsi="Garamond"/>
        </w:rPr>
        <w:t xml:space="preserve">Protecting upper Kuskokwim stocks through a front-end closure appears to be an effective strategy for maintaining biodiversity in the upper watershed while supporting basin-wide escapement goals and harvest opportunities. However, the overall effectiveness of this strategy in sustaining stock diversity and balancing conservation with harvest depends not only on the protection provided </w:t>
      </w:r>
      <w:del w:id="498" w:author="Benjamin J. Makhlouf" w:date="2026-07-13T17:21:00Z" w16du:dateUtc="2026-07-14T00:21:00Z">
        <w:r w:rsidDel="00BE3061">
          <w:rPr>
            <w:rFonts w:ascii="Garamond" w:hAnsi="Garamond"/>
          </w:rPr>
          <w:delText xml:space="preserve">to upper-watershed stocks </w:delText>
        </w:r>
      </w:del>
      <w:r>
        <w:rPr>
          <w:rFonts w:ascii="Garamond" w:hAnsi="Garamond"/>
        </w:rPr>
        <w:t xml:space="preserve">during the closure, but also on how the closure affects overall harvest opportunity and harvest behavior once the fishery reopens. For example, a closure which protects a large proportion of upstream stocks by prohibiting harvest on a significant portion of the run may concentrate fishing pressure on later returning stocks. As a result, this shift in the temporal distribution of fishing pressure may impact weak downstream stocks as compared to the same harvest pressure distributed across the full migration window, thereby degrading biodiversity. </w:t>
      </w:r>
      <w:ins w:id="499" w:author="Benjamin J. Makhlouf" w:date="2026-07-12T13:18:00Z">
        <w:r w:rsidR="00FC3951" w:rsidRPr="00FC3951">
          <w:rPr>
            <w:rFonts w:ascii="Garamond" w:hAnsi="Garamond"/>
          </w:rPr>
          <w:t xml:space="preserve">By the same principle, reduced fishing opportunities for Chinook salmon could shift subsistence harvest effort toward other </w:t>
        </w:r>
      </w:ins>
      <w:ins w:id="500" w:author="Benjamin J. Makhlouf" w:date="2026-07-12T13:18:00Z" w16du:dateUtc="2026-07-12T20:18:00Z">
        <w:r w:rsidR="00FC3951">
          <w:rPr>
            <w:rFonts w:ascii="Garamond" w:hAnsi="Garamond"/>
          </w:rPr>
          <w:t xml:space="preserve">important subsistence </w:t>
        </w:r>
      </w:ins>
      <w:ins w:id="501" w:author="Benjamin J. Makhlouf" w:date="2026-07-12T13:18:00Z">
        <w:r w:rsidR="00FC3951" w:rsidRPr="00FC3951">
          <w:rPr>
            <w:rFonts w:ascii="Garamond" w:hAnsi="Garamond"/>
          </w:rPr>
          <w:t>species</w:t>
        </w:r>
      </w:ins>
      <w:ins w:id="502" w:author="Benjamin J. Makhlouf" w:date="2026-07-12T13:18:00Z" w16du:dateUtc="2026-07-12T20:18:00Z">
        <w:r w:rsidR="00FC3951">
          <w:rPr>
            <w:rFonts w:ascii="Garamond" w:hAnsi="Garamond"/>
          </w:rPr>
          <w:t xml:space="preserve"> </w:t>
        </w:r>
      </w:ins>
      <w:ins w:id="503" w:author="Benjamin J. Makhlouf" w:date="2026-07-12T13:18:00Z">
        <w:r w:rsidR="00FC3951" w:rsidRPr="00FC3951">
          <w:rPr>
            <w:rFonts w:ascii="Garamond" w:hAnsi="Garamond"/>
          </w:rPr>
          <w:t>such as chum salmon, which return later in the season but face similar conservation concerns.</w:t>
        </w:r>
      </w:ins>
      <w:ins w:id="504" w:author="Benjamin J. Makhlouf" w:date="2026-07-12T13:18:00Z" w16du:dateUtc="2026-07-12T20:18:00Z">
        <w:r w:rsidR="00FC3951">
          <w:rPr>
            <w:rFonts w:ascii="Garamond" w:hAnsi="Garamond"/>
          </w:rPr>
          <w:t xml:space="preserve"> </w:t>
        </w:r>
      </w:ins>
      <w:ins w:id="505" w:author="Benjamin J. Makhlouf" w:date="2026-07-13T17:22:00Z" w16du:dateUtc="2026-07-14T00:22:00Z">
        <w:r w:rsidR="00390710">
          <w:rPr>
            <w:rFonts w:ascii="Garamond" w:hAnsi="Garamond"/>
          </w:rPr>
          <w:t>T</w:t>
        </w:r>
      </w:ins>
      <w:del w:id="506" w:author="Benjamin J. Makhlouf" w:date="2026-07-13T17:22:00Z" w16du:dateUtc="2026-07-14T00:22:00Z">
        <w:r w:rsidDel="00390710">
          <w:rPr>
            <w:rFonts w:ascii="Garamond" w:hAnsi="Garamond"/>
          </w:rPr>
          <w:delText>Further, t</w:delText>
        </w:r>
      </w:del>
      <w:r>
        <w:rPr>
          <w:rFonts w:ascii="Garamond" w:hAnsi="Garamond"/>
        </w:rPr>
        <w:t xml:space="preserve">he timing of the front-end closure </w:t>
      </w:r>
      <w:ins w:id="507" w:author="Benjamin J. Makhlouf" w:date="2026-07-13T17:22:00Z" w16du:dateUtc="2026-07-14T00:22:00Z">
        <w:r w:rsidR="00390710">
          <w:rPr>
            <w:rFonts w:ascii="Garamond" w:hAnsi="Garamond"/>
          </w:rPr>
          <w:t xml:space="preserve">also </w:t>
        </w:r>
      </w:ins>
      <w:r>
        <w:rPr>
          <w:rFonts w:ascii="Garamond" w:hAnsi="Garamond"/>
        </w:rPr>
        <w:t>coincides with the preferred and traditional timing of fishing for many communities in the lower Kuskokwim</w:t>
      </w:r>
      <w:ins w:id="508" w:author="Benjamin J. Makhlouf" w:date="2026-07-12T13:23:00Z" w16du:dateUtc="2026-07-12T20:23:00Z">
        <w:r w:rsidR="00AC7FA1">
          <w:rPr>
            <w:rFonts w:ascii="Garamond" w:hAnsi="Garamond"/>
          </w:rPr>
          <w:t xml:space="preserve">, including the </w:t>
        </w:r>
      </w:ins>
      <w:del w:id="509" w:author="Benjamin J. Makhlouf" w:date="2026-07-12T13:22:00Z" w16du:dateUtc="2026-07-12T20:22:00Z">
        <w:r w:rsidDel="00AC7FA1">
          <w:rPr>
            <w:rFonts w:ascii="Garamond" w:hAnsi="Garamond"/>
          </w:rPr>
          <w:delText xml:space="preserve">. </w:delText>
        </w:r>
      </w:del>
      <w:ins w:id="510" w:author="Benjamin J. Makhlouf" w:date="2026-07-12T13:23:00Z" w16du:dateUtc="2026-07-12T20:23:00Z">
        <w:r w:rsidR="00AC7FA1">
          <w:rPr>
            <w:rFonts w:ascii="Garamond" w:hAnsi="Garamond"/>
          </w:rPr>
          <w:t xml:space="preserve">optimal </w:t>
        </w:r>
      </w:ins>
      <w:ins w:id="511" w:author="Benjamin J. Makhlouf" w:date="2026-07-12T13:20:00Z" w16du:dateUtc="2026-07-12T20:20:00Z">
        <w:r w:rsidR="00FC3951">
          <w:rPr>
            <w:rFonts w:ascii="Garamond" w:hAnsi="Garamond"/>
          </w:rPr>
          <w:t>timing for drying</w:t>
        </w:r>
      </w:ins>
      <w:ins w:id="512" w:author="Benjamin J. Makhlouf" w:date="2026-07-12T13:24:00Z" w16du:dateUtc="2026-07-12T20:24:00Z">
        <w:r w:rsidR="00AC7FA1">
          <w:rPr>
            <w:rFonts w:ascii="Garamond" w:hAnsi="Garamond"/>
          </w:rPr>
          <w:t>, processing,</w:t>
        </w:r>
      </w:ins>
      <w:ins w:id="513" w:author="Benjamin J. Makhlouf" w:date="2026-07-12T13:20:00Z" w16du:dateUtc="2026-07-12T20:20:00Z">
        <w:r w:rsidR="00FC3951">
          <w:rPr>
            <w:rFonts w:ascii="Garamond" w:hAnsi="Garamond"/>
          </w:rPr>
          <w:t xml:space="preserve"> and preserving</w:t>
        </w:r>
      </w:ins>
      <w:ins w:id="514" w:author="Benjamin J. Makhlouf" w:date="2026-07-12T13:24:00Z" w16du:dateUtc="2026-07-12T20:24:00Z">
        <w:r w:rsidR="00AC7FA1">
          <w:rPr>
            <w:rFonts w:ascii="Garamond" w:hAnsi="Garamond"/>
          </w:rPr>
          <w:t xml:space="preserve"> harvested</w:t>
        </w:r>
      </w:ins>
      <w:ins w:id="515" w:author="Benjamin J. Makhlouf" w:date="2026-07-12T13:20:00Z" w16du:dateUtc="2026-07-12T20:20:00Z">
        <w:r w:rsidR="00FC3951">
          <w:rPr>
            <w:rFonts w:ascii="Garamond" w:hAnsi="Garamond"/>
          </w:rPr>
          <w:t xml:space="preserve"> fish</w:t>
        </w:r>
      </w:ins>
      <w:ins w:id="516" w:author="Benjamin J. Makhlouf" w:date="2026-07-12T13:24:00Z" w16du:dateUtc="2026-07-12T20:24:00Z">
        <w:r w:rsidR="00AC7FA1">
          <w:rPr>
            <w:rFonts w:ascii="Garamond" w:hAnsi="Garamond"/>
          </w:rPr>
          <w:t xml:space="preserve">. </w:t>
        </w:r>
      </w:ins>
      <w:r>
        <w:rPr>
          <w:rFonts w:ascii="Garamond" w:hAnsi="Garamond"/>
        </w:rPr>
        <w:t>An extended duration of this closure</w:t>
      </w:r>
      <w:ins w:id="517" w:author="Benjamin J. Makhlouf" w:date="2026-07-12T13:24:00Z" w16du:dateUtc="2026-07-12T20:24:00Z">
        <w:r w:rsidR="00AC7FA1">
          <w:rPr>
            <w:rFonts w:ascii="Garamond" w:hAnsi="Garamond"/>
          </w:rPr>
          <w:t xml:space="preserve"> therefore</w:t>
        </w:r>
      </w:ins>
      <w:r>
        <w:rPr>
          <w:rFonts w:ascii="Garamond" w:hAnsi="Garamond"/>
        </w:rPr>
        <w:t xml:space="preserve"> has the potential to</w:t>
      </w:r>
      <w:ins w:id="518" w:author="Benjamin J. Makhlouf" w:date="2026-07-12T13:20:00Z" w16du:dateUtc="2026-07-12T20:20:00Z">
        <w:r w:rsidR="00FC3951">
          <w:rPr>
            <w:rFonts w:ascii="Garamond" w:hAnsi="Garamond"/>
          </w:rPr>
          <w:t xml:space="preserve"> not only disrupt fishing opportunity by reducing the overall</w:t>
        </w:r>
      </w:ins>
      <w:ins w:id="519" w:author="Benjamin J. Makhlouf" w:date="2026-07-12T13:21:00Z" w16du:dateUtc="2026-07-12T20:21:00Z">
        <w:r w:rsidR="00FC3951">
          <w:rPr>
            <w:rFonts w:ascii="Garamond" w:hAnsi="Garamond"/>
          </w:rPr>
          <w:t xml:space="preserve"> available harvest window but also by conflicting with the customs and </w:t>
        </w:r>
        <w:r w:rsidR="00FC3951">
          <w:rPr>
            <w:rFonts w:ascii="Garamond" w:hAnsi="Garamond"/>
          </w:rPr>
          <w:lastRenderedPageBreak/>
          <w:t xml:space="preserve">traditions involved with </w:t>
        </w:r>
      </w:ins>
      <w:ins w:id="520" w:author="Benjamin J. Makhlouf" w:date="2026-07-12T13:22:00Z" w16du:dateUtc="2026-07-12T20:22:00Z">
        <w:r w:rsidR="00FC3951">
          <w:rPr>
            <w:rFonts w:ascii="Garamond" w:hAnsi="Garamond"/>
          </w:rPr>
          <w:t xml:space="preserve">subsistence harvest. </w:t>
        </w:r>
      </w:ins>
      <w:del w:id="521" w:author="Benjamin J. Makhlouf" w:date="2026-07-12T13:24:00Z" w16du:dateUtc="2026-07-12T20:24:00Z">
        <w:r w:rsidDel="00AC7FA1">
          <w:rPr>
            <w:rFonts w:ascii="Garamond" w:hAnsi="Garamond"/>
          </w:rPr>
          <w:delText xml:space="preserve"> further disrupt </w:delText>
        </w:r>
        <w:commentRangeStart w:id="522"/>
        <w:r w:rsidDel="00AC7FA1">
          <w:rPr>
            <w:rFonts w:ascii="Garamond" w:hAnsi="Garamond"/>
          </w:rPr>
          <w:delText xml:space="preserve">traditional fishing opportunities </w:delText>
        </w:r>
        <w:commentRangeEnd w:id="522"/>
        <w:r w:rsidR="00CE01B9" w:rsidDel="00AC7FA1">
          <w:rPr>
            <w:rStyle w:val="CommentReference"/>
            <w:rFonts w:ascii="Garamond" w:hAnsi="Garamond"/>
            <w:sz w:val="24"/>
            <w:szCs w:val="24"/>
          </w:rPr>
          <w:commentReference w:id="522"/>
        </w:r>
      </w:del>
      <w:del w:id="523" w:author="Benjamin J. Makhlouf" w:date="2026-07-12T13:12:00Z" w16du:dateUtc="2026-07-12T20:12:00Z">
        <w:r w:rsidDel="00FC3951">
          <w:rPr>
            <w:rFonts w:ascii="Garamond" w:hAnsi="Garamond"/>
          </w:rPr>
          <w:delText>for these communities</w:delText>
        </w:r>
      </w:del>
      <w:del w:id="524" w:author="Benjamin J. Makhlouf" w:date="2026-07-09T19:50:00Z" w16du:dateUtc="2026-07-10T02:50:00Z">
        <w:r w:rsidDel="00CC3614">
          <w:rPr>
            <w:rFonts w:ascii="Garamond" w:hAnsi="Garamond"/>
          </w:rPr>
          <w:delText xml:space="preserve"> </w:delText>
        </w:r>
      </w:del>
      <w:del w:id="525" w:author="Benjamin J. Makhlouf" w:date="2026-07-12T13:13:00Z" w16du:dateUtc="2026-07-12T20:13:00Z">
        <w:r w:rsidDel="00FC3951">
          <w:rPr>
            <w:rFonts w:ascii="Garamond" w:hAnsi="Garamond"/>
          </w:rPr>
          <w:delText>and</w:delText>
        </w:r>
      </w:del>
      <w:del w:id="526" w:author="Benjamin J. Makhlouf" w:date="2026-07-09T19:50:00Z" w16du:dateUtc="2026-07-10T02:50:00Z">
        <w:r w:rsidDel="00B7081E">
          <w:rPr>
            <w:rFonts w:ascii="Garamond" w:hAnsi="Garamond"/>
          </w:rPr>
          <w:delText xml:space="preserve"> </w:delText>
        </w:r>
      </w:del>
      <w:del w:id="527" w:author="Benjamin J. Makhlouf" w:date="2026-07-12T13:13:00Z" w16du:dateUtc="2026-07-12T20:13:00Z">
        <w:r w:rsidDel="00FC3951">
          <w:rPr>
            <w:rFonts w:ascii="Garamond" w:hAnsi="Garamond"/>
          </w:rPr>
          <w:delText xml:space="preserve">cause </w:delText>
        </w:r>
      </w:del>
      <w:del w:id="528" w:author="Benjamin J. Makhlouf" w:date="2026-07-12T13:24:00Z" w16du:dateUtc="2026-07-12T20:24:00Z">
        <w:r w:rsidDel="00AC7FA1">
          <w:rPr>
            <w:rFonts w:ascii="Garamond" w:hAnsi="Garamond"/>
          </w:rPr>
          <w:delText xml:space="preserve">further hardship to subsistence communities in the basin. </w:delText>
        </w:r>
      </w:del>
      <w:r>
        <w:rPr>
          <w:rFonts w:ascii="Garamond" w:hAnsi="Garamond"/>
        </w:rPr>
        <w:t xml:space="preserve">The </w:t>
      </w:r>
      <w:ins w:id="529" w:author="Benjamin J. Makhlouf" w:date="2026-07-13T17:22:00Z" w16du:dateUtc="2026-07-14T00:22:00Z">
        <w:r w:rsidR="00390710">
          <w:rPr>
            <w:rFonts w:ascii="Garamond" w:hAnsi="Garamond"/>
          </w:rPr>
          <w:t xml:space="preserve">ultimate effect </w:t>
        </w:r>
      </w:ins>
      <w:del w:id="530" w:author="Benjamin J. Makhlouf" w:date="2026-07-13T17:22:00Z" w16du:dateUtc="2026-07-14T00:22:00Z">
        <w:r w:rsidDel="00390710">
          <w:rPr>
            <w:rFonts w:ascii="Garamond" w:hAnsi="Garamond"/>
          </w:rPr>
          <w:delText xml:space="preserve">efficacy </w:delText>
        </w:r>
      </w:del>
      <w:r>
        <w:rPr>
          <w:rFonts w:ascii="Garamond" w:hAnsi="Garamond"/>
        </w:rPr>
        <w:t xml:space="preserve">of management strategies such as front-end closures must therefore be evaluated in the context of ecosystem, fishery, and cultural dynamics to fully understand their role in maintaining basin-wide biodiversity. </w:t>
      </w:r>
    </w:p>
    <w:p w14:paraId="3B62F4AB" w14:textId="7BEF3761" w:rsidR="00D04B7C" w:rsidRPr="005401E5" w:rsidRDefault="00E46D9E" w:rsidP="005401E5">
      <w:pPr>
        <w:pStyle w:val="whitespace-normal"/>
        <w:spacing w:line="480" w:lineRule="auto"/>
        <w:ind w:firstLine="720"/>
        <w:rPr>
          <w:rFonts w:ascii="Garamond" w:hAnsi="Garamond"/>
        </w:rPr>
      </w:pPr>
      <w:r>
        <w:rPr>
          <w:rFonts w:ascii="Garamond" w:hAnsi="Garamond"/>
        </w:rPr>
        <w:t xml:space="preserve">The accuracy of otolith-based methods has not been explicitly validated in the Kuskokwim River basin; however, they have demonstrated high assignment accuracy for Pacific salmon in similar Alaska watersheds </w:t>
      </w:r>
      <w:r>
        <w:rPr>
          <w:rFonts w:ascii="Garamond" w:hAnsi="Garamond"/>
        </w:rPr>
        <w:fldChar w:fldCharType="begin"/>
      </w:r>
      <w:r>
        <w:rPr>
          <w:rFonts w:ascii="Garamond" w:hAnsi="Garamond"/>
        </w:rPr>
        <w:instrText xml:space="preserve"> ADDIN ZOTERO_ITEM CSL_CITATION {"citationID":"tvE9voRc","properties":{"formattedCitation":"(Brennan et al., 2015)","plainCitation":"(Brennan et al., 2015)","noteIndex":0},"citationItems":[{"id":"25Y35S3t/lIyU3UG4","uris":["http://zotero.org/users/8421274/items/IY3FLHLM"],"itemData":{"id":"qdfHghSJ/KSW9LWYv","type":"article-journal","abstract":"Strontium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J."}],"issued":{"date-parts":[["2015",5,15]]}}}],"schema":"https://github.com/citation-style-language/schema/raw/master/csl-citation.json"} </w:instrText>
      </w:r>
      <w:r>
        <w:rPr>
          <w:rFonts w:ascii="Garamond" w:hAnsi="Garamond"/>
        </w:rPr>
        <w:fldChar w:fldCharType="separate"/>
      </w:r>
      <w:r>
        <w:rPr>
          <w:rFonts w:ascii="Garamond" w:hAnsi="Garamond"/>
          <w:noProof/>
        </w:rPr>
        <w:t>(Brennan et al., 2015)</w:t>
      </w:r>
      <w:r>
        <w:rPr>
          <w:rFonts w:ascii="Garamond" w:hAnsi="Garamond"/>
        </w:rPr>
        <w:fldChar w:fldCharType="end"/>
      </w:r>
      <w:r>
        <w:rPr>
          <w:rFonts w:ascii="Garamond" w:hAnsi="Garamond"/>
        </w:rPr>
        <w:t xml:space="preserve">, </w:t>
      </w:r>
      <w:commentRangeStart w:id="531"/>
      <w:r>
        <w:rPr>
          <w:rFonts w:ascii="Garamond" w:hAnsi="Garamond"/>
        </w:rPr>
        <w:t>and our results replicate ecological patterns which have been observed in other contexts in the basin</w:t>
      </w:r>
      <w:commentRangeEnd w:id="531"/>
      <w:r w:rsidR="0033663A">
        <w:rPr>
          <w:rStyle w:val="CommentReference"/>
          <w:rFonts w:ascii="Garamond" w:hAnsi="Garamond"/>
          <w:sz w:val="24"/>
          <w:szCs w:val="24"/>
        </w:rPr>
        <w:commentReference w:id="531"/>
      </w:r>
      <w:r>
        <w:rPr>
          <w:rFonts w:ascii="Garamond" w:hAnsi="Garamond"/>
        </w:rPr>
        <w:t xml:space="preserve">. Although these methods present some limitations for in-season management (i.e. turnaround time), </w:t>
      </w:r>
      <w:r>
        <w:rPr>
          <w:rStyle w:val="Strong"/>
          <w:rFonts w:ascii="Garamond" w:eastAsiaTheme="majorEastAsia" w:hAnsi="Garamond"/>
          <w:b w:val="0"/>
          <w:bCs w:val="0"/>
        </w:rPr>
        <w:t xml:space="preserve">tools that enable reconstruction of population specific spatiotemporal patterns in remote ecosystems allow for an explicit consideration of existing intrapopulation variability into management and conservation. </w:t>
      </w:r>
      <w:r>
        <w:rPr>
          <w:rStyle w:val="Strong"/>
          <w:rFonts w:ascii="Garamond" w:eastAsiaTheme="majorEastAsia" w:hAnsi="Garamond"/>
        </w:rPr>
        <w:t xml:space="preserve"> </w:t>
      </w:r>
      <w:commentRangeStart w:id="532"/>
      <w:r>
        <w:rPr>
          <w:rFonts w:ascii="Garamond" w:hAnsi="Garamond"/>
        </w:rPr>
        <w:t xml:space="preserve">The data presented here demonstrate this application for population-specific run timing of salmon in the Kuskokwim River basin; however, this principle can be applied to </w:t>
      </w:r>
      <w:r>
        <w:rPr>
          <w:rStyle w:val="Strong"/>
          <w:rFonts w:ascii="Garamond" w:eastAsiaTheme="majorEastAsia" w:hAnsi="Garamond"/>
          <w:b w:val="0"/>
          <w:bCs w:val="0"/>
        </w:rPr>
        <w:t>multiple dimensions of inter- and intra-species variation which contribute to system-wide biodiversity.</w:t>
      </w:r>
      <w:ins w:id="533" w:author="Benjamin J. Makhlouf" w:date="2026-07-13T17:31:00Z" w16du:dateUtc="2026-07-14T00:31:00Z">
        <w:r w:rsidR="00390710">
          <w:rPr>
            <w:rStyle w:val="Strong"/>
            <w:rFonts w:ascii="Garamond" w:eastAsiaTheme="majorEastAsia" w:hAnsi="Garamond"/>
            <w:b w:val="0"/>
            <w:bCs w:val="0"/>
          </w:rPr>
          <w:t xml:space="preserve"> </w:t>
        </w:r>
      </w:ins>
      <w:ins w:id="534" w:author="Benjamin J. Makhlouf" w:date="2026-07-13T17:37:00Z">
        <w:r w:rsidR="002E0F45" w:rsidRPr="002E0F45">
          <w:rPr>
            <w:rFonts w:ascii="Garamond" w:eastAsiaTheme="majorEastAsia" w:hAnsi="Garamond"/>
          </w:rPr>
          <w:t xml:space="preserve">For salmon management, approaches capable of characterizing population diversity at refined spatial scales are becoming increasingly important for incorporating this diversity into management and conservation decisions. </w:t>
        </w:r>
      </w:ins>
      <w:ins w:id="535" w:author="Benjamin J. Makhlouf" w:date="2026-07-13T17:41:00Z">
        <w:r w:rsidR="002E0F45" w:rsidRPr="002E0F45">
          <w:rPr>
            <w:rFonts w:ascii="Garamond" w:eastAsiaTheme="majorEastAsia" w:hAnsi="Garamond"/>
          </w:rPr>
          <w:t xml:space="preserve">In other salmon-bearing watersheds, such as the Sacramento River basin, similar approaches have provided insights into the role of population diversity in ecosystem function </w:t>
        </w:r>
        <w:r w:rsidR="002E0F45" w:rsidRPr="002E0F45">
          <w:rPr>
            <w:rFonts w:ascii="Garamond" w:eastAsiaTheme="majorEastAsia" w:hAnsi="Garamond"/>
            <w:highlight w:val="yellow"/>
            <w:rPrChange w:id="536" w:author="Benjamin J. Makhlouf" w:date="2026-07-13T17:41:00Z" w16du:dateUtc="2026-07-14T00:41:00Z">
              <w:rPr>
                <w:rFonts w:ascii="Garamond" w:eastAsiaTheme="majorEastAsia" w:hAnsi="Garamond"/>
              </w:rPr>
            </w:rPrChange>
          </w:rPr>
          <w:t>[ref],</w:t>
        </w:r>
        <w:r w:rsidR="002E0F45" w:rsidRPr="002E0F45">
          <w:rPr>
            <w:rFonts w:ascii="Garamond" w:eastAsiaTheme="majorEastAsia" w:hAnsi="Garamond"/>
          </w:rPr>
          <w:t xml:space="preserve"> the potential impacts of climate and anthropogenic change on the distribution and persistence of population diversity </w:t>
        </w:r>
        <w:r w:rsidR="002E0F45" w:rsidRPr="002E0F45">
          <w:rPr>
            <w:rFonts w:ascii="Garamond" w:eastAsiaTheme="majorEastAsia" w:hAnsi="Garamond"/>
            <w:highlight w:val="yellow"/>
            <w:rPrChange w:id="537" w:author="Benjamin J. Makhlouf" w:date="2026-07-13T17:41:00Z" w16du:dateUtc="2026-07-14T00:41:00Z">
              <w:rPr>
                <w:rFonts w:ascii="Garamond" w:eastAsiaTheme="majorEastAsia" w:hAnsi="Garamond"/>
              </w:rPr>
            </w:rPrChange>
          </w:rPr>
          <w:t>[ref],</w:t>
        </w:r>
        <w:r w:rsidR="002E0F45" w:rsidRPr="002E0F45">
          <w:rPr>
            <w:rFonts w:ascii="Garamond" w:eastAsiaTheme="majorEastAsia" w:hAnsi="Garamond"/>
          </w:rPr>
          <w:t xml:space="preserve"> and the influence of restoration efforts on the maintenance of diverse life-history strategies within the basin </w:t>
        </w:r>
        <w:r w:rsidR="002E0F45" w:rsidRPr="002E0F45">
          <w:rPr>
            <w:rFonts w:ascii="Garamond" w:eastAsiaTheme="majorEastAsia" w:hAnsi="Garamond"/>
            <w:highlight w:val="yellow"/>
            <w:rPrChange w:id="538" w:author="Benjamin J. Makhlouf" w:date="2026-07-13T17:41:00Z" w16du:dateUtc="2026-07-14T00:41:00Z">
              <w:rPr>
                <w:rFonts w:ascii="Garamond" w:eastAsiaTheme="majorEastAsia" w:hAnsi="Garamond"/>
              </w:rPr>
            </w:rPrChange>
          </w:rPr>
          <w:t>[ref].</w:t>
        </w:r>
      </w:ins>
      <w:ins w:id="539" w:author="Benjamin J. Makhlouf" w:date="2026-07-13T17:42:00Z" w16du:dateUtc="2026-07-14T00:42:00Z">
        <w:r w:rsidR="002E0F45">
          <w:rPr>
            <w:rFonts w:ascii="Garamond" w:eastAsiaTheme="majorEastAsia" w:hAnsi="Garamond"/>
          </w:rPr>
          <w:t xml:space="preserve"> </w:t>
        </w:r>
      </w:ins>
      <w:ins w:id="540" w:author="Benjamin J. Makhlouf" w:date="2026-07-13T17:45:00Z" w16du:dateUtc="2026-07-14T00:45:00Z">
        <w:r w:rsidR="005401E5">
          <w:rPr>
            <w:rFonts w:ascii="Garamond" w:eastAsiaTheme="majorEastAsia" w:hAnsi="Garamond"/>
          </w:rPr>
          <w:t xml:space="preserve">However, these same principals apply beyond fisheries. Across ecosystems and species, </w:t>
        </w:r>
      </w:ins>
      <w:ins w:id="541" w:author="Benjamin J. Makhlouf" w:date="2026-07-13T17:44:00Z" w16du:dateUtc="2026-07-14T00:44:00Z">
        <w:r w:rsidR="005401E5">
          <w:rPr>
            <w:rFonts w:ascii="Garamond" w:eastAsiaTheme="majorEastAsia" w:hAnsi="Garamond"/>
          </w:rPr>
          <w:t xml:space="preserve"> developing methods </w:t>
        </w:r>
      </w:ins>
      <w:del w:id="542" w:author="Benjamin J. Makhlouf" w:date="2026-07-13T17:31:00Z" w16du:dateUtc="2026-07-14T00:31:00Z">
        <w:r w:rsidRPr="00390710" w:rsidDel="00390710">
          <w:rPr>
            <w:rStyle w:val="Strong"/>
            <w:rFonts w:ascii="Garamond" w:eastAsiaTheme="majorEastAsia" w:hAnsi="Garamond"/>
            <w:b w:val="0"/>
            <w:bCs w:val="0"/>
            <w:rPrChange w:id="543" w:author="Benjamin J. Makhlouf" w:date="2026-07-13T17:32:00Z" w16du:dateUtc="2026-07-14T00:32:00Z">
              <w:rPr>
                <w:rStyle w:val="Strong"/>
                <w:rFonts w:ascii="Garamond" w:eastAsiaTheme="majorEastAsia" w:hAnsi="Garamond"/>
              </w:rPr>
            </w:rPrChange>
          </w:rPr>
          <w:delText xml:space="preserve"> </w:delText>
        </w:r>
      </w:del>
      <w:commentRangeEnd w:id="532"/>
      <w:del w:id="544" w:author="Benjamin J. Makhlouf" w:date="2026-07-13T17:37:00Z" w16du:dateUtc="2026-07-14T00:37:00Z">
        <w:r w:rsidR="005401E5" w:rsidDel="002E0F45">
          <w:rPr>
            <w:rStyle w:val="CommentReference"/>
            <w:rFonts w:ascii="Garamond" w:eastAsiaTheme="majorEastAsia" w:hAnsi="Garamond"/>
            <w:sz w:val="24"/>
            <w:szCs w:val="24"/>
          </w:rPr>
          <w:commentReference w:id="532"/>
        </w:r>
      </w:del>
      <w:del w:id="545" w:author="Benjamin J. Makhlouf" w:date="2026-07-13T17:42:00Z" w16du:dateUtc="2026-07-14T00:42:00Z">
        <w:r w:rsidDel="002E0F45">
          <w:rPr>
            <w:rStyle w:val="Strong"/>
            <w:rFonts w:ascii="Garamond" w:eastAsiaTheme="majorEastAsia" w:hAnsi="Garamond"/>
            <w:b w:val="0"/>
            <w:bCs w:val="0"/>
          </w:rPr>
          <w:delText>D</w:delText>
        </w:r>
      </w:del>
      <w:del w:id="546" w:author="Benjamin J. Makhlouf" w:date="2026-07-13T17:44:00Z" w16du:dateUtc="2026-07-14T00:44:00Z">
        <w:r w:rsidDel="005401E5">
          <w:rPr>
            <w:rFonts w:ascii="Garamond" w:hAnsi="Garamond"/>
          </w:rPr>
          <w:delText xml:space="preserve">eveloping methods </w:delText>
        </w:r>
      </w:del>
      <w:ins w:id="547" w:author="Benjamin J. Makhlouf" w:date="2026-07-13T17:42:00Z" w16du:dateUtc="2026-07-14T00:42:00Z">
        <w:r w:rsidR="002E0F45">
          <w:rPr>
            <w:rFonts w:ascii="Garamond" w:hAnsi="Garamond"/>
          </w:rPr>
          <w:t xml:space="preserve">capable </w:t>
        </w:r>
      </w:ins>
      <w:ins w:id="548" w:author="Benjamin J. Makhlouf" w:date="2026-07-13T17:44:00Z" w16du:dateUtc="2026-07-14T00:44:00Z">
        <w:r w:rsidR="005401E5">
          <w:rPr>
            <w:rFonts w:ascii="Garamond" w:hAnsi="Garamond"/>
          </w:rPr>
          <w:t xml:space="preserve">of characterizing biodiversity </w:t>
        </w:r>
      </w:ins>
      <w:ins w:id="549" w:author="Benjamin J. Makhlouf" w:date="2026-07-13T17:45:00Z" w16du:dateUtc="2026-07-14T00:45:00Z">
        <w:r w:rsidR="005401E5">
          <w:rPr>
            <w:rFonts w:ascii="Garamond" w:hAnsi="Garamond"/>
          </w:rPr>
          <w:t xml:space="preserve">at relvent spatial </w:t>
        </w:r>
        <w:r w:rsidR="005401E5">
          <w:rPr>
            <w:rFonts w:ascii="Garamond" w:hAnsi="Garamond"/>
          </w:rPr>
          <w:lastRenderedPageBreak/>
          <w:t xml:space="preserve">scales, and </w:t>
        </w:r>
      </w:ins>
      <w:del w:id="550" w:author="Benjamin J. Makhlouf" w:date="2026-07-13T17:42:00Z" w16du:dateUtc="2026-07-14T00:42:00Z">
        <w:r w:rsidDel="002E0F45">
          <w:rPr>
            <w:rFonts w:ascii="Garamond" w:hAnsi="Garamond"/>
          </w:rPr>
          <w:delText xml:space="preserve">that explicitly consider </w:delText>
        </w:r>
      </w:del>
      <w:del w:id="551" w:author="Benjamin J. Makhlouf" w:date="2026-07-13T17:45:00Z" w16du:dateUtc="2026-07-14T00:45:00Z">
        <w:r w:rsidDel="005401E5">
          <w:rPr>
            <w:rFonts w:ascii="Garamond" w:hAnsi="Garamond"/>
          </w:rPr>
          <w:delText>this diversity and</w:delText>
        </w:r>
      </w:del>
      <w:r>
        <w:rPr>
          <w:rFonts w:ascii="Garamond" w:hAnsi="Garamond"/>
        </w:rPr>
        <w:t xml:space="preserve"> deploying them to better understand tradeoffs between conservation and exploitation strategies is an important step toward designing management frameworks that provide ecosystem services while safeguarding their reliability and the communities they support.</w:t>
      </w:r>
    </w:p>
    <w:p w14:paraId="14DF7D46" w14:textId="77777777" w:rsidR="003525FA" w:rsidRPr="001A17C1" w:rsidRDefault="003525FA" w:rsidP="003525FA">
      <w:pPr>
        <w:rPr>
          <w:rFonts w:ascii="Garamond" w:hAnsi="Garamond" w:cs="Times New Roman"/>
          <w:b/>
          <w:bCs/>
        </w:rPr>
      </w:pPr>
      <w:r>
        <w:rPr>
          <w:rFonts w:ascii="Garamond" w:hAnsi="Garamond" w:cs="Times New Roman"/>
          <w:b/>
          <w:bCs/>
        </w:rPr>
        <w:t xml:space="preserve">Acknowledgments: </w:t>
      </w:r>
    </w:p>
    <w:p w14:paraId="5CD5A49E" w14:textId="77777777" w:rsidR="003525FA" w:rsidRPr="001A17C1" w:rsidRDefault="003525FA" w:rsidP="003525FA">
      <w:pPr>
        <w:ind w:firstLine="720"/>
        <w:rPr>
          <w:rFonts w:ascii="Garamond" w:hAnsi="Garamond" w:cs="Times New Roman"/>
        </w:rPr>
      </w:pPr>
      <w:r>
        <w:rPr>
          <w:rFonts w:ascii="Garamond" w:hAnsi="Garamond" w:cs="Times New Roman"/>
        </w:rPr>
        <w:t xml:space="preserve">We thank the Alaska Department of Fish &amp; Game, particularly Sean Larson and Zachary Liller for coordinating otolith sampling at the Bethel Test Fishery and for feedback on the study design and manuscript. Funding for this work was provided by the Arctic-Yukon-Kuskokwim Sustainable Salmon Initiative. Joseph Spaeder of the AYK-SSI also provided feedback on the study design. We also thank the local community members who supported otolith removal and collection as well as the ONC fisheries program staff members who helped support data collection and distributed sampled fish to elders, disabled, and widowed community members. This work was made possible by the efforts of Dr. Sean Brennan, who was instrumental in the collection of these datasets and was motivated to push forward on the boundaries of using isotope-based methods to explore ecological processes in Alaska salmon. </w:t>
      </w:r>
    </w:p>
    <w:p w14:paraId="524398E2" w14:textId="77777777" w:rsidR="00A844A4" w:rsidRDefault="00A844A4" w:rsidP="00A844A4">
      <w:pPr>
        <w:jc w:val="center"/>
        <w:rPr>
          <w:rFonts w:ascii="Garamond" w:hAnsi="Garamond" w:cs="Times New Roman"/>
          <w:b/>
          <w:bCs/>
        </w:rPr>
      </w:pPr>
    </w:p>
    <w:p w14:paraId="787BC2FF" w14:textId="31681551" w:rsidR="00A844A4" w:rsidRPr="001A17C1" w:rsidRDefault="00A844A4" w:rsidP="00A844A4">
      <w:pPr>
        <w:rPr>
          <w:rFonts w:ascii="Garamond" w:hAnsi="Garamond" w:cs="Times New Roman"/>
        </w:rPr>
      </w:pPr>
      <w:r>
        <w:rPr>
          <w:rFonts w:ascii="Garamond" w:hAnsi="Garamond" w:cs="Times New Roman"/>
          <w:b/>
          <w:bCs/>
        </w:rPr>
        <w:t>Author Contribution Statement:</w:t>
      </w:r>
      <w:r>
        <w:rPr>
          <w:rFonts w:ascii="Garamond" w:hAnsi="Garamond" w:cs="Times New Roman"/>
        </w:rPr>
        <w:t xml:space="preserve"> Ben Makhlouf performed data analysis and wrote the manuscript, Daniel E. Schindler directed the project and analysis, secured funding, and helped to develop the manuscript. Timothy J. Cline contributed to analysis and code development, Diego Fernandez performed laboratory microchemical analysis, Janessa Esquible directed otolith dataset collection, Avery Hoffman directed the field sampling program as part of the Bethel Test Fishery. All co-authors reviewed the final manuscript. </w:t>
      </w:r>
    </w:p>
    <w:p w14:paraId="438A18FD" w14:textId="77777777" w:rsidR="00C2778F" w:rsidRDefault="00C2778F" w:rsidP="00C2778F">
      <w:pPr>
        <w:jc w:val="center"/>
        <w:rPr>
          <w:rFonts w:ascii="Garamond" w:hAnsi="Garamond" w:cs="Times New Roman"/>
          <w:b/>
          <w:bCs/>
        </w:rPr>
      </w:pPr>
    </w:p>
    <w:p w14:paraId="3ADBB868" w14:textId="77EC6921" w:rsidR="00C2778F" w:rsidRPr="001A17C1" w:rsidRDefault="00C2778F" w:rsidP="00C2778F">
      <w:pPr>
        <w:rPr>
          <w:rFonts w:ascii="Garamond" w:hAnsi="Garamond" w:cs="Times New Roman"/>
        </w:rPr>
      </w:pPr>
      <w:r>
        <w:rPr>
          <w:rFonts w:ascii="Garamond" w:hAnsi="Garamond" w:cs="Times New Roman"/>
          <w:b/>
          <w:bCs/>
        </w:rPr>
        <w:t>Data Availability Statement:</w:t>
      </w:r>
      <w:r>
        <w:rPr>
          <w:rFonts w:ascii="Garamond" w:hAnsi="Garamond" w:cs="Times New Roman"/>
        </w:rPr>
        <w:t xml:space="preserve"> Data will be available in an open Dryad repository: http://datadryad.org/share/LINK_NOT_FOR_PUBLICATION/Sqv1RJ19OMW_MkxaOOWTsS7DT1q5Y4gE-pqzVPn5HJo</w:t>
      </w:r>
    </w:p>
    <w:p w14:paraId="29347CE7" w14:textId="77777777" w:rsidR="003525FA" w:rsidRPr="007B1069" w:rsidRDefault="003525FA" w:rsidP="003525FA">
      <w:pPr>
        <w:pStyle w:val="whitespace-normal"/>
        <w:spacing w:line="480" w:lineRule="auto"/>
        <w:rPr>
          <w:rFonts w:ascii="Garamond" w:eastAsiaTheme="majorEastAsia" w:hAnsi="Garamond"/>
          <w:b/>
          <w:bCs/>
        </w:rPr>
      </w:pPr>
    </w:p>
    <w:p w14:paraId="66FE2C7D" w14:textId="406C547B" w:rsidR="005D0EF1" w:rsidRPr="00BA542C" w:rsidRDefault="005D0EF1" w:rsidP="005D0EF1">
      <w:pPr>
        <w:pStyle w:val="whitespace-normal"/>
        <w:spacing w:line="480" w:lineRule="auto"/>
        <w:rPr>
          <w:b/>
          <w:bCs/>
        </w:rPr>
      </w:pPr>
      <w:r>
        <w:rPr>
          <w:b/>
          <w:bCs/>
        </w:rPr>
        <w:t xml:space="preserve">References </w:t>
      </w:r>
    </w:p>
    <w:p w14:paraId="6B50868A" w14:textId="77777777" w:rsidR="00983667" w:rsidRPr="00983667" w:rsidRDefault="00836381" w:rsidP="00983667">
      <w:pPr>
        <w:pStyle w:val="Bibliography"/>
        <w:rPr>
          <w:rFonts w:ascii="Garamond" w:hAnsi="Garamond"/>
        </w:rPr>
      </w:pPr>
      <w:r>
        <w:rPr>
          <w:rFonts w:ascii="Garamond" w:hAnsi="Garamond"/>
        </w:rPr>
        <w:fldChar w:fldCharType="begin"/>
      </w:r>
      <w:r>
        <w:rPr>
          <w:rFonts w:ascii="Garamond" w:hAnsi="Garamond"/>
        </w:rPr>
        <w:instrText xml:space="preserve"> ADDIN ZOTERO_BIBL {"uncited":[],"omitted":[],"custom":[]} CSL_BIBLIOGRAPHY </w:instrText>
      </w:r>
      <w:r>
        <w:rPr>
          <w:rFonts w:ascii="Garamond" w:hAnsi="Garamond"/>
        </w:rPr>
        <w:fldChar w:fldCharType="separate"/>
      </w:r>
      <w:r>
        <w:rPr>
          <w:rFonts w:ascii="Garamond" w:hAnsi="Garamond"/>
        </w:rPr>
        <w:t xml:space="preserve">ADFG. (2025). </w:t>
      </w:r>
      <w:r>
        <w:rPr>
          <w:rFonts w:ascii="Garamond" w:hAnsi="Garamond"/>
          <w:i/>
          <w:iCs/>
        </w:rPr>
        <w:t>Kuskokwim River Area: Subsistence Fishing</w:t>
      </w:r>
      <w:r>
        <w:rPr>
          <w:rFonts w:ascii="Garamond" w:hAnsi="Garamond"/>
        </w:rPr>
        <w:t>. https://www.adfg.alaska.gov/index.cfm?adfg=ByAreaSubsistenceKuskokwim.fishingInfo</w:t>
      </w:r>
    </w:p>
    <w:p w14:paraId="0B463E98" w14:textId="77777777" w:rsidR="00983667" w:rsidRPr="00983667" w:rsidRDefault="00983667" w:rsidP="00983667">
      <w:pPr>
        <w:pStyle w:val="Bibliography"/>
        <w:rPr>
          <w:rFonts w:ascii="Garamond" w:hAnsi="Garamond"/>
        </w:rPr>
      </w:pPr>
      <w:r>
        <w:rPr>
          <w:rFonts w:ascii="Garamond" w:hAnsi="Garamond"/>
        </w:rPr>
        <w:lastRenderedPageBreak/>
        <w:t xml:space="preserve">Bolnick, D. I., Amarasekare, P., Araújo, M. S., Bürger, R., Levine, J. M., Novak, M., Rudolf, V. H. W., Schreiber, S. J., Urban, M. C., &amp; Vasseur, D. A. (2011). Why intraspecific trait variation matters in community ecology. </w:t>
      </w:r>
      <w:r>
        <w:rPr>
          <w:rFonts w:ascii="Garamond" w:hAnsi="Garamond"/>
          <w:i/>
          <w:iCs/>
        </w:rPr>
        <w:t>Trends in Ecology &amp; Evolution</w:t>
      </w:r>
      <w:r>
        <w:rPr>
          <w:rFonts w:ascii="Garamond" w:hAnsi="Garamond"/>
        </w:rPr>
        <w:t xml:space="preserve">, </w:t>
      </w:r>
      <w:r>
        <w:rPr>
          <w:rFonts w:ascii="Garamond" w:hAnsi="Garamond"/>
          <w:i/>
          <w:iCs/>
        </w:rPr>
        <w:t>26</w:t>
      </w:r>
      <w:r>
        <w:rPr>
          <w:rFonts w:ascii="Garamond" w:hAnsi="Garamond"/>
        </w:rPr>
        <w:t>(4), 183–192. https://doi.org/10.1016/j.tree.2011.01.009</w:t>
      </w:r>
    </w:p>
    <w:p w14:paraId="20DBF442" w14:textId="77777777" w:rsidR="00983667" w:rsidRPr="00983667" w:rsidRDefault="00983667" w:rsidP="00983667">
      <w:pPr>
        <w:pStyle w:val="Bibliography"/>
        <w:rPr>
          <w:rFonts w:ascii="Garamond" w:hAnsi="Garamond"/>
        </w:rPr>
      </w:pPr>
      <w:r>
        <w:rPr>
          <w:rFonts w:ascii="Garamond" w:hAnsi="Garamond"/>
        </w:rPr>
        <w:t xml:space="preserve">Brennan, S. R., &amp; Schindler, D. E. (2017). Linking otolith microchemistry and dendritic isoscapes to map heterogeneous production of fish across river basins. </w:t>
      </w:r>
      <w:r>
        <w:rPr>
          <w:rFonts w:ascii="Garamond" w:hAnsi="Garamond"/>
          <w:i/>
          <w:iCs/>
        </w:rPr>
        <w:t>Ecological Applications</w:t>
      </w:r>
      <w:r>
        <w:rPr>
          <w:rFonts w:ascii="Garamond" w:hAnsi="Garamond"/>
        </w:rPr>
        <w:t xml:space="preserve">, </w:t>
      </w:r>
      <w:r>
        <w:rPr>
          <w:rFonts w:ascii="Garamond" w:hAnsi="Garamond"/>
          <w:i/>
          <w:iCs/>
        </w:rPr>
        <w:t>27</w:t>
      </w:r>
      <w:r>
        <w:rPr>
          <w:rFonts w:ascii="Garamond" w:hAnsi="Garamond"/>
        </w:rPr>
        <w:t>(2), 363–377. https://doi.org/10.1002/eap.1474</w:t>
      </w:r>
    </w:p>
    <w:p w14:paraId="313653CE" w14:textId="77777777" w:rsidR="00983667" w:rsidRPr="00983667" w:rsidRDefault="00983667" w:rsidP="00983667">
      <w:pPr>
        <w:pStyle w:val="Bibliography"/>
        <w:rPr>
          <w:rFonts w:ascii="Garamond" w:hAnsi="Garamond"/>
        </w:rPr>
      </w:pPr>
      <w:r>
        <w:rPr>
          <w:rFonts w:ascii="Garamond" w:hAnsi="Garamond"/>
        </w:rPr>
        <w:t xml:space="preserve">Brennan, S. R., Schindler, D. E., Cline, T. J., Walsworth, T. E., Buck, G., &amp; Fernandez, D. P. (2019). Shifting habitat mosaics and fish production across river basins. </w:t>
      </w:r>
      <w:r>
        <w:rPr>
          <w:rFonts w:ascii="Garamond" w:hAnsi="Garamond"/>
          <w:i/>
          <w:iCs/>
        </w:rPr>
        <w:t>Science</w:t>
      </w:r>
      <w:r>
        <w:rPr>
          <w:rFonts w:ascii="Garamond" w:hAnsi="Garamond"/>
        </w:rPr>
        <w:t xml:space="preserve">, </w:t>
      </w:r>
      <w:r>
        <w:rPr>
          <w:rFonts w:ascii="Garamond" w:hAnsi="Garamond"/>
          <w:i/>
          <w:iCs/>
        </w:rPr>
        <w:t>364</w:t>
      </w:r>
      <w:r>
        <w:rPr>
          <w:rFonts w:ascii="Garamond" w:hAnsi="Garamond"/>
        </w:rPr>
        <w:t>(6442), 783–786. https://doi.org/10.1126/science.aav4313</w:t>
      </w:r>
    </w:p>
    <w:p w14:paraId="0C39D8C9" w14:textId="77777777" w:rsidR="00983667" w:rsidRPr="00983667" w:rsidRDefault="00983667" w:rsidP="00983667">
      <w:pPr>
        <w:pStyle w:val="Bibliography"/>
        <w:rPr>
          <w:rFonts w:ascii="Garamond" w:hAnsi="Garamond"/>
        </w:rPr>
      </w:pPr>
      <w:r>
        <w:rPr>
          <w:rFonts w:ascii="Garamond" w:hAnsi="Garamond"/>
        </w:rPr>
        <w:t xml:space="preserve">Brennan, S. R., Torgersen, C. E., Hollenbeck, J. P., Fernandez, D. P., Jensen, C. K., &amp; Schindler, D. E. (2016). Dendritic network models: Improving isoscapes and quantifying influence of landscape and in-stream processes on strontium isotopes in rivers. </w:t>
      </w:r>
      <w:r>
        <w:rPr>
          <w:rFonts w:ascii="Garamond" w:hAnsi="Garamond"/>
          <w:i/>
          <w:iCs/>
        </w:rPr>
        <w:t>Geophysical Research Letters</w:t>
      </w:r>
      <w:r>
        <w:rPr>
          <w:rFonts w:ascii="Garamond" w:hAnsi="Garamond"/>
        </w:rPr>
        <w:t xml:space="preserve">, </w:t>
      </w:r>
      <w:r>
        <w:rPr>
          <w:rFonts w:ascii="Garamond" w:hAnsi="Garamond"/>
          <w:i/>
          <w:iCs/>
        </w:rPr>
        <w:t>43</w:t>
      </w:r>
      <w:r>
        <w:rPr>
          <w:rFonts w:ascii="Garamond" w:hAnsi="Garamond"/>
        </w:rPr>
        <w:t>(10), 5043–5051. https://doi.org/10.1002/2016GL068904</w:t>
      </w:r>
    </w:p>
    <w:p w14:paraId="223E4D6B" w14:textId="77777777" w:rsidR="00983667" w:rsidRPr="00983667" w:rsidRDefault="00983667" w:rsidP="00983667">
      <w:pPr>
        <w:pStyle w:val="Bibliography"/>
        <w:rPr>
          <w:rFonts w:ascii="Garamond" w:hAnsi="Garamond"/>
        </w:rPr>
      </w:pPr>
      <w:r>
        <w:rPr>
          <w:rFonts w:ascii="Garamond" w:hAnsi="Garamond"/>
        </w:rPr>
        <w:t xml:space="preserve">Brennan, S. R., Zimmerman, C. E., Fernandez, D. P., Cerling, T. E., McPhee, M. V., &amp; Wooller, M. J. (2015). Strontium isotopes delineate fine-scale natal origins and migration histories of Pacific salmon. </w:t>
      </w:r>
      <w:r>
        <w:rPr>
          <w:rFonts w:ascii="Garamond" w:hAnsi="Garamond"/>
          <w:i/>
          <w:iCs/>
        </w:rPr>
        <w:t>Science Advances</w:t>
      </w:r>
      <w:r>
        <w:rPr>
          <w:rFonts w:ascii="Garamond" w:hAnsi="Garamond"/>
        </w:rPr>
        <w:t xml:space="preserve">, </w:t>
      </w:r>
      <w:r>
        <w:rPr>
          <w:rFonts w:ascii="Garamond" w:hAnsi="Garamond"/>
          <w:i/>
          <w:iCs/>
        </w:rPr>
        <w:t>1</w:t>
      </w:r>
      <w:r>
        <w:rPr>
          <w:rFonts w:ascii="Garamond" w:hAnsi="Garamond"/>
        </w:rPr>
        <w:t>(4), e1400124. https://doi.org/10.1126/sciadv.1400124</w:t>
      </w:r>
    </w:p>
    <w:p w14:paraId="4B2CD6C4" w14:textId="77777777" w:rsidR="00983667" w:rsidRPr="00983667" w:rsidRDefault="00983667" w:rsidP="00983667">
      <w:pPr>
        <w:pStyle w:val="Bibliography"/>
        <w:rPr>
          <w:rFonts w:ascii="Garamond" w:hAnsi="Garamond"/>
        </w:rPr>
      </w:pPr>
      <w:r>
        <w:rPr>
          <w:rFonts w:ascii="Garamond" w:hAnsi="Garamond"/>
        </w:rPr>
        <w:t xml:space="preserve">Brown, C. L., &amp; Godduhn, A. (2015). </w:t>
      </w:r>
      <w:r>
        <w:rPr>
          <w:rFonts w:ascii="Garamond" w:hAnsi="Garamond"/>
          <w:i/>
          <w:iCs/>
        </w:rPr>
        <w:t>Socioeconomic effects of declining salmon runs on the Yukon River</w:t>
      </w:r>
      <w:r>
        <w:rPr>
          <w:rFonts w:ascii="Garamond" w:hAnsi="Garamond"/>
        </w:rPr>
        <w:t>.</w:t>
      </w:r>
    </w:p>
    <w:p w14:paraId="1237EF54" w14:textId="77777777" w:rsidR="00983667" w:rsidRPr="00983667" w:rsidRDefault="00983667" w:rsidP="00983667">
      <w:pPr>
        <w:pStyle w:val="Bibliography"/>
        <w:rPr>
          <w:rFonts w:ascii="Garamond" w:hAnsi="Garamond"/>
        </w:rPr>
      </w:pPr>
      <w:r>
        <w:rPr>
          <w:rFonts w:ascii="Garamond" w:hAnsi="Garamond"/>
        </w:rPr>
        <w:t xml:space="preserve">Campana, S. (1999). Chemistry and composition of fish otoliths:pathways, mechanisms and applications. </w:t>
      </w:r>
      <w:r>
        <w:rPr>
          <w:rFonts w:ascii="Garamond" w:hAnsi="Garamond"/>
          <w:i/>
          <w:iCs/>
        </w:rPr>
        <w:t>Marine Ecology Progress Series</w:t>
      </w:r>
      <w:r>
        <w:rPr>
          <w:rFonts w:ascii="Garamond" w:hAnsi="Garamond"/>
        </w:rPr>
        <w:t xml:space="preserve">, </w:t>
      </w:r>
      <w:r>
        <w:rPr>
          <w:rFonts w:ascii="Garamond" w:hAnsi="Garamond"/>
          <w:i/>
          <w:iCs/>
        </w:rPr>
        <w:t>188</w:t>
      </w:r>
      <w:r>
        <w:rPr>
          <w:rFonts w:ascii="Garamond" w:hAnsi="Garamond"/>
        </w:rPr>
        <w:t>, 263–297. https://doi.org/10.3354/meps188263</w:t>
      </w:r>
    </w:p>
    <w:p w14:paraId="06E51FFE" w14:textId="1841151D" w:rsidR="00983667" w:rsidRPr="00983667" w:rsidDel="00077041" w:rsidRDefault="00983667" w:rsidP="00983667">
      <w:pPr>
        <w:pStyle w:val="Bibliography"/>
        <w:rPr>
          <w:del w:id="552" w:author="Benjamin J. Makhlouf" w:date="2026-07-08T12:10:00Z" w16du:dateUtc="2026-07-08T19:10:00Z"/>
          <w:rFonts w:ascii="Garamond" w:hAnsi="Garamond"/>
        </w:rPr>
      </w:pPr>
      <w:del w:id="553" w:author="Benjamin J. Makhlouf" w:date="2026-07-08T12:10:00Z" w16du:dateUtc="2026-07-08T19:10:00Z">
        <w:r w:rsidDel="00077041">
          <w:rPr>
            <w:rFonts w:ascii="Garamond" w:hAnsi="Garamond"/>
          </w:rPr>
          <w:delText xml:space="preserve">Capo, R. C., Stewart, B. W., &amp; Chadwick, O. A. (1998). Strontium isotopes as tracers of ecosystem processes: Theory and methods. </w:delText>
        </w:r>
        <w:r w:rsidDel="00077041">
          <w:rPr>
            <w:rFonts w:ascii="Garamond" w:hAnsi="Garamond"/>
            <w:i/>
            <w:iCs/>
          </w:rPr>
          <w:delText>Geoderma</w:delText>
        </w:r>
        <w:r w:rsidDel="00077041">
          <w:rPr>
            <w:rFonts w:ascii="Garamond" w:hAnsi="Garamond"/>
          </w:rPr>
          <w:delText xml:space="preserve">, </w:delText>
        </w:r>
        <w:r w:rsidDel="00077041">
          <w:rPr>
            <w:rFonts w:ascii="Garamond" w:hAnsi="Garamond"/>
            <w:i/>
            <w:iCs/>
          </w:rPr>
          <w:delText>82</w:delText>
        </w:r>
        <w:r w:rsidDel="00077041">
          <w:rPr>
            <w:rFonts w:ascii="Garamond" w:hAnsi="Garamond"/>
          </w:rPr>
          <w:delText>(1), 197–225. https://doi.org/10.1016/S0016-7061(97)00102-X</w:delText>
        </w:r>
      </w:del>
    </w:p>
    <w:p w14:paraId="1F0908C6" w14:textId="77777777" w:rsidR="00983667" w:rsidRPr="00983667" w:rsidRDefault="00983667" w:rsidP="00983667">
      <w:pPr>
        <w:pStyle w:val="Bibliography"/>
        <w:rPr>
          <w:rFonts w:ascii="Garamond" w:hAnsi="Garamond"/>
        </w:rPr>
      </w:pPr>
      <w:r>
        <w:rPr>
          <w:rFonts w:ascii="Garamond" w:hAnsi="Garamond"/>
        </w:rPr>
        <w:lastRenderedPageBreak/>
        <w:t xml:space="preserve">Chittaro, P., Hegg, J., Fuhrman, A., Robichaux, D., Doung, R., Beckman, B., Fisher, C., Vervoort, J., &amp; Kennedy, B. (2023). The incorporation of environmentally derived 87Sr/86Sr and Sr/Ca in early otolith formation of Chinook salmon. </w:t>
      </w:r>
      <w:r>
        <w:rPr>
          <w:rFonts w:ascii="Garamond" w:hAnsi="Garamond"/>
          <w:i/>
          <w:iCs/>
        </w:rPr>
        <w:t>Ecology of Freshwater Fish</w:t>
      </w:r>
      <w:r>
        <w:rPr>
          <w:rFonts w:ascii="Garamond" w:hAnsi="Garamond"/>
        </w:rPr>
        <w:t xml:space="preserve">, </w:t>
      </w:r>
      <w:r>
        <w:rPr>
          <w:rFonts w:ascii="Garamond" w:hAnsi="Garamond"/>
          <w:i/>
          <w:iCs/>
        </w:rPr>
        <w:t>32</w:t>
      </w:r>
      <w:r>
        <w:rPr>
          <w:rFonts w:ascii="Garamond" w:hAnsi="Garamond"/>
        </w:rPr>
        <w:t>(1), 107–119. https://doi.org/10.1111/eff.12673</w:t>
      </w:r>
    </w:p>
    <w:p w14:paraId="38A261EE" w14:textId="77777777" w:rsidR="00983667" w:rsidRPr="00983667" w:rsidRDefault="00983667" w:rsidP="00983667">
      <w:pPr>
        <w:pStyle w:val="Bibliography"/>
        <w:rPr>
          <w:rFonts w:ascii="Garamond" w:hAnsi="Garamond"/>
        </w:rPr>
      </w:pPr>
      <w:r>
        <w:rPr>
          <w:rFonts w:ascii="Garamond" w:hAnsi="Garamond"/>
        </w:rPr>
        <w:t xml:space="preserve">Clark, J. N., &amp; Smith, N. J. (2019). </w:t>
      </w:r>
      <w:r>
        <w:rPr>
          <w:rFonts w:ascii="Garamond" w:hAnsi="Garamond"/>
          <w:i/>
          <w:iCs/>
        </w:rPr>
        <w:t>Inriver Abundance of Kuskokwim River Chinook Salmon, 2017</w:t>
      </w:r>
      <w:r>
        <w:rPr>
          <w:rFonts w:ascii="Garamond" w:hAnsi="Garamond"/>
        </w:rPr>
        <w:t xml:space="preserve">. </w:t>
      </w:r>
      <w:r>
        <w:rPr>
          <w:rFonts w:ascii="Garamond" w:hAnsi="Garamond"/>
          <w:i/>
          <w:iCs/>
        </w:rPr>
        <w:t>Alaska Department of Fish and Game, Fishery Data Series No. 19-21, Anchorage.</w:t>
      </w:r>
    </w:p>
    <w:p w14:paraId="4893C4AC" w14:textId="77777777" w:rsidR="00983667" w:rsidRPr="00983667" w:rsidRDefault="00983667" w:rsidP="00983667">
      <w:pPr>
        <w:pStyle w:val="Bibliography"/>
        <w:rPr>
          <w:rFonts w:ascii="Garamond" w:hAnsi="Garamond"/>
        </w:rPr>
      </w:pPr>
      <w:r>
        <w:rPr>
          <w:rFonts w:ascii="Garamond" w:hAnsi="Garamond"/>
        </w:rPr>
        <w:t xml:space="preserve">Clark, S. C., Tanner, T. L., Sethi, S. A., Bentley, K. T., &amp; Schindler, D. E. (2015). Migration Timing of Adult Chinook Salmon into the Togiak River, Alaska, Watershed: Is There Evidence for Stock Structure? </w:t>
      </w:r>
      <w:r>
        <w:rPr>
          <w:rFonts w:ascii="Garamond" w:hAnsi="Garamond"/>
          <w:i/>
          <w:iCs/>
        </w:rPr>
        <w:t>Transactions of the American Fisheries Society</w:t>
      </w:r>
      <w:r>
        <w:rPr>
          <w:rFonts w:ascii="Garamond" w:hAnsi="Garamond"/>
        </w:rPr>
        <w:t xml:space="preserve">, </w:t>
      </w:r>
      <w:r>
        <w:rPr>
          <w:rFonts w:ascii="Garamond" w:hAnsi="Garamond"/>
          <w:i/>
          <w:iCs/>
        </w:rPr>
        <w:t>144</w:t>
      </w:r>
      <w:r>
        <w:rPr>
          <w:rFonts w:ascii="Garamond" w:hAnsi="Garamond"/>
        </w:rPr>
        <w:t>(4), 829–836. https://doi.org/10.1080/00028487.2015.1031281</w:t>
      </w:r>
    </w:p>
    <w:p w14:paraId="67ECD2D3" w14:textId="77777777" w:rsidR="00983667" w:rsidRPr="00983667" w:rsidRDefault="00983667" w:rsidP="00983667">
      <w:pPr>
        <w:pStyle w:val="Bibliography"/>
        <w:rPr>
          <w:rFonts w:ascii="Garamond" w:hAnsi="Garamond"/>
        </w:rPr>
      </w:pPr>
      <w:r>
        <w:rPr>
          <w:rFonts w:ascii="Garamond" w:hAnsi="Garamond"/>
        </w:rPr>
        <w:t xml:space="preserve">Cline, T. J., Schindler, D. E., &amp; Hilborn, R. (2017). Fisheries portfolio diversification and turnover buffer Alaskan fishing communities from abrupt resource and market changes. </w:t>
      </w:r>
      <w:r>
        <w:rPr>
          <w:rFonts w:ascii="Garamond" w:hAnsi="Garamond"/>
          <w:i/>
          <w:iCs/>
        </w:rPr>
        <w:t>Nature Communications</w:t>
      </w:r>
      <w:r>
        <w:rPr>
          <w:rFonts w:ascii="Garamond" w:hAnsi="Garamond"/>
        </w:rPr>
        <w:t xml:space="preserve">, </w:t>
      </w:r>
      <w:r>
        <w:rPr>
          <w:rFonts w:ascii="Garamond" w:hAnsi="Garamond"/>
          <w:i/>
          <w:iCs/>
        </w:rPr>
        <w:t>8</w:t>
      </w:r>
      <w:r>
        <w:rPr>
          <w:rFonts w:ascii="Garamond" w:hAnsi="Garamond"/>
        </w:rPr>
        <w:t>(1), Article 1. https://doi.org/10.1038/ncomms14042</w:t>
      </w:r>
    </w:p>
    <w:p w14:paraId="0360C86A" w14:textId="77777777" w:rsidR="00983667" w:rsidRPr="00983667" w:rsidRDefault="00983667" w:rsidP="00983667">
      <w:pPr>
        <w:pStyle w:val="Bibliography"/>
        <w:rPr>
          <w:rFonts w:ascii="Garamond" w:hAnsi="Garamond"/>
        </w:rPr>
      </w:pPr>
      <w:r>
        <w:rPr>
          <w:rFonts w:ascii="Garamond" w:hAnsi="Garamond"/>
        </w:rPr>
        <w:t xml:space="preserve">Connors, B. M., Staton, B., Coggins, L., Walters, C., Jones, M., Gwinn, D., Catalano, M., &amp; Fleischman, S. (2020). Incorporating harvest–population diversity trade-offs into harvest policy analyses of salmon management in large river basins. </w:t>
      </w:r>
      <w:r>
        <w:rPr>
          <w:rFonts w:ascii="Garamond" w:hAnsi="Garamond"/>
          <w:i/>
          <w:iCs/>
        </w:rPr>
        <w:t>Canadian Journal of Fisheries and Aquatic Sciences</w:t>
      </w:r>
      <w:r>
        <w:rPr>
          <w:rFonts w:ascii="Garamond" w:hAnsi="Garamond"/>
        </w:rPr>
        <w:t xml:space="preserve">, </w:t>
      </w:r>
      <w:r>
        <w:rPr>
          <w:rFonts w:ascii="Garamond" w:hAnsi="Garamond"/>
          <w:i/>
          <w:iCs/>
        </w:rPr>
        <w:t>77</w:t>
      </w:r>
      <w:r>
        <w:rPr>
          <w:rFonts w:ascii="Garamond" w:hAnsi="Garamond"/>
        </w:rPr>
        <w:t>(6), 1076–1089. https://doi.org/10.1139/cjfas-2019-0282</w:t>
      </w:r>
    </w:p>
    <w:p w14:paraId="32F5433B" w14:textId="77777777" w:rsidR="00983667" w:rsidRPr="00983667" w:rsidRDefault="00983667" w:rsidP="00983667">
      <w:pPr>
        <w:pStyle w:val="Bibliography"/>
        <w:rPr>
          <w:rFonts w:ascii="Garamond" w:hAnsi="Garamond"/>
        </w:rPr>
      </w:pPr>
      <w:r>
        <w:rPr>
          <w:rFonts w:ascii="Garamond" w:hAnsi="Garamond"/>
        </w:rPr>
        <w:t xml:space="preserve">Donohoe, C. J., &amp; Zimmerman, C. E. (2010). A method of mounting multiple otoliths for beam-based microchemical analyses. </w:t>
      </w:r>
      <w:r>
        <w:rPr>
          <w:rFonts w:ascii="Garamond" w:hAnsi="Garamond"/>
          <w:i/>
          <w:iCs/>
        </w:rPr>
        <w:t>Environmental Biology of Fishes</w:t>
      </w:r>
      <w:r>
        <w:rPr>
          <w:rFonts w:ascii="Garamond" w:hAnsi="Garamond"/>
        </w:rPr>
        <w:t xml:space="preserve">, </w:t>
      </w:r>
      <w:r>
        <w:rPr>
          <w:rFonts w:ascii="Garamond" w:hAnsi="Garamond"/>
          <w:i/>
          <w:iCs/>
        </w:rPr>
        <w:t>89</w:t>
      </w:r>
      <w:r>
        <w:rPr>
          <w:rFonts w:ascii="Garamond" w:hAnsi="Garamond"/>
        </w:rPr>
        <w:t>(3), 473–477. https://doi.org/10.1007/s10641-010-9680-3</w:t>
      </w:r>
    </w:p>
    <w:p w14:paraId="0620F52B" w14:textId="77777777" w:rsidR="00983667" w:rsidRPr="00983667" w:rsidRDefault="00983667" w:rsidP="00983667">
      <w:pPr>
        <w:pStyle w:val="Bibliography"/>
        <w:rPr>
          <w:rFonts w:ascii="Garamond" w:hAnsi="Garamond"/>
        </w:rPr>
      </w:pPr>
      <w:r>
        <w:rPr>
          <w:rFonts w:ascii="Garamond" w:hAnsi="Garamond"/>
        </w:rPr>
        <w:t xml:space="preserve">Falke, &amp; Paul. (2025). </w:t>
      </w:r>
      <w:r>
        <w:rPr>
          <w:rFonts w:ascii="Garamond" w:hAnsi="Garamond"/>
          <w:i/>
          <w:iCs/>
        </w:rPr>
        <w:t>Stream Attributes and Habitat Intrinsic Potential Model Results to examine Freshwater Habitat Potential for Chinook Salmon in the Yukon and Kuskokwim River Basins, Alaska</w:t>
      </w:r>
      <w:r>
        <w:rPr>
          <w:rFonts w:ascii="Garamond" w:hAnsi="Garamond"/>
        </w:rPr>
        <w:t xml:space="preserve"> [Csv,xml,shp]. U.S. Geological Survey. https://doi.org/10.5066/P95AV4JO</w:t>
      </w:r>
    </w:p>
    <w:p w14:paraId="396A3815" w14:textId="77777777" w:rsidR="00983667" w:rsidRPr="00983667" w:rsidRDefault="00983667" w:rsidP="00983667">
      <w:pPr>
        <w:pStyle w:val="Bibliography"/>
        <w:rPr>
          <w:rFonts w:ascii="Garamond" w:hAnsi="Garamond"/>
        </w:rPr>
      </w:pPr>
      <w:r>
        <w:rPr>
          <w:rFonts w:ascii="Garamond" w:hAnsi="Garamond"/>
        </w:rPr>
        <w:lastRenderedPageBreak/>
        <w:t xml:space="preserve">French, D. W., Schindler, D. E., Brennan, S. R., &amp; Whited, D. (2020). Headwater Catchments Govern Biogeochemistry in America’s Largest Free-Flowing River Network. </w:t>
      </w:r>
      <w:r>
        <w:rPr>
          <w:rFonts w:ascii="Garamond" w:hAnsi="Garamond"/>
          <w:i/>
          <w:iCs/>
        </w:rPr>
        <w:t>Journal of Geophysical Research: Biogeosciences</w:t>
      </w:r>
      <w:r>
        <w:rPr>
          <w:rFonts w:ascii="Garamond" w:hAnsi="Garamond"/>
        </w:rPr>
        <w:t xml:space="preserve">, </w:t>
      </w:r>
      <w:r>
        <w:rPr>
          <w:rFonts w:ascii="Garamond" w:hAnsi="Garamond"/>
          <w:i/>
          <w:iCs/>
        </w:rPr>
        <w:t>125</w:t>
      </w:r>
      <w:r>
        <w:rPr>
          <w:rFonts w:ascii="Garamond" w:hAnsi="Garamond"/>
        </w:rPr>
        <w:t>(12), e2020JG005851. https://doi.org/10.1029/2020JG005851</w:t>
      </w:r>
    </w:p>
    <w:p w14:paraId="3AF63FB7" w14:textId="77777777" w:rsidR="00983667" w:rsidRPr="00983667" w:rsidRDefault="00983667" w:rsidP="00983667">
      <w:pPr>
        <w:pStyle w:val="Bibliography"/>
        <w:rPr>
          <w:rFonts w:ascii="Garamond" w:hAnsi="Garamond"/>
        </w:rPr>
      </w:pPr>
      <w:r>
        <w:rPr>
          <w:rFonts w:ascii="Garamond" w:hAnsi="Garamond"/>
        </w:rPr>
        <w:t xml:space="preserve">Griffiths, J. R., Schindler, D. E., Armstrong, J. B., Scheuerell, M. D., Whited, D. C., Clark, R. A., Hilborn, R., Holt, C. A., Lindley, S. T., Stanford, J. A., &amp; Volk, E. C. (2014). Performance of salmon fishery portfolios across western North America. </w:t>
      </w:r>
      <w:r>
        <w:rPr>
          <w:rFonts w:ascii="Garamond" w:hAnsi="Garamond"/>
          <w:i/>
          <w:iCs/>
        </w:rPr>
        <w:t>Biological Conservation</w:t>
      </w:r>
      <w:r>
        <w:rPr>
          <w:rFonts w:ascii="Garamond" w:hAnsi="Garamond"/>
        </w:rPr>
        <w:t xml:space="preserve">, </w:t>
      </w:r>
      <w:r>
        <w:rPr>
          <w:rFonts w:ascii="Garamond" w:hAnsi="Garamond"/>
          <w:i/>
          <w:iCs/>
        </w:rPr>
        <w:t>51</w:t>
      </w:r>
      <w:r>
        <w:rPr>
          <w:rFonts w:ascii="Garamond" w:hAnsi="Garamond"/>
        </w:rPr>
        <w:t>(6), 1554–1563. https://doi.org/10.1111/1365-2664.12341</w:t>
      </w:r>
    </w:p>
    <w:p w14:paraId="13F73144" w14:textId="77777777" w:rsidR="00983667" w:rsidRPr="00983667" w:rsidRDefault="00983667" w:rsidP="00983667">
      <w:pPr>
        <w:pStyle w:val="Bibliography"/>
        <w:rPr>
          <w:rFonts w:ascii="Garamond" w:hAnsi="Garamond"/>
        </w:rPr>
      </w:pPr>
      <w:r>
        <w:rPr>
          <w:rFonts w:ascii="Garamond" w:hAnsi="Garamond"/>
        </w:rPr>
        <w:t xml:space="preserve">Hamazaki, T. (2008). “When people argue about fish, the fish disappear.” </w:t>
      </w:r>
      <w:r>
        <w:rPr>
          <w:rFonts w:ascii="Garamond" w:hAnsi="Garamond"/>
          <w:i/>
          <w:iCs/>
        </w:rPr>
        <w:t>Fisheries</w:t>
      </w:r>
      <w:r>
        <w:rPr>
          <w:rFonts w:ascii="Garamond" w:hAnsi="Garamond"/>
        </w:rPr>
        <w:t xml:space="preserve">, </w:t>
      </w:r>
      <w:r>
        <w:rPr>
          <w:rFonts w:ascii="Garamond" w:hAnsi="Garamond"/>
          <w:i/>
          <w:iCs/>
        </w:rPr>
        <w:t>33</w:t>
      </w:r>
      <w:r>
        <w:rPr>
          <w:rFonts w:ascii="Garamond" w:hAnsi="Garamond"/>
        </w:rPr>
        <w:t>(10), 495–501. https://doi.org/10.1577/1548-8446-33.10.495</w:t>
      </w:r>
    </w:p>
    <w:p w14:paraId="0D29B2C1" w14:textId="77777777" w:rsidR="00983667" w:rsidRPr="00983667" w:rsidRDefault="00983667" w:rsidP="00983667">
      <w:pPr>
        <w:pStyle w:val="Bibliography"/>
        <w:rPr>
          <w:rFonts w:ascii="Garamond" w:hAnsi="Garamond"/>
        </w:rPr>
      </w:pPr>
      <w:r>
        <w:rPr>
          <w:rFonts w:ascii="Garamond" w:hAnsi="Garamond"/>
        </w:rPr>
        <w:t xml:space="preserve">Head, J. M., Smith, N. J., &amp; Liller, Z. W. (2017). </w:t>
      </w:r>
      <w:r>
        <w:rPr>
          <w:rFonts w:ascii="Garamond" w:hAnsi="Garamond"/>
          <w:i/>
          <w:iCs/>
        </w:rPr>
        <w:t>Inriver abundance of Kuskokwim River Chinook salmon, 2014.</w:t>
      </w:r>
      <w:r>
        <w:rPr>
          <w:rFonts w:ascii="Garamond" w:hAnsi="Garamond"/>
        </w:rPr>
        <w:t xml:space="preserve"> (Alaska Department of Fish and Game, Fishery Data Series No. 17-23, Anchorage.).</w:t>
      </w:r>
    </w:p>
    <w:p w14:paraId="13BB60AC" w14:textId="77777777" w:rsidR="00983667" w:rsidRPr="00983667" w:rsidRDefault="00983667" w:rsidP="00983667">
      <w:pPr>
        <w:pStyle w:val="Bibliography"/>
        <w:rPr>
          <w:rFonts w:ascii="Garamond" w:hAnsi="Garamond"/>
        </w:rPr>
      </w:pPr>
      <w:r>
        <w:rPr>
          <w:rFonts w:ascii="Garamond" w:hAnsi="Garamond"/>
        </w:rPr>
        <w:t xml:space="preserve">Hilborn, R., Quinn, T. P., Schindler, D. E., &amp; Rogers, D. E. (2003). Biocomplexity and fisheries sustainability. </w:t>
      </w:r>
      <w:r>
        <w:rPr>
          <w:rFonts w:ascii="Garamond" w:hAnsi="Garamond"/>
          <w:i/>
          <w:iCs/>
        </w:rPr>
        <w:t>Proceedings of the National Academy of Sciences</w:t>
      </w:r>
      <w:r>
        <w:rPr>
          <w:rFonts w:ascii="Garamond" w:hAnsi="Garamond"/>
        </w:rPr>
        <w:t xml:space="preserve">, </w:t>
      </w:r>
      <w:r>
        <w:rPr>
          <w:rFonts w:ascii="Garamond" w:hAnsi="Garamond"/>
          <w:i/>
          <w:iCs/>
        </w:rPr>
        <w:t>100</w:t>
      </w:r>
      <w:r>
        <w:rPr>
          <w:rFonts w:ascii="Garamond" w:hAnsi="Garamond"/>
        </w:rPr>
        <w:t>(11), 6564–6568. https://doi.org/10.1073/pnas.1037274100</w:t>
      </w:r>
    </w:p>
    <w:p w14:paraId="16784FB3" w14:textId="77777777" w:rsidR="00983667" w:rsidRPr="00983667" w:rsidRDefault="00983667" w:rsidP="00983667">
      <w:pPr>
        <w:pStyle w:val="Bibliography"/>
        <w:rPr>
          <w:rFonts w:ascii="Garamond" w:hAnsi="Garamond"/>
        </w:rPr>
      </w:pPr>
      <w:r>
        <w:rPr>
          <w:rFonts w:ascii="Garamond" w:hAnsi="Garamond"/>
        </w:rPr>
        <w:t xml:space="preserve">KRITFC. (2024). </w:t>
      </w:r>
      <w:r>
        <w:rPr>
          <w:rFonts w:ascii="Garamond" w:hAnsi="Garamond"/>
          <w:i/>
          <w:iCs/>
        </w:rPr>
        <w:t>Kuskokwim River Salmon Situation Report</w:t>
      </w:r>
      <w:r>
        <w:rPr>
          <w:rFonts w:ascii="Garamond" w:hAnsi="Garamond"/>
        </w:rPr>
        <w:t>. https://static1.squarespace.com/static/5afdc3d5e74940913f78773d/t/66e4bb2dfcc5d24880434ff7/1726266166559/2023+Kusko+Situation+Report_4.19.24+final.pdf</w:t>
      </w:r>
    </w:p>
    <w:p w14:paraId="209635C2" w14:textId="77777777" w:rsidR="00983667" w:rsidRPr="00983667" w:rsidRDefault="00983667" w:rsidP="00983667">
      <w:pPr>
        <w:pStyle w:val="Bibliography"/>
        <w:rPr>
          <w:rFonts w:ascii="Garamond" w:hAnsi="Garamond"/>
        </w:rPr>
      </w:pPr>
      <w:r>
        <w:rPr>
          <w:rFonts w:ascii="Garamond" w:hAnsi="Garamond"/>
        </w:rPr>
        <w:t xml:space="preserve">Lamborn, C. C., Ohlberger, J., Walsworth, T. E., Westley, P. A. H., Cunningham, C. J., Wynsma, S., &amp; Smith, J. W. (2025a). A Synthesis of Factors Related to Trends in Abundance and Demography of Alaska Chinook Salmon (Oncorhynchus tshawytscha, Salmonidae): Implications for Research, Management, and Policy. </w:t>
      </w:r>
      <w:r>
        <w:rPr>
          <w:rFonts w:ascii="Garamond" w:hAnsi="Garamond"/>
          <w:i/>
          <w:iCs/>
        </w:rPr>
        <w:t>Fish and Fisheries</w:t>
      </w:r>
      <w:r>
        <w:rPr>
          <w:rFonts w:ascii="Garamond" w:hAnsi="Garamond"/>
        </w:rPr>
        <w:t xml:space="preserve">, </w:t>
      </w:r>
      <w:r>
        <w:rPr>
          <w:rFonts w:ascii="Garamond" w:hAnsi="Garamond"/>
          <w:i/>
          <w:iCs/>
        </w:rPr>
        <w:t>26</w:t>
      </w:r>
      <w:r>
        <w:rPr>
          <w:rFonts w:ascii="Garamond" w:hAnsi="Garamond"/>
        </w:rPr>
        <w:t>(4), 520–532. https://doi.org/10.1111/faf.12895</w:t>
      </w:r>
    </w:p>
    <w:p w14:paraId="36BA41A0" w14:textId="77777777" w:rsidR="00983667" w:rsidRPr="00983667" w:rsidRDefault="00983667" w:rsidP="00983667">
      <w:pPr>
        <w:pStyle w:val="Bibliography"/>
        <w:rPr>
          <w:rFonts w:ascii="Garamond" w:hAnsi="Garamond"/>
        </w:rPr>
      </w:pPr>
      <w:r>
        <w:rPr>
          <w:rFonts w:ascii="Garamond" w:hAnsi="Garamond"/>
        </w:rPr>
        <w:lastRenderedPageBreak/>
        <w:t xml:space="preserve">Lipka, C., &amp; Elison, T. (2015). </w:t>
      </w:r>
      <w:r>
        <w:rPr>
          <w:rFonts w:ascii="Garamond" w:hAnsi="Garamond"/>
          <w:i/>
          <w:iCs/>
        </w:rPr>
        <w:t>Characterization of the 2012 and 2013 salmon runs in the Kuskokwim River based on the test fishery at Bethel.</w:t>
      </w:r>
      <w:r>
        <w:rPr>
          <w:rFonts w:ascii="Garamond" w:hAnsi="Garamond"/>
        </w:rPr>
        <w:t xml:space="preserve"> (Fishery Data Series No. 16-06 Anchorage). Alaska Department of Fish and Game.</w:t>
      </w:r>
    </w:p>
    <w:p w14:paraId="227478FC" w14:textId="77777777" w:rsidR="00983667" w:rsidRPr="00983667" w:rsidRDefault="00983667" w:rsidP="00983667">
      <w:pPr>
        <w:pStyle w:val="Bibliography"/>
        <w:rPr>
          <w:rFonts w:ascii="Garamond" w:hAnsi="Garamond"/>
        </w:rPr>
      </w:pPr>
      <w:r>
        <w:rPr>
          <w:rFonts w:ascii="Garamond" w:hAnsi="Garamond"/>
        </w:rPr>
        <w:t xml:space="preserve">Luck, G., Daily, G., &amp; Ehrlich, P. (2003). Population diversity and ecosystem services. </w:t>
      </w:r>
      <w:r>
        <w:rPr>
          <w:rFonts w:ascii="Garamond" w:hAnsi="Garamond"/>
          <w:i/>
          <w:iCs/>
        </w:rPr>
        <w:t>Trends in Ecology &amp; Evolution</w:t>
      </w:r>
      <w:r>
        <w:rPr>
          <w:rFonts w:ascii="Garamond" w:hAnsi="Garamond"/>
        </w:rPr>
        <w:t xml:space="preserve">, </w:t>
      </w:r>
      <w:r>
        <w:rPr>
          <w:rFonts w:ascii="Garamond" w:hAnsi="Garamond"/>
          <w:i/>
          <w:iCs/>
        </w:rPr>
        <w:t>18</w:t>
      </w:r>
      <w:r>
        <w:rPr>
          <w:rFonts w:ascii="Garamond" w:hAnsi="Garamond"/>
        </w:rPr>
        <w:t>, 331–336. https://doi.org/10.1016/S0169-5347(03)00100-9</w:t>
      </w:r>
    </w:p>
    <w:p w14:paraId="69521790" w14:textId="77777777" w:rsidR="00983667" w:rsidRPr="00983667" w:rsidRDefault="00983667" w:rsidP="00983667">
      <w:pPr>
        <w:pStyle w:val="Bibliography"/>
        <w:rPr>
          <w:rFonts w:ascii="Garamond" w:hAnsi="Garamond"/>
        </w:rPr>
      </w:pPr>
      <w:r>
        <w:rPr>
          <w:rFonts w:ascii="Garamond" w:hAnsi="Garamond"/>
        </w:rPr>
        <w:t xml:space="preserve">Makhlouf, B., Cline, T. J., Fernandez, D., Seeb, L., Lee, E., Gilk-Baumer, S., Whited, D., Zimmerman, C. E., &amp; Schindler, D. E. (2025). Combining genetic and isotope frameworks improves reconstruction of fish provenance across riverscapes. </w:t>
      </w:r>
      <w:r>
        <w:rPr>
          <w:rFonts w:ascii="Garamond" w:hAnsi="Garamond"/>
          <w:i/>
          <w:iCs/>
        </w:rPr>
        <w:t>Limnology and Oceanography Letters</w:t>
      </w:r>
      <w:r>
        <w:rPr>
          <w:rFonts w:ascii="Garamond" w:hAnsi="Garamond"/>
        </w:rPr>
        <w:t xml:space="preserve">, </w:t>
      </w:r>
      <w:r>
        <w:rPr>
          <w:rFonts w:ascii="Garamond" w:hAnsi="Garamond"/>
          <w:i/>
          <w:iCs/>
        </w:rPr>
        <w:t>n/a</w:t>
      </w:r>
      <w:r>
        <w:rPr>
          <w:rFonts w:ascii="Garamond" w:hAnsi="Garamond"/>
        </w:rPr>
        <w:t>(n/a). https://doi.org/10.1002/lol2.70025</w:t>
      </w:r>
    </w:p>
    <w:p w14:paraId="0D5EDC1D" w14:textId="77777777" w:rsidR="00983667" w:rsidRPr="00983667" w:rsidRDefault="00983667" w:rsidP="00983667">
      <w:pPr>
        <w:pStyle w:val="Bibliography"/>
        <w:rPr>
          <w:rFonts w:ascii="Garamond" w:hAnsi="Garamond"/>
        </w:rPr>
      </w:pPr>
      <w:r>
        <w:rPr>
          <w:rFonts w:ascii="Garamond" w:hAnsi="Garamond"/>
        </w:rPr>
        <w:t xml:space="preserve">Moore, J. W., Connors, B. M., &amp; Hodgson, E. E. (2021). Conservation risks and portfolio effects in mixed-stock fisheries. </w:t>
      </w:r>
      <w:r>
        <w:rPr>
          <w:rFonts w:ascii="Garamond" w:hAnsi="Garamond"/>
          <w:i/>
          <w:iCs/>
        </w:rPr>
        <w:t>Fish and Fisheries</w:t>
      </w:r>
      <w:r>
        <w:rPr>
          <w:rFonts w:ascii="Garamond" w:hAnsi="Garamond"/>
        </w:rPr>
        <w:t xml:space="preserve">, </w:t>
      </w:r>
      <w:r>
        <w:rPr>
          <w:rFonts w:ascii="Garamond" w:hAnsi="Garamond"/>
          <w:i/>
          <w:iCs/>
        </w:rPr>
        <w:t>22</w:t>
      </w:r>
      <w:r>
        <w:rPr>
          <w:rFonts w:ascii="Garamond" w:hAnsi="Garamond"/>
        </w:rPr>
        <w:t>(5), 1024–1040. https://doi.org/10.1111/faf.12567</w:t>
      </w:r>
    </w:p>
    <w:p w14:paraId="0B2EEE20" w14:textId="77777777" w:rsidR="00983667" w:rsidRPr="00983667" w:rsidRDefault="00983667" w:rsidP="00983667">
      <w:pPr>
        <w:pStyle w:val="Bibliography"/>
        <w:rPr>
          <w:rFonts w:ascii="Garamond" w:hAnsi="Garamond"/>
        </w:rPr>
      </w:pPr>
      <w:r>
        <w:rPr>
          <w:rFonts w:ascii="Garamond" w:hAnsi="Garamond"/>
        </w:rPr>
        <w:t xml:space="preserve">Mundy, P. R. (1982). Computation of Migratory Timing Statistics for Adult Chinook Salmon in the Yukon River, Alaska, and Their Relevance to Fisheries Management. </w:t>
      </w:r>
      <w:r>
        <w:rPr>
          <w:rFonts w:ascii="Garamond" w:hAnsi="Garamond"/>
          <w:i/>
          <w:iCs/>
        </w:rPr>
        <w:t>North American Journal of Fisheries Management</w:t>
      </w:r>
      <w:r>
        <w:rPr>
          <w:rFonts w:ascii="Garamond" w:hAnsi="Garamond"/>
        </w:rPr>
        <w:t xml:space="preserve">, </w:t>
      </w:r>
      <w:r>
        <w:rPr>
          <w:rFonts w:ascii="Garamond" w:hAnsi="Garamond"/>
          <w:i/>
          <w:iCs/>
        </w:rPr>
        <w:t>2</w:t>
      </w:r>
      <w:r>
        <w:rPr>
          <w:rFonts w:ascii="Garamond" w:hAnsi="Garamond"/>
        </w:rPr>
        <w:t>(4), 359–370. https://doi.org/10.1577/1548-8659(1982)2%253C359:COMTSF%253E2.0.CO;2</w:t>
      </w:r>
    </w:p>
    <w:p w14:paraId="2271EDD6" w14:textId="77777777" w:rsidR="00983667" w:rsidRPr="00983667" w:rsidRDefault="00983667" w:rsidP="00983667">
      <w:pPr>
        <w:pStyle w:val="Bibliography"/>
        <w:rPr>
          <w:rFonts w:ascii="Garamond" w:hAnsi="Garamond"/>
        </w:rPr>
      </w:pPr>
      <w:r>
        <w:rPr>
          <w:rFonts w:ascii="Garamond" w:hAnsi="Garamond"/>
        </w:rPr>
        <w:t xml:space="preserve">Nesbitt, H. K., &amp; Moore, J. W. (2016). Species and population diversity in Pacific salmon fisheries underpin indigenous food security. </w:t>
      </w:r>
      <w:r>
        <w:rPr>
          <w:rFonts w:ascii="Garamond" w:hAnsi="Garamond"/>
          <w:i/>
          <w:iCs/>
        </w:rPr>
        <w:t>Journal of Applied Ecology</w:t>
      </w:r>
      <w:r>
        <w:rPr>
          <w:rFonts w:ascii="Garamond" w:hAnsi="Garamond"/>
        </w:rPr>
        <w:t xml:space="preserve">, </w:t>
      </w:r>
      <w:r>
        <w:rPr>
          <w:rFonts w:ascii="Garamond" w:hAnsi="Garamond"/>
          <w:i/>
          <w:iCs/>
        </w:rPr>
        <w:t>53</w:t>
      </w:r>
      <w:r>
        <w:rPr>
          <w:rFonts w:ascii="Garamond" w:hAnsi="Garamond"/>
        </w:rPr>
        <w:t>(5), 1489–1499. https://doi.org/10.1111/1365-2664.12717</w:t>
      </w:r>
    </w:p>
    <w:p w14:paraId="07BDE4AA" w14:textId="77777777" w:rsidR="00983667" w:rsidRPr="00983667" w:rsidRDefault="00983667" w:rsidP="00983667">
      <w:pPr>
        <w:pStyle w:val="Bibliography"/>
        <w:rPr>
          <w:rFonts w:ascii="Garamond" w:hAnsi="Garamond"/>
        </w:rPr>
      </w:pPr>
      <w:r>
        <w:rPr>
          <w:rFonts w:ascii="Garamond" w:hAnsi="Garamond"/>
        </w:rPr>
        <w:t xml:space="preserve">Ohlberger, J., Ward, E. J., Schindler, D. E., &amp; Lewis, B. (2018). Demographic changes in Chinook salmon across the Northeast Pacific Ocean. </w:t>
      </w:r>
      <w:r>
        <w:rPr>
          <w:rFonts w:ascii="Garamond" w:hAnsi="Garamond"/>
          <w:i/>
          <w:iCs/>
        </w:rPr>
        <w:t>Fish and Fisheries</w:t>
      </w:r>
      <w:r>
        <w:rPr>
          <w:rFonts w:ascii="Garamond" w:hAnsi="Garamond"/>
        </w:rPr>
        <w:t xml:space="preserve">, </w:t>
      </w:r>
      <w:r>
        <w:rPr>
          <w:rFonts w:ascii="Garamond" w:hAnsi="Garamond"/>
          <w:i/>
          <w:iCs/>
        </w:rPr>
        <w:t>19</w:t>
      </w:r>
      <w:r>
        <w:rPr>
          <w:rFonts w:ascii="Garamond" w:hAnsi="Garamond"/>
        </w:rPr>
        <w:t>(3), 533–546. https://doi.org/10.1111/faf.12272</w:t>
      </w:r>
    </w:p>
    <w:p w14:paraId="1AFA10E5" w14:textId="77777777" w:rsidR="00983667" w:rsidRPr="00983667" w:rsidRDefault="00983667" w:rsidP="00983667">
      <w:pPr>
        <w:pStyle w:val="Bibliography"/>
        <w:rPr>
          <w:rFonts w:ascii="Garamond" w:hAnsi="Garamond"/>
        </w:rPr>
      </w:pPr>
      <w:r>
        <w:rPr>
          <w:rFonts w:ascii="Garamond" w:hAnsi="Garamond"/>
        </w:rPr>
        <w:t xml:space="preserve">Quinn, T. P. (2018). </w:t>
      </w:r>
      <w:r>
        <w:rPr>
          <w:rFonts w:ascii="Garamond" w:hAnsi="Garamond"/>
          <w:i/>
          <w:iCs/>
        </w:rPr>
        <w:t>The Behavior and Ecology of Pacific Salmon and Trout</w:t>
      </w:r>
      <w:r>
        <w:rPr>
          <w:rFonts w:ascii="Garamond" w:hAnsi="Garamond"/>
        </w:rPr>
        <w:t>. American Fisheries Society, University of Washington Press.</w:t>
      </w:r>
    </w:p>
    <w:p w14:paraId="0666F172" w14:textId="77777777" w:rsidR="00983667" w:rsidRPr="00983667" w:rsidRDefault="00983667" w:rsidP="00983667">
      <w:pPr>
        <w:pStyle w:val="Bibliography"/>
        <w:rPr>
          <w:rFonts w:ascii="Garamond" w:hAnsi="Garamond"/>
        </w:rPr>
      </w:pPr>
      <w:r>
        <w:rPr>
          <w:rFonts w:ascii="Garamond" w:hAnsi="Garamond"/>
        </w:rPr>
        <w:lastRenderedPageBreak/>
        <w:t xml:space="preserve">Schindler, D. E., Armstrong, J. B., &amp; Reed, T. E. (2015). The portfolio concept in ecology and evolution. </w:t>
      </w:r>
      <w:r>
        <w:rPr>
          <w:rFonts w:ascii="Garamond" w:hAnsi="Garamond"/>
          <w:i/>
          <w:iCs/>
        </w:rPr>
        <w:t>Frontiers in Ecology and the Environment</w:t>
      </w:r>
      <w:r>
        <w:rPr>
          <w:rFonts w:ascii="Garamond" w:hAnsi="Garamond"/>
        </w:rPr>
        <w:t xml:space="preserve">, </w:t>
      </w:r>
      <w:r>
        <w:rPr>
          <w:rFonts w:ascii="Garamond" w:hAnsi="Garamond"/>
          <w:i/>
          <w:iCs/>
        </w:rPr>
        <w:t>13</w:t>
      </w:r>
      <w:r>
        <w:rPr>
          <w:rFonts w:ascii="Garamond" w:hAnsi="Garamond"/>
        </w:rPr>
        <w:t>(5), 257–263.</w:t>
      </w:r>
    </w:p>
    <w:p w14:paraId="36494422" w14:textId="77777777" w:rsidR="00983667" w:rsidRPr="005A4F22" w:rsidRDefault="00983667" w:rsidP="00983667">
      <w:pPr>
        <w:pStyle w:val="Bibliography"/>
        <w:rPr>
          <w:rFonts w:ascii="Garamond" w:hAnsi="Garamond"/>
          <w:lang w:val="fr-FR"/>
        </w:rPr>
      </w:pPr>
      <w:r>
        <w:rPr>
          <w:rFonts w:ascii="Garamond" w:hAnsi="Garamond"/>
        </w:rPr>
        <w:t xml:space="preserve">Schindler, D. E., Hilborn, R., Chasco, B., Boatright, C. P., Quinn, T. P., Rogers, L. A., &amp; Webster, M. S. (2010). Population diversity and the portfolio effect in an exploited species. </w:t>
      </w:r>
      <w:r w:rsidRPr="005A4F22">
        <w:rPr>
          <w:rFonts w:ascii="Garamond" w:hAnsi="Garamond"/>
          <w:i/>
          <w:iCs/>
          <w:lang w:val="fr-FR"/>
        </w:rPr>
        <w:t>Nature</w:t>
      </w:r>
      <w:r w:rsidRPr="005A4F22">
        <w:rPr>
          <w:rFonts w:ascii="Garamond" w:hAnsi="Garamond"/>
          <w:lang w:val="fr-FR"/>
        </w:rPr>
        <w:t xml:space="preserve">, </w:t>
      </w:r>
      <w:r w:rsidRPr="005A4F22">
        <w:rPr>
          <w:rFonts w:ascii="Garamond" w:hAnsi="Garamond"/>
          <w:i/>
          <w:iCs/>
          <w:lang w:val="fr-FR"/>
        </w:rPr>
        <w:t>465</w:t>
      </w:r>
      <w:r w:rsidRPr="005A4F22">
        <w:rPr>
          <w:rFonts w:ascii="Garamond" w:hAnsi="Garamond"/>
          <w:lang w:val="fr-FR"/>
        </w:rPr>
        <w:t>(7298). https://doi-org.prox.lib.ncsu.edu/10.1038/nature09060</w:t>
      </w:r>
    </w:p>
    <w:p w14:paraId="33C79C27" w14:textId="77777777" w:rsidR="00983667" w:rsidRPr="00983667" w:rsidRDefault="00983667" w:rsidP="00983667">
      <w:pPr>
        <w:pStyle w:val="Bibliography"/>
        <w:rPr>
          <w:rFonts w:ascii="Garamond" w:hAnsi="Garamond"/>
        </w:rPr>
      </w:pPr>
      <w:r w:rsidRPr="005A4F22">
        <w:rPr>
          <w:rFonts w:ascii="Garamond" w:hAnsi="Garamond"/>
          <w:lang w:val="fr-FR"/>
        </w:rPr>
        <w:t xml:space="preserve">Smith, N. J., &amp; Liller, Z. W. (2017a). </w:t>
      </w:r>
      <w:r>
        <w:rPr>
          <w:rFonts w:ascii="Garamond" w:hAnsi="Garamond"/>
          <w:i/>
          <w:iCs/>
        </w:rPr>
        <w:t>Inriver abundance and migration characteristics of Kuskokwim River Chinook salmon, 2015.</w:t>
      </w:r>
      <w:r>
        <w:rPr>
          <w:rFonts w:ascii="Garamond" w:hAnsi="Garamond"/>
        </w:rPr>
        <w:t xml:space="preserve"> (Alaska Department of Fish and Game, Fishery Data Series No. 17-22, Anchorage.).</w:t>
      </w:r>
    </w:p>
    <w:p w14:paraId="0BBE48CE" w14:textId="77777777" w:rsidR="00983667" w:rsidRPr="00983667" w:rsidRDefault="00983667" w:rsidP="00983667">
      <w:pPr>
        <w:pStyle w:val="Bibliography"/>
        <w:rPr>
          <w:rFonts w:ascii="Garamond" w:hAnsi="Garamond"/>
        </w:rPr>
      </w:pPr>
      <w:r>
        <w:rPr>
          <w:rFonts w:ascii="Garamond" w:hAnsi="Garamond"/>
        </w:rPr>
        <w:t xml:space="preserve">Smith, N. J., &amp; Liller, Z. W. (2017b). </w:t>
      </w:r>
      <w:r>
        <w:rPr>
          <w:rFonts w:ascii="Garamond" w:hAnsi="Garamond"/>
          <w:i/>
          <w:iCs/>
        </w:rPr>
        <w:t>Inriver abundance and migration characteristics of Kuskokwim River Chinook salmon, 2016.</w:t>
      </w:r>
      <w:r>
        <w:rPr>
          <w:rFonts w:ascii="Garamond" w:hAnsi="Garamond"/>
        </w:rPr>
        <w:t xml:space="preserve"> </w:t>
      </w:r>
      <w:r>
        <w:rPr>
          <w:rFonts w:ascii="Garamond" w:hAnsi="Garamond"/>
          <w:i/>
          <w:iCs/>
        </w:rPr>
        <w:t>Alaska Department of Fish and Game, Fishery Data Series No. 17-47, Anchorage.</w:t>
      </w:r>
    </w:p>
    <w:p w14:paraId="1DFBC900" w14:textId="77777777" w:rsidR="00983667" w:rsidRPr="00983667" w:rsidRDefault="00983667" w:rsidP="00983667">
      <w:pPr>
        <w:pStyle w:val="Bibliography"/>
        <w:rPr>
          <w:rFonts w:ascii="Garamond" w:hAnsi="Garamond"/>
        </w:rPr>
      </w:pPr>
      <w:r w:rsidRPr="005A4F22">
        <w:rPr>
          <w:rFonts w:ascii="Garamond" w:hAnsi="Garamond"/>
          <w:lang w:val="es-ES"/>
        </w:rPr>
        <w:t xml:space="preserve">Staton, B. A., Catalano, M. J., Farmer, T. M., Abebe, A., &amp; Dobson, F. S. (2017). </w:t>
      </w:r>
      <w:r>
        <w:rPr>
          <w:rFonts w:ascii="Garamond" w:hAnsi="Garamond"/>
        </w:rPr>
        <w:t xml:space="preserve">Development and evaluation of a migration timing forecast model for Kuskokwim River Chinook salmon. </w:t>
      </w:r>
      <w:r>
        <w:rPr>
          <w:rFonts w:ascii="Garamond" w:hAnsi="Garamond"/>
          <w:i/>
          <w:iCs/>
        </w:rPr>
        <w:t>Fisheries Research</w:t>
      </w:r>
      <w:r>
        <w:rPr>
          <w:rFonts w:ascii="Garamond" w:hAnsi="Garamond"/>
        </w:rPr>
        <w:t xml:space="preserve">, </w:t>
      </w:r>
      <w:r>
        <w:rPr>
          <w:rFonts w:ascii="Garamond" w:hAnsi="Garamond"/>
          <w:i/>
          <w:iCs/>
        </w:rPr>
        <w:t>194</w:t>
      </w:r>
      <w:r>
        <w:rPr>
          <w:rFonts w:ascii="Garamond" w:hAnsi="Garamond"/>
        </w:rPr>
        <w:t>, 9–21. https://doi.org/10.1016/j.fishres.2017.05.003</w:t>
      </w:r>
    </w:p>
    <w:p w14:paraId="5F5AC763" w14:textId="77777777" w:rsidR="00983667" w:rsidRPr="00983667" w:rsidRDefault="00983667" w:rsidP="00983667">
      <w:pPr>
        <w:pStyle w:val="Bibliography"/>
        <w:rPr>
          <w:rFonts w:ascii="Garamond" w:hAnsi="Garamond"/>
        </w:rPr>
      </w:pPr>
      <w:r>
        <w:rPr>
          <w:rFonts w:ascii="Garamond" w:hAnsi="Garamond"/>
        </w:rPr>
        <w:t xml:space="preserve">Tilman, D., Polasky, S., &amp; Lehman, C. (2005). Diversity, productivity and temporal stability in the economies of humans and nature. </w:t>
      </w:r>
      <w:r>
        <w:rPr>
          <w:rFonts w:ascii="Garamond" w:hAnsi="Garamond"/>
          <w:i/>
          <w:iCs/>
        </w:rPr>
        <w:t>Journal of Environmental Economics and Management</w:t>
      </w:r>
      <w:r>
        <w:rPr>
          <w:rFonts w:ascii="Garamond" w:hAnsi="Garamond"/>
        </w:rPr>
        <w:t xml:space="preserve">, </w:t>
      </w:r>
      <w:r>
        <w:rPr>
          <w:rFonts w:ascii="Garamond" w:hAnsi="Garamond"/>
          <w:i/>
          <w:iCs/>
        </w:rPr>
        <w:t>49</w:t>
      </w:r>
      <w:r>
        <w:rPr>
          <w:rFonts w:ascii="Garamond" w:hAnsi="Garamond"/>
        </w:rPr>
        <w:t>(3), 405–426. https://doi.org/10.1016/j.jeem.2004.03.008</w:t>
      </w:r>
    </w:p>
    <w:p w14:paraId="389FF842" w14:textId="77777777" w:rsidR="00983667" w:rsidRPr="00983667" w:rsidRDefault="00983667" w:rsidP="00983667">
      <w:pPr>
        <w:pStyle w:val="Bibliography"/>
        <w:rPr>
          <w:rFonts w:ascii="Garamond" w:hAnsi="Garamond"/>
        </w:rPr>
      </w:pPr>
      <w:r>
        <w:rPr>
          <w:rFonts w:ascii="Garamond" w:hAnsi="Garamond"/>
        </w:rPr>
        <w:t xml:space="preserve">Vander Zanden, H. B., Tucker, A. D., Hart, K. M., Lamont, M. M., Fujisaki, I., Addison, D. S., Mansfield, K. L., Phillips, K. F., Wunder, M. B., Bowen, G. J., Pajuelo, M., Bolten, A. B., &amp; Bjorndal, K. A. (2015). Determining origin in a migratory marine vertebrate: A novel method to integrate stable isotopes and satellite tracking. </w:t>
      </w:r>
      <w:r>
        <w:rPr>
          <w:rFonts w:ascii="Garamond" w:hAnsi="Garamond"/>
          <w:i/>
          <w:iCs/>
        </w:rPr>
        <w:t>Ecological Applications</w:t>
      </w:r>
      <w:r>
        <w:rPr>
          <w:rFonts w:ascii="Garamond" w:hAnsi="Garamond"/>
        </w:rPr>
        <w:t xml:space="preserve">, </w:t>
      </w:r>
      <w:r>
        <w:rPr>
          <w:rFonts w:ascii="Garamond" w:hAnsi="Garamond"/>
          <w:i/>
          <w:iCs/>
        </w:rPr>
        <w:t>25</w:t>
      </w:r>
      <w:r>
        <w:rPr>
          <w:rFonts w:ascii="Garamond" w:hAnsi="Garamond"/>
        </w:rPr>
        <w:t>(2), 320–335. https://doi.org/10.1890/14-0581.1</w:t>
      </w:r>
    </w:p>
    <w:p w14:paraId="6C03C6E7" w14:textId="77777777" w:rsidR="00983667" w:rsidRPr="00983667" w:rsidRDefault="00983667" w:rsidP="00983667">
      <w:pPr>
        <w:pStyle w:val="Bibliography"/>
        <w:rPr>
          <w:rFonts w:ascii="Garamond" w:hAnsi="Garamond"/>
        </w:rPr>
      </w:pPr>
      <w:r>
        <w:rPr>
          <w:rFonts w:ascii="Garamond" w:hAnsi="Garamond"/>
        </w:rPr>
        <w:lastRenderedPageBreak/>
        <w:t xml:space="preserve">Ver Hoef, J. M., &amp; Peterson, E. E. (2010). A Moving Average Approach for Spatial Statistical Models of Stream Networks. </w:t>
      </w:r>
      <w:r>
        <w:rPr>
          <w:rFonts w:ascii="Garamond" w:hAnsi="Garamond"/>
          <w:i/>
          <w:iCs/>
        </w:rPr>
        <w:t>Journal of the American Statistical Association</w:t>
      </w:r>
      <w:r>
        <w:rPr>
          <w:rFonts w:ascii="Garamond" w:hAnsi="Garamond"/>
        </w:rPr>
        <w:t xml:space="preserve">, </w:t>
      </w:r>
      <w:r>
        <w:rPr>
          <w:rFonts w:ascii="Garamond" w:hAnsi="Garamond"/>
          <w:i/>
          <w:iCs/>
        </w:rPr>
        <w:t>105</w:t>
      </w:r>
      <w:r>
        <w:rPr>
          <w:rFonts w:ascii="Garamond" w:hAnsi="Garamond"/>
        </w:rPr>
        <w:t>(489), 6–18. https://doi.org/10.1198/jasa.2009.ap08248</w:t>
      </w:r>
    </w:p>
    <w:p w14:paraId="67F27E55" w14:textId="77777777" w:rsidR="00983667" w:rsidRPr="00983667" w:rsidRDefault="00983667" w:rsidP="00983667">
      <w:pPr>
        <w:pStyle w:val="Bibliography"/>
        <w:rPr>
          <w:rFonts w:ascii="Garamond" w:hAnsi="Garamond"/>
        </w:rPr>
      </w:pPr>
      <w:r>
        <w:rPr>
          <w:rFonts w:ascii="Garamond" w:hAnsi="Garamond"/>
        </w:rPr>
        <w:t xml:space="preserve">Wunder, M. B. (2010). Using Isoscapes to Model Probability Surfaces for Determining Geographic Origins. In J. B. West, G. J. Bowen, T. E. Dawson, &amp; K. P. Tu (Eds.), </w:t>
      </w:r>
      <w:r>
        <w:rPr>
          <w:rFonts w:ascii="Garamond" w:hAnsi="Garamond"/>
          <w:i/>
          <w:iCs/>
        </w:rPr>
        <w:t>Isoscapes</w:t>
      </w:r>
      <w:r>
        <w:rPr>
          <w:rFonts w:ascii="Garamond" w:hAnsi="Garamond"/>
        </w:rPr>
        <w:t xml:space="preserve"> (pp. 251–270). Springer Netherlands. https://doi.org/10.1007/978-90-481-3354-3_12</w:t>
      </w:r>
    </w:p>
    <w:p w14:paraId="5CE56ACE" w14:textId="77777777" w:rsidR="00983667" w:rsidRPr="00983667" w:rsidRDefault="00983667" w:rsidP="00983667">
      <w:pPr>
        <w:pStyle w:val="Bibliography"/>
        <w:rPr>
          <w:rFonts w:ascii="Garamond" w:hAnsi="Garamond"/>
        </w:rPr>
      </w:pPr>
      <w:r>
        <w:rPr>
          <w:rFonts w:ascii="Garamond" w:hAnsi="Garamond"/>
        </w:rPr>
        <w:t xml:space="preserve">Zimmerman, C. E., &amp; Reeves, G. H. (2002). Identification of Steelhead and Resident Rainbow Trout Progeny in the Deschutes River, Oregon, Revealed with Otolith Microchemistry. </w:t>
      </w:r>
      <w:r>
        <w:rPr>
          <w:rFonts w:ascii="Garamond" w:hAnsi="Garamond"/>
          <w:i/>
          <w:iCs/>
        </w:rPr>
        <w:t>Transactions of the American Fisheries Society</w:t>
      </w:r>
      <w:r>
        <w:rPr>
          <w:rFonts w:ascii="Garamond" w:hAnsi="Garamond"/>
        </w:rPr>
        <w:t xml:space="preserve">, </w:t>
      </w:r>
      <w:r>
        <w:rPr>
          <w:rFonts w:ascii="Garamond" w:hAnsi="Garamond"/>
          <w:i/>
          <w:iCs/>
        </w:rPr>
        <w:t>131</w:t>
      </w:r>
      <w:r>
        <w:rPr>
          <w:rFonts w:ascii="Garamond" w:hAnsi="Garamond"/>
        </w:rPr>
        <w:t>(5), 986–993. https://doi.org/10.1577/1548-8659(2002)131%253C0986:IOSARR%253E2.0.CO;2</w:t>
      </w:r>
    </w:p>
    <w:p w14:paraId="3EBAB241" w14:textId="013C2159" w:rsidR="00BF42AB" w:rsidRPr="00821884" w:rsidRDefault="00836381" w:rsidP="00821884">
      <w:pPr>
        <w:pStyle w:val="Bibliography"/>
        <w:ind w:left="0" w:firstLine="0"/>
        <w:rPr>
          <w:rFonts w:ascii="Garamond" w:hAnsi="Garamond"/>
        </w:rPr>
      </w:pPr>
      <w:r>
        <w:rPr>
          <w:rFonts w:ascii="Garamond" w:hAnsi="Garamond"/>
        </w:rPr>
        <w:fldChar w:fldCharType="end"/>
      </w:r>
    </w:p>
    <w:sectPr w:rsidR="00BF42AB" w:rsidRPr="00821884" w:rsidSect="004712C9">
      <w:headerReference w:type="default" r:id="rId13"/>
      <w:footerReference w:type="even" r:id="rId14"/>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4" w:author="Benjamin J. Makhlouf" w:date="2026-06-18T14:12:00Z" w:initials="BM">
    <w:p w14:paraId="5E58D307" w14:textId="77777777" w:rsidR="005A4F22" w:rsidRDefault="005A4F22" w:rsidP="005A4F22">
      <w:pPr>
        <w:pStyle w:val="CommentText"/>
      </w:pPr>
      <w:r>
        <w:rPr>
          <w:rStyle w:val="CommentReference"/>
        </w:rPr>
        <w:annotationRef/>
      </w:r>
      <w:r>
        <w:t xml:space="preserve">Add here description of the relative abundance of upper/middle/lower river spawning populations and the proportion of communities that rely on upper river populations exclusively. </w:t>
      </w:r>
    </w:p>
  </w:comment>
  <w:comment w:id="204" w:author="Benjamin J. Makhlouf" w:date="2026-07-13T16:28:00Z" w:initials="BM">
    <w:p w14:paraId="04ADF96B" w14:textId="77777777" w:rsidR="009D5982" w:rsidRDefault="009D5982" w:rsidP="009D5982">
      <w:pPr>
        <w:pStyle w:val="CommentText"/>
      </w:pPr>
      <w:r>
        <w:rPr>
          <w:rStyle w:val="CommentReference"/>
        </w:rPr>
        <w:annotationRef/>
      </w:r>
      <w:r>
        <w:t>Supplemental with Diego’s specifications of ICPMS</w:t>
      </w:r>
    </w:p>
  </w:comment>
  <w:comment w:id="306" w:author="Benjamin J. Makhlouf" w:date="2026-07-13T16:39:00Z" w:initials="BM">
    <w:p w14:paraId="6FD11D45" w14:textId="77777777" w:rsidR="008D39D2" w:rsidRDefault="008D39D2" w:rsidP="008D39D2">
      <w:pPr>
        <w:pStyle w:val="CommentText"/>
      </w:pPr>
      <w:r>
        <w:rPr>
          <w:rStyle w:val="CommentReference"/>
        </w:rPr>
        <w:annotationRef/>
      </w:r>
      <w:r>
        <w:t>Histogram/boxplot of isotopic variation among groups</w:t>
      </w:r>
    </w:p>
  </w:comment>
  <w:comment w:id="406" w:author="Benjamin J. Makhlouf" w:date="2026-07-12T21:09:00Z" w:initials="BM">
    <w:p w14:paraId="23AE8ADF" w14:textId="77777777" w:rsidR="00561B04" w:rsidRDefault="00561B04" w:rsidP="00561B04">
      <w:pPr>
        <w:pStyle w:val="CommentText"/>
      </w:pPr>
      <w:r>
        <w:rPr>
          <w:rStyle w:val="CommentReference"/>
        </w:rPr>
        <w:annotationRef/>
      </w:r>
      <w:r>
        <w:t>Add a discussion here about other systems such as those in the sacramento river in broader discussions</w:t>
      </w:r>
    </w:p>
  </w:comment>
  <w:comment w:id="457" w:author="Benjamin J. Makhlouf" w:date="2026-06-23T10:24:00Z" w:initials="BM">
    <w:p w14:paraId="4B8310F4" w14:textId="77777777" w:rsidR="00F6033C" w:rsidRDefault="00F6033C" w:rsidP="00F6033C">
      <w:pPr>
        <w:pStyle w:val="CommentText"/>
      </w:pPr>
      <w:r>
        <w:rPr>
          <w:rStyle w:val="CommentReference"/>
        </w:rPr>
        <w:annotationRef/>
      </w:r>
      <w:r>
        <w:t>Suggestion to add comments about regional stock grou</w:t>
      </w:r>
    </w:p>
  </w:comment>
  <w:comment w:id="474" w:author="Benjamin J. Makhlouf" w:date="2026-07-08T11:58:00Z" w:initials="BM">
    <w:p w14:paraId="436C5F82" w14:textId="77777777" w:rsidR="0033663A" w:rsidRDefault="0033663A" w:rsidP="0033663A">
      <w:pPr>
        <w:pStyle w:val="CommentText"/>
      </w:pPr>
      <w:r>
        <w:rPr>
          <w:rStyle w:val="CommentReference"/>
        </w:rPr>
        <w:annotationRef/>
      </w:r>
      <w:r>
        <w:t xml:space="preserve">Add here a discussion of the among group variation </w:t>
      </w:r>
    </w:p>
  </w:comment>
  <w:comment w:id="522" w:author="Benjamin J. Makhlouf" w:date="2026-07-08T15:19:00Z" w:initials="BM">
    <w:p w14:paraId="4AA07CE7" w14:textId="77777777" w:rsidR="00CE01B9" w:rsidRDefault="00CE01B9" w:rsidP="00CE01B9">
      <w:pPr>
        <w:pStyle w:val="CommentText"/>
      </w:pPr>
      <w:r>
        <w:rPr>
          <w:rStyle w:val="CommentReference"/>
        </w:rPr>
        <w:annotationRef/>
      </w:r>
      <w:r>
        <w:t xml:space="preserve">Add more info about changing species composition as well as drying and preserving fish </w:t>
      </w:r>
    </w:p>
  </w:comment>
  <w:comment w:id="531" w:author="Benjamin J. Makhlouf" w:date="2026-07-08T12:00:00Z" w:initials="BM">
    <w:p w14:paraId="72554D13" w14:textId="77777777" w:rsidR="0033663A" w:rsidRDefault="0033663A" w:rsidP="0033663A">
      <w:pPr>
        <w:pStyle w:val="CommentText"/>
      </w:pPr>
      <w:r>
        <w:rPr>
          <w:rStyle w:val="CommentReference"/>
        </w:rPr>
        <w:annotationRef/>
      </w:r>
      <w:r>
        <w:t>Add here more detail and context from other reports/knowledge on the basin</w:t>
      </w:r>
    </w:p>
  </w:comment>
  <w:comment w:id="532" w:author="Benjamin J. Makhlouf" w:date="2026-07-08T12:39:00Z" w:initials="BM">
    <w:p w14:paraId="682934CA" w14:textId="77777777" w:rsidR="00C247A1" w:rsidRDefault="00C247A1" w:rsidP="00C247A1">
      <w:pPr>
        <w:pStyle w:val="CommentText"/>
      </w:pPr>
      <w:r>
        <w:rPr>
          <w:rStyle w:val="CommentReference"/>
        </w:rPr>
        <w:annotationRef/>
      </w:r>
      <w:r>
        <w:t>Add mention of other systems (SAC)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8D307" w15:done="0"/>
  <w15:commentEx w15:paraId="04ADF96B" w15:done="0"/>
  <w15:commentEx w15:paraId="6FD11D45" w15:done="0"/>
  <w15:commentEx w15:paraId="23AE8ADF" w15:done="0"/>
  <w15:commentEx w15:paraId="4B8310F4" w15:done="0"/>
  <w15:commentEx w15:paraId="436C5F82" w15:done="0"/>
  <w15:commentEx w15:paraId="4AA07CE7" w15:done="1"/>
  <w15:commentEx w15:paraId="72554D13" w15:done="0"/>
  <w15:commentEx w15:paraId="682934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4396B8" w16cex:dateUtc="2026-06-18T21:12:00Z"/>
  <w16cex:commentExtensible w16cex:durableId="76B762FC" w16cex:dateUtc="2026-07-13T23:28:00Z"/>
  <w16cex:commentExtensible w16cex:durableId="7401A379" w16cex:dateUtc="2026-07-13T23:39:00Z"/>
  <w16cex:commentExtensible w16cex:durableId="694D688D" w16cex:dateUtc="2026-07-13T04:09:00Z"/>
  <w16cex:commentExtensible w16cex:durableId="08FE87E1" w16cex:dateUtc="2026-06-23T17:24:00Z"/>
  <w16cex:commentExtensible w16cex:durableId="36AF82A6" w16cex:dateUtc="2026-07-08T18:58:00Z"/>
  <w16cex:commentExtensible w16cex:durableId="277D6AAB" w16cex:dateUtc="2026-07-08T22:19:00Z"/>
  <w16cex:commentExtensible w16cex:durableId="387E2BD2" w16cex:dateUtc="2026-07-08T19:00:00Z"/>
  <w16cex:commentExtensible w16cex:durableId="137B3CB7" w16cex:dateUtc="2026-07-08T19: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8D307" w16cid:durableId="404396B8"/>
  <w16cid:commentId w16cid:paraId="04ADF96B" w16cid:durableId="76B762FC"/>
  <w16cid:commentId w16cid:paraId="6FD11D45" w16cid:durableId="7401A379"/>
  <w16cid:commentId w16cid:paraId="23AE8ADF" w16cid:durableId="694D688D"/>
  <w16cid:commentId w16cid:paraId="4B8310F4" w16cid:durableId="08FE87E1"/>
  <w16cid:commentId w16cid:paraId="436C5F82" w16cid:durableId="36AF82A6"/>
  <w16cid:commentId w16cid:paraId="4AA07CE7" w16cid:durableId="277D6AAB"/>
  <w16cid:commentId w16cid:paraId="72554D13" w16cid:durableId="387E2BD2"/>
  <w16cid:commentId w16cid:paraId="682934CA" w16cid:durableId="137B3CB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30D3B" w14:textId="77777777" w:rsidR="00482FEA" w:rsidRDefault="00482FEA">
      <w:pPr>
        <w:spacing w:after="0" w:line="240" w:lineRule="auto"/>
      </w:pPr>
      <w:r>
        <w:separator/>
      </w:r>
    </w:p>
  </w:endnote>
  <w:endnote w:type="continuationSeparator" w:id="0">
    <w:p w14:paraId="563B04F2" w14:textId="77777777" w:rsidR="00482FEA" w:rsidRDefault="0048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D0CEC6" w14:textId="77777777" w:rsidR="00482FEA" w:rsidRDefault="00482FEA">
      <w:pPr>
        <w:spacing w:after="0" w:line="240" w:lineRule="auto"/>
      </w:pPr>
      <w:r>
        <w:separator/>
      </w:r>
    </w:p>
  </w:footnote>
  <w:footnote w:type="continuationSeparator" w:id="0">
    <w:p w14:paraId="5F512703" w14:textId="77777777" w:rsidR="00482FEA" w:rsidRDefault="0048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B9B77" w14:textId="77777777" w:rsidR="001025C9" w:rsidRDefault="001025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CC1321"/>
    <w:multiLevelType w:val="hybridMultilevel"/>
    <w:tmpl w:val="98EC45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4A19CD"/>
    <w:multiLevelType w:val="hybridMultilevel"/>
    <w:tmpl w:val="129C46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210B8A"/>
    <w:multiLevelType w:val="hybridMultilevel"/>
    <w:tmpl w:val="BC84A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8320269"/>
    <w:multiLevelType w:val="hybridMultilevel"/>
    <w:tmpl w:val="CFBAA5E6"/>
    <w:lvl w:ilvl="0" w:tplc="14461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5"/>
  </w:num>
  <w:num w:numId="2" w16cid:durableId="1353727518">
    <w:abstractNumId w:val="3"/>
  </w:num>
  <w:num w:numId="3" w16cid:durableId="329413611">
    <w:abstractNumId w:val="11"/>
  </w:num>
  <w:num w:numId="4" w16cid:durableId="991065100">
    <w:abstractNumId w:val="6"/>
  </w:num>
  <w:num w:numId="5" w16cid:durableId="1019696258">
    <w:abstractNumId w:val="2"/>
  </w:num>
  <w:num w:numId="6" w16cid:durableId="1265116596">
    <w:abstractNumId w:val="7"/>
  </w:num>
  <w:num w:numId="7" w16cid:durableId="416367737">
    <w:abstractNumId w:val="4"/>
  </w:num>
  <w:num w:numId="8" w16cid:durableId="1863780797">
    <w:abstractNumId w:val="0"/>
  </w:num>
  <w:num w:numId="9" w16cid:durableId="227813615">
    <w:abstractNumId w:val="10"/>
  </w:num>
  <w:num w:numId="10" w16cid:durableId="1345399423">
    <w:abstractNumId w:val="8"/>
  </w:num>
  <w:num w:numId="11" w16cid:durableId="687874528">
    <w:abstractNumId w:val="1"/>
  </w:num>
  <w:num w:numId="12" w16cid:durableId="159593857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5DA6"/>
    <w:rsid w:val="00006A7A"/>
    <w:rsid w:val="00011A0E"/>
    <w:rsid w:val="000259EB"/>
    <w:rsid w:val="00033E6D"/>
    <w:rsid w:val="00040237"/>
    <w:rsid w:val="0004196B"/>
    <w:rsid w:val="00044401"/>
    <w:rsid w:val="000566CD"/>
    <w:rsid w:val="00060FEB"/>
    <w:rsid w:val="00065DC6"/>
    <w:rsid w:val="00066384"/>
    <w:rsid w:val="00066D9D"/>
    <w:rsid w:val="00071218"/>
    <w:rsid w:val="00072056"/>
    <w:rsid w:val="00077041"/>
    <w:rsid w:val="00083A7A"/>
    <w:rsid w:val="00085380"/>
    <w:rsid w:val="000854BE"/>
    <w:rsid w:val="00093841"/>
    <w:rsid w:val="000941AF"/>
    <w:rsid w:val="000979CB"/>
    <w:rsid w:val="000A55A6"/>
    <w:rsid w:val="000B5639"/>
    <w:rsid w:val="000B652C"/>
    <w:rsid w:val="000B6B65"/>
    <w:rsid w:val="000B7514"/>
    <w:rsid w:val="000C0406"/>
    <w:rsid w:val="000C2C96"/>
    <w:rsid w:val="000C384D"/>
    <w:rsid w:val="000C429D"/>
    <w:rsid w:val="000C6898"/>
    <w:rsid w:val="000D511B"/>
    <w:rsid w:val="000D6E8E"/>
    <w:rsid w:val="000E1B66"/>
    <w:rsid w:val="000E5E9C"/>
    <w:rsid w:val="000F083A"/>
    <w:rsid w:val="000F3B6C"/>
    <w:rsid w:val="001000CB"/>
    <w:rsid w:val="001008AF"/>
    <w:rsid w:val="001018D7"/>
    <w:rsid w:val="001025C9"/>
    <w:rsid w:val="001028F4"/>
    <w:rsid w:val="00103582"/>
    <w:rsid w:val="001058B8"/>
    <w:rsid w:val="00107AEC"/>
    <w:rsid w:val="00112ED8"/>
    <w:rsid w:val="00114DA5"/>
    <w:rsid w:val="00116F1B"/>
    <w:rsid w:val="00120202"/>
    <w:rsid w:val="00121BC7"/>
    <w:rsid w:val="00121EA9"/>
    <w:rsid w:val="0012203D"/>
    <w:rsid w:val="00123AD2"/>
    <w:rsid w:val="001255D3"/>
    <w:rsid w:val="001269D4"/>
    <w:rsid w:val="00127F9A"/>
    <w:rsid w:val="00130CEE"/>
    <w:rsid w:val="00131432"/>
    <w:rsid w:val="0013324E"/>
    <w:rsid w:val="00134D4C"/>
    <w:rsid w:val="00136FC3"/>
    <w:rsid w:val="001419E1"/>
    <w:rsid w:val="00141DEA"/>
    <w:rsid w:val="001430A9"/>
    <w:rsid w:val="00143768"/>
    <w:rsid w:val="00151C49"/>
    <w:rsid w:val="00152000"/>
    <w:rsid w:val="001538CD"/>
    <w:rsid w:val="0015783A"/>
    <w:rsid w:val="00162958"/>
    <w:rsid w:val="0016395C"/>
    <w:rsid w:val="00163D3A"/>
    <w:rsid w:val="001679D4"/>
    <w:rsid w:val="00171632"/>
    <w:rsid w:val="00171E1A"/>
    <w:rsid w:val="0017389D"/>
    <w:rsid w:val="001740E9"/>
    <w:rsid w:val="00176511"/>
    <w:rsid w:val="001844EB"/>
    <w:rsid w:val="00190B2C"/>
    <w:rsid w:val="0019169F"/>
    <w:rsid w:val="00197965"/>
    <w:rsid w:val="001A07DD"/>
    <w:rsid w:val="001B0AC6"/>
    <w:rsid w:val="001B609C"/>
    <w:rsid w:val="001C3B8F"/>
    <w:rsid w:val="001C4C41"/>
    <w:rsid w:val="001C6B33"/>
    <w:rsid w:val="001D3E40"/>
    <w:rsid w:val="001D6D0B"/>
    <w:rsid w:val="001D71C8"/>
    <w:rsid w:val="001E03F0"/>
    <w:rsid w:val="001E0D88"/>
    <w:rsid w:val="001F2097"/>
    <w:rsid w:val="001F70E4"/>
    <w:rsid w:val="0020053D"/>
    <w:rsid w:val="002006A2"/>
    <w:rsid w:val="0020187E"/>
    <w:rsid w:val="00206F6C"/>
    <w:rsid w:val="00207847"/>
    <w:rsid w:val="00210C30"/>
    <w:rsid w:val="00213C2D"/>
    <w:rsid w:val="00216D27"/>
    <w:rsid w:val="002175BB"/>
    <w:rsid w:val="00221CA6"/>
    <w:rsid w:val="002256A0"/>
    <w:rsid w:val="002323C1"/>
    <w:rsid w:val="00233DAB"/>
    <w:rsid w:val="0023404E"/>
    <w:rsid w:val="00234875"/>
    <w:rsid w:val="00235BCC"/>
    <w:rsid w:val="0023706B"/>
    <w:rsid w:val="0024031C"/>
    <w:rsid w:val="00240367"/>
    <w:rsid w:val="00240DD3"/>
    <w:rsid w:val="00253057"/>
    <w:rsid w:val="002549E1"/>
    <w:rsid w:val="0025573D"/>
    <w:rsid w:val="00256AEE"/>
    <w:rsid w:val="002574F7"/>
    <w:rsid w:val="0026256C"/>
    <w:rsid w:val="00267F38"/>
    <w:rsid w:val="00270862"/>
    <w:rsid w:val="002768BC"/>
    <w:rsid w:val="002769C2"/>
    <w:rsid w:val="00276AFF"/>
    <w:rsid w:val="00280FDF"/>
    <w:rsid w:val="002811E4"/>
    <w:rsid w:val="002948A2"/>
    <w:rsid w:val="002A3FE3"/>
    <w:rsid w:val="002B1F16"/>
    <w:rsid w:val="002B597E"/>
    <w:rsid w:val="002C1C99"/>
    <w:rsid w:val="002C21B7"/>
    <w:rsid w:val="002C2F48"/>
    <w:rsid w:val="002C3375"/>
    <w:rsid w:val="002C6F1E"/>
    <w:rsid w:val="002D12FE"/>
    <w:rsid w:val="002D2CBF"/>
    <w:rsid w:val="002E0F45"/>
    <w:rsid w:val="002E45E7"/>
    <w:rsid w:val="002E5716"/>
    <w:rsid w:val="002F0A2B"/>
    <w:rsid w:val="003031E8"/>
    <w:rsid w:val="00304260"/>
    <w:rsid w:val="00306D21"/>
    <w:rsid w:val="003071D2"/>
    <w:rsid w:val="0030774A"/>
    <w:rsid w:val="00310A9F"/>
    <w:rsid w:val="00312FC9"/>
    <w:rsid w:val="00313872"/>
    <w:rsid w:val="00313C02"/>
    <w:rsid w:val="00313CB8"/>
    <w:rsid w:val="003157C4"/>
    <w:rsid w:val="00320DDA"/>
    <w:rsid w:val="003224CC"/>
    <w:rsid w:val="0033106A"/>
    <w:rsid w:val="0033540B"/>
    <w:rsid w:val="0033663A"/>
    <w:rsid w:val="00343C0B"/>
    <w:rsid w:val="003442B4"/>
    <w:rsid w:val="00344DF9"/>
    <w:rsid w:val="003474F0"/>
    <w:rsid w:val="003505B6"/>
    <w:rsid w:val="003508BF"/>
    <w:rsid w:val="003525FA"/>
    <w:rsid w:val="0035364D"/>
    <w:rsid w:val="00354EC0"/>
    <w:rsid w:val="00356C95"/>
    <w:rsid w:val="00356F8B"/>
    <w:rsid w:val="0036019D"/>
    <w:rsid w:val="003610A6"/>
    <w:rsid w:val="00362078"/>
    <w:rsid w:val="003642FE"/>
    <w:rsid w:val="00367B6D"/>
    <w:rsid w:val="003717DB"/>
    <w:rsid w:val="00371AC6"/>
    <w:rsid w:val="00372BCA"/>
    <w:rsid w:val="00374558"/>
    <w:rsid w:val="003760FD"/>
    <w:rsid w:val="00383B9A"/>
    <w:rsid w:val="00385F28"/>
    <w:rsid w:val="0038700D"/>
    <w:rsid w:val="00390710"/>
    <w:rsid w:val="0039598A"/>
    <w:rsid w:val="0039711B"/>
    <w:rsid w:val="00397AF1"/>
    <w:rsid w:val="00397FF6"/>
    <w:rsid w:val="003A1EB0"/>
    <w:rsid w:val="003A53E2"/>
    <w:rsid w:val="003A58F7"/>
    <w:rsid w:val="003A7F78"/>
    <w:rsid w:val="003B0A46"/>
    <w:rsid w:val="003B38AA"/>
    <w:rsid w:val="003B6620"/>
    <w:rsid w:val="003C2A7E"/>
    <w:rsid w:val="003C6E87"/>
    <w:rsid w:val="003D0402"/>
    <w:rsid w:val="003D30C7"/>
    <w:rsid w:val="003D7E04"/>
    <w:rsid w:val="003E016A"/>
    <w:rsid w:val="003E5F1E"/>
    <w:rsid w:val="003F0E0F"/>
    <w:rsid w:val="003F1234"/>
    <w:rsid w:val="003F6161"/>
    <w:rsid w:val="00400339"/>
    <w:rsid w:val="00400CBB"/>
    <w:rsid w:val="00401EE2"/>
    <w:rsid w:val="004025DD"/>
    <w:rsid w:val="004025ED"/>
    <w:rsid w:val="0040355B"/>
    <w:rsid w:val="00403B68"/>
    <w:rsid w:val="00416B2E"/>
    <w:rsid w:val="00417AE1"/>
    <w:rsid w:val="00424DB6"/>
    <w:rsid w:val="00425BAB"/>
    <w:rsid w:val="004261EE"/>
    <w:rsid w:val="00431422"/>
    <w:rsid w:val="00433B90"/>
    <w:rsid w:val="00437729"/>
    <w:rsid w:val="00441FFD"/>
    <w:rsid w:val="00442120"/>
    <w:rsid w:val="004437C4"/>
    <w:rsid w:val="004504D1"/>
    <w:rsid w:val="00450591"/>
    <w:rsid w:val="00450ED3"/>
    <w:rsid w:val="00454FB2"/>
    <w:rsid w:val="00455535"/>
    <w:rsid w:val="00455561"/>
    <w:rsid w:val="00460AE8"/>
    <w:rsid w:val="00464231"/>
    <w:rsid w:val="00464971"/>
    <w:rsid w:val="0046614E"/>
    <w:rsid w:val="004665BB"/>
    <w:rsid w:val="00467885"/>
    <w:rsid w:val="00470C70"/>
    <w:rsid w:val="004712C9"/>
    <w:rsid w:val="00473B48"/>
    <w:rsid w:val="0047513B"/>
    <w:rsid w:val="00477415"/>
    <w:rsid w:val="00481088"/>
    <w:rsid w:val="00482FEA"/>
    <w:rsid w:val="00491C12"/>
    <w:rsid w:val="004A0003"/>
    <w:rsid w:val="004A072A"/>
    <w:rsid w:val="004A579B"/>
    <w:rsid w:val="004A6CF4"/>
    <w:rsid w:val="004B1488"/>
    <w:rsid w:val="004B1829"/>
    <w:rsid w:val="004B19B1"/>
    <w:rsid w:val="004B2F94"/>
    <w:rsid w:val="004B5E0E"/>
    <w:rsid w:val="004B7BC4"/>
    <w:rsid w:val="004C2230"/>
    <w:rsid w:val="004C3939"/>
    <w:rsid w:val="004C4B85"/>
    <w:rsid w:val="004C58FF"/>
    <w:rsid w:val="004C5CB5"/>
    <w:rsid w:val="004C6CE6"/>
    <w:rsid w:val="004D0AA2"/>
    <w:rsid w:val="004D6874"/>
    <w:rsid w:val="004D6C38"/>
    <w:rsid w:val="004D7CC1"/>
    <w:rsid w:val="004E3592"/>
    <w:rsid w:val="004E7082"/>
    <w:rsid w:val="004E7138"/>
    <w:rsid w:val="004E7B3B"/>
    <w:rsid w:val="004F0045"/>
    <w:rsid w:val="004F04C2"/>
    <w:rsid w:val="004F0E72"/>
    <w:rsid w:val="004F1ACA"/>
    <w:rsid w:val="004F324B"/>
    <w:rsid w:val="004F3972"/>
    <w:rsid w:val="004F4EF3"/>
    <w:rsid w:val="0050237A"/>
    <w:rsid w:val="00505979"/>
    <w:rsid w:val="00507803"/>
    <w:rsid w:val="005078D8"/>
    <w:rsid w:val="005104A5"/>
    <w:rsid w:val="00512EE1"/>
    <w:rsid w:val="005149FF"/>
    <w:rsid w:val="00514EB9"/>
    <w:rsid w:val="00516589"/>
    <w:rsid w:val="005171B6"/>
    <w:rsid w:val="00517577"/>
    <w:rsid w:val="00520187"/>
    <w:rsid w:val="005229F0"/>
    <w:rsid w:val="005302EF"/>
    <w:rsid w:val="00530411"/>
    <w:rsid w:val="005312E0"/>
    <w:rsid w:val="005323CA"/>
    <w:rsid w:val="00533C59"/>
    <w:rsid w:val="00536536"/>
    <w:rsid w:val="00537343"/>
    <w:rsid w:val="005401E5"/>
    <w:rsid w:val="005416E6"/>
    <w:rsid w:val="005463B2"/>
    <w:rsid w:val="00551911"/>
    <w:rsid w:val="005554D7"/>
    <w:rsid w:val="00557194"/>
    <w:rsid w:val="00561B04"/>
    <w:rsid w:val="00571049"/>
    <w:rsid w:val="00572EF0"/>
    <w:rsid w:val="0057720D"/>
    <w:rsid w:val="005805EB"/>
    <w:rsid w:val="00581DBC"/>
    <w:rsid w:val="005858F1"/>
    <w:rsid w:val="0058744A"/>
    <w:rsid w:val="0059082A"/>
    <w:rsid w:val="005956BD"/>
    <w:rsid w:val="005A052B"/>
    <w:rsid w:val="005A36C3"/>
    <w:rsid w:val="005A4F22"/>
    <w:rsid w:val="005A53C9"/>
    <w:rsid w:val="005B0F4E"/>
    <w:rsid w:val="005B3AB3"/>
    <w:rsid w:val="005B3E0C"/>
    <w:rsid w:val="005B7FCD"/>
    <w:rsid w:val="005C0D40"/>
    <w:rsid w:val="005C2215"/>
    <w:rsid w:val="005C36CF"/>
    <w:rsid w:val="005C58CB"/>
    <w:rsid w:val="005D0EF1"/>
    <w:rsid w:val="005D4C96"/>
    <w:rsid w:val="005E6A59"/>
    <w:rsid w:val="005F27E4"/>
    <w:rsid w:val="005F3448"/>
    <w:rsid w:val="00606787"/>
    <w:rsid w:val="006101C3"/>
    <w:rsid w:val="00612B95"/>
    <w:rsid w:val="00617B67"/>
    <w:rsid w:val="00617C63"/>
    <w:rsid w:val="00625357"/>
    <w:rsid w:val="006314EE"/>
    <w:rsid w:val="00631AAA"/>
    <w:rsid w:val="006357BB"/>
    <w:rsid w:val="0063598A"/>
    <w:rsid w:val="0063694A"/>
    <w:rsid w:val="00636B84"/>
    <w:rsid w:val="00636BF3"/>
    <w:rsid w:val="00636C9F"/>
    <w:rsid w:val="00642B65"/>
    <w:rsid w:val="00643AC4"/>
    <w:rsid w:val="00645EF1"/>
    <w:rsid w:val="00651133"/>
    <w:rsid w:val="00653AE8"/>
    <w:rsid w:val="00653AF7"/>
    <w:rsid w:val="006540BC"/>
    <w:rsid w:val="0065535A"/>
    <w:rsid w:val="00655F63"/>
    <w:rsid w:val="00656B48"/>
    <w:rsid w:val="0065735E"/>
    <w:rsid w:val="006617C0"/>
    <w:rsid w:val="0066241A"/>
    <w:rsid w:val="00662537"/>
    <w:rsid w:val="00663FC6"/>
    <w:rsid w:val="00665BC1"/>
    <w:rsid w:val="00673B3C"/>
    <w:rsid w:val="006762C3"/>
    <w:rsid w:val="00676513"/>
    <w:rsid w:val="00682611"/>
    <w:rsid w:val="00684CAF"/>
    <w:rsid w:val="00687F38"/>
    <w:rsid w:val="00691BBC"/>
    <w:rsid w:val="00691F38"/>
    <w:rsid w:val="00693A39"/>
    <w:rsid w:val="006A2A72"/>
    <w:rsid w:val="006A4011"/>
    <w:rsid w:val="006A798F"/>
    <w:rsid w:val="006B1D97"/>
    <w:rsid w:val="006B418B"/>
    <w:rsid w:val="006B5AB0"/>
    <w:rsid w:val="006B75B5"/>
    <w:rsid w:val="006C531D"/>
    <w:rsid w:val="006C663B"/>
    <w:rsid w:val="006C6CB7"/>
    <w:rsid w:val="006D11D3"/>
    <w:rsid w:val="006D6AEE"/>
    <w:rsid w:val="006E1BBC"/>
    <w:rsid w:val="006E5473"/>
    <w:rsid w:val="0070135F"/>
    <w:rsid w:val="0070414B"/>
    <w:rsid w:val="00706214"/>
    <w:rsid w:val="0070647C"/>
    <w:rsid w:val="007072E7"/>
    <w:rsid w:val="00711069"/>
    <w:rsid w:val="0071220D"/>
    <w:rsid w:val="0071320D"/>
    <w:rsid w:val="00715F4A"/>
    <w:rsid w:val="00717761"/>
    <w:rsid w:val="00717B12"/>
    <w:rsid w:val="00720B50"/>
    <w:rsid w:val="0072380C"/>
    <w:rsid w:val="00724502"/>
    <w:rsid w:val="00724D0B"/>
    <w:rsid w:val="007266BC"/>
    <w:rsid w:val="00730A88"/>
    <w:rsid w:val="00731FB9"/>
    <w:rsid w:val="00735C63"/>
    <w:rsid w:val="00746351"/>
    <w:rsid w:val="00747075"/>
    <w:rsid w:val="007555A4"/>
    <w:rsid w:val="007561E4"/>
    <w:rsid w:val="0076034D"/>
    <w:rsid w:val="007603D4"/>
    <w:rsid w:val="007708F4"/>
    <w:rsid w:val="00772AC1"/>
    <w:rsid w:val="00780305"/>
    <w:rsid w:val="007878C0"/>
    <w:rsid w:val="00793B30"/>
    <w:rsid w:val="007A07BC"/>
    <w:rsid w:val="007A1D0A"/>
    <w:rsid w:val="007B1069"/>
    <w:rsid w:val="007B17D6"/>
    <w:rsid w:val="007B2EDA"/>
    <w:rsid w:val="007B71BB"/>
    <w:rsid w:val="007C0A61"/>
    <w:rsid w:val="007C1050"/>
    <w:rsid w:val="007C2267"/>
    <w:rsid w:val="007C2373"/>
    <w:rsid w:val="007C6331"/>
    <w:rsid w:val="007C6D95"/>
    <w:rsid w:val="007D1726"/>
    <w:rsid w:val="007D2894"/>
    <w:rsid w:val="007D630A"/>
    <w:rsid w:val="007D796E"/>
    <w:rsid w:val="007D7981"/>
    <w:rsid w:val="007E1736"/>
    <w:rsid w:val="007E3A31"/>
    <w:rsid w:val="007F098D"/>
    <w:rsid w:val="007F32DE"/>
    <w:rsid w:val="007F35F9"/>
    <w:rsid w:val="007F37AE"/>
    <w:rsid w:val="007F4A77"/>
    <w:rsid w:val="007F65C8"/>
    <w:rsid w:val="007F66C5"/>
    <w:rsid w:val="007F7231"/>
    <w:rsid w:val="007F747D"/>
    <w:rsid w:val="007F75D5"/>
    <w:rsid w:val="00800CBA"/>
    <w:rsid w:val="008050C3"/>
    <w:rsid w:val="0080518D"/>
    <w:rsid w:val="00807290"/>
    <w:rsid w:val="00811477"/>
    <w:rsid w:val="00811B88"/>
    <w:rsid w:val="00814EE7"/>
    <w:rsid w:val="00816626"/>
    <w:rsid w:val="00820E08"/>
    <w:rsid w:val="00821884"/>
    <w:rsid w:val="0082206F"/>
    <w:rsid w:val="008277E3"/>
    <w:rsid w:val="00832815"/>
    <w:rsid w:val="00836381"/>
    <w:rsid w:val="00841435"/>
    <w:rsid w:val="00843258"/>
    <w:rsid w:val="0084410D"/>
    <w:rsid w:val="00845E76"/>
    <w:rsid w:val="00856168"/>
    <w:rsid w:val="00857F51"/>
    <w:rsid w:val="008605CB"/>
    <w:rsid w:val="00863C27"/>
    <w:rsid w:val="008730BC"/>
    <w:rsid w:val="0087708A"/>
    <w:rsid w:val="00881286"/>
    <w:rsid w:val="0088327B"/>
    <w:rsid w:val="0088451D"/>
    <w:rsid w:val="00885296"/>
    <w:rsid w:val="0088664E"/>
    <w:rsid w:val="008872F5"/>
    <w:rsid w:val="00891B6F"/>
    <w:rsid w:val="00893125"/>
    <w:rsid w:val="008948AB"/>
    <w:rsid w:val="00895ED8"/>
    <w:rsid w:val="00895FC7"/>
    <w:rsid w:val="008970CF"/>
    <w:rsid w:val="008A6C66"/>
    <w:rsid w:val="008A7376"/>
    <w:rsid w:val="008B0A5A"/>
    <w:rsid w:val="008B3EA1"/>
    <w:rsid w:val="008B64EE"/>
    <w:rsid w:val="008B6684"/>
    <w:rsid w:val="008C03AF"/>
    <w:rsid w:val="008C378F"/>
    <w:rsid w:val="008C65D7"/>
    <w:rsid w:val="008D1422"/>
    <w:rsid w:val="008D1B8A"/>
    <w:rsid w:val="008D39D2"/>
    <w:rsid w:val="008E3428"/>
    <w:rsid w:val="008E4C82"/>
    <w:rsid w:val="008F2118"/>
    <w:rsid w:val="008F216B"/>
    <w:rsid w:val="008F26BA"/>
    <w:rsid w:val="00900DF4"/>
    <w:rsid w:val="0090107F"/>
    <w:rsid w:val="00901ACE"/>
    <w:rsid w:val="00906B81"/>
    <w:rsid w:val="00907410"/>
    <w:rsid w:val="009076B8"/>
    <w:rsid w:val="009110AF"/>
    <w:rsid w:val="0091492C"/>
    <w:rsid w:val="00915EEE"/>
    <w:rsid w:val="00916EE1"/>
    <w:rsid w:val="00917026"/>
    <w:rsid w:val="00922435"/>
    <w:rsid w:val="00923A9B"/>
    <w:rsid w:val="00925A21"/>
    <w:rsid w:val="009263B7"/>
    <w:rsid w:val="00931F9A"/>
    <w:rsid w:val="00932FBC"/>
    <w:rsid w:val="00933D52"/>
    <w:rsid w:val="009368EA"/>
    <w:rsid w:val="009423AC"/>
    <w:rsid w:val="00944E55"/>
    <w:rsid w:val="00946A92"/>
    <w:rsid w:val="00951507"/>
    <w:rsid w:val="00955A42"/>
    <w:rsid w:val="00956F44"/>
    <w:rsid w:val="00961F08"/>
    <w:rsid w:val="00964D8F"/>
    <w:rsid w:val="00966E61"/>
    <w:rsid w:val="00967DC4"/>
    <w:rsid w:val="00971164"/>
    <w:rsid w:val="0097261B"/>
    <w:rsid w:val="00973C7E"/>
    <w:rsid w:val="0097448D"/>
    <w:rsid w:val="009833DB"/>
    <w:rsid w:val="00983667"/>
    <w:rsid w:val="00983880"/>
    <w:rsid w:val="00986BAC"/>
    <w:rsid w:val="009879FD"/>
    <w:rsid w:val="00990982"/>
    <w:rsid w:val="00990A53"/>
    <w:rsid w:val="009916A5"/>
    <w:rsid w:val="009A7B39"/>
    <w:rsid w:val="009B24AC"/>
    <w:rsid w:val="009B595F"/>
    <w:rsid w:val="009C0002"/>
    <w:rsid w:val="009C079F"/>
    <w:rsid w:val="009C2F92"/>
    <w:rsid w:val="009C308C"/>
    <w:rsid w:val="009C3C93"/>
    <w:rsid w:val="009C3FA5"/>
    <w:rsid w:val="009C42BD"/>
    <w:rsid w:val="009C7F14"/>
    <w:rsid w:val="009D0427"/>
    <w:rsid w:val="009D3148"/>
    <w:rsid w:val="009D3D60"/>
    <w:rsid w:val="009D3E39"/>
    <w:rsid w:val="009D5982"/>
    <w:rsid w:val="009D66DA"/>
    <w:rsid w:val="009E68C7"/>
    <w:rsid w:val="009E7ECB"/>
    <w:rsid w:val="009F1309"/>
    <w:rsid w:val="009F1A92"/>
    <w:rsid w:val="009F3D19"/>
    <w:rsid w:val="009F3E36"/>
    <w:rsid w:val="009F51C3"/>
    <w:rsid w:val="009F56C0"/>
    <w:rsid w:val="009F5E0E"/>
    <w:rsid w:val="009F6624"/>
    <w:rsid w:val="009F7AF2"/>
    <w:rsid w:val="00A0052D"/>
    <w:rsid w:val="00A005B7"/>
    <w:rsid w:val="00A06CC6"/>
    <w:rsid w:val="00A10423"/>
    <w:rsid w:val="00A110EC"/>
    <w:rsid w:val="00A13C28"/>
    <w:rsid w:val="00A13EDE"/>
    <w:rsid w:val="00A14D37"/>
    <w:rsid w:val="00A16F99"/>
    <w:rsid w:val="00A20D93"/>
    <w:rsid w:val="00A22AAB"/>
    <w:rsid w:val="00A234BB"/>
    <w:rsid w:val="00A25870"/>
    <w:rsid w:val="00A26A50"/>
    <w:rsid w:val="00A3396F"/>
    <w:rsid w:val="00A3550B"/>
    <w:rsid w:val="00A36D27"/>
    <w:rsid w:val="00A44879"/>
    <w:rsid w:val="00A4712A"/>
    <w:rsid w:val="00A52BD6"/>
    <w:rsid w:val="00A54B4A"/>
    <w:rsid w:val="00A70ED6"/>
    <w:rsid w:val="00A72EBD"/>
    <w:rsid w:val="00A76A53"/>
    <w:rsid w:val="00A805B8"/>
    <w:rsid w:val="00A8429C"/>
    <w:rsid w:val="00A844A4"/>
    <w:rsid w:val="00A849F0"/>
    <w:rsid w:val="00A84E4B"/>
    <w:rsid w:val="00A94BC2"/>
    <w:rsid w:val="00A95426"/>
    <w:rsid w:val="00AA1798"/>
    <w:rsid w:val="00AA26A1"/>
    <w:rsid w:val="00AA4630"/>
    <w:rsid w:val="00AA6EC2"/>
    <w:rsid w:val="00AB074C"/>
    <w:rsid w:val="00AB2317"/>
    <w:rsid w:val="00AB3DBB"/>
    <w:rsid w:val="00AB66C3"/>
    <w:rsid w:val="00AB779D"/>
    <w:rsid w:val="00AC7C2D"/>
    <w:rsid w:val="00AC7FA1"/>
    <w:rsid w:val="00AD1910"/>
    <w:rsid w:val="00AD484F"/>
    <w:rsid w:val="00AD4BE1"/>
    <w:rsid w:val="00AD7B82"/>
    <w:rsid w:val="00AF0D4C"/>
    <w:rsid w:val="00AF1AE2"/>
    <w:rsid w:val="00AF7B74"/>
    <w:rsid w:val="00B00C18"/>
    <w:rsid w:val="00B01FE3"/>
    <w:rsid w:val="00B02A4D"/>
    <w:rsid w:val="00B07AE4"/>
    <w:rsid w:val="00B13E93"/>
    <w:rsid w:val="00B155C4"/>
    <w:rsid w:val="00B212BB"/>
    <w:rsid w:val="00B23B58"/>
    <w:rsid w:val="00B24171"/>
    <w:rsid w:val="00B26B57"/>
    <w:rsid w:val="00B27EC5"/>
    <w:rsid w:val="00B30111"/>
    <w:rsid w:val="00B35E5D"/>
    <w:rsid w:val="00B40601"/>
    <w:rsid w:val="00B429B6"/>
    <w:rsid w:val="00B4720E"/>
    <w:rsid w:val="00B50583"/>
    <w:rsid w:val="00B50CA4"/>
    <w:rsid w:val="00B53530"/>
    <w:rsid w:val="00B606F9"/>
    <w:rsid w:val="00B60D7F"/>
    <w:rsid w:val="00B62128"/>
    <w:rsid w:val="00B65D13"/>
    <w:rsid w:val="00B7081E"/>
    <w:rsid w:val="00B74D8D"/>
    <w:rsid w:val="00B74F35"/>
    <w:rsid w:val="00B76340"/>
    <w:rsid w:val="00B8483E"/>
    <w:rsid w:val="00B857E3"/>
    <w:rsid w:val="00B923D2"/>
    <w:rsid w:val="00B95589"/>
    <w:rsid w:val="00B97434"/>
    <w:rsid w:val="00BA0245"/>
    <w:rsid w:val="00BA369C"/>
    <w:rsid w:val="00BA542C"/>
    <w:rsid w:val="00BB27C2"/>
    <w:rsid w:val="00BB381E"/>
    <w:rsid w:val="00BB5897"/>
    <w:rsid w:val="00BC21CC"/>
    <w:rsid w:val="00BC565F"/>
    <w:rsid w:val="00BC7C48"/>
    <w:rsid w:val="00BD0803"/>
    <w:rsid w:val="00BD2F8F"/>
    <w:rsid w:val="00BE3061"/>
    <w:rsid w:val="00BF0C62"/>
    <w:rsid w:val="00BF307A"/>
    <w:rsid w:val="00BF42AB"/>
    <w:rsid w:val="00C013DD"/>
    <w:rsid w:val="00C107EA"/>
    <w:rsid w:val="00C10AF2"/>
    <w:rsid w:val="00C162F5"/>
    <w:rsid w:val="00C1704A"/>
    <w:rsid w:val="00C247A1"/>
    <w:rsid w:val="00C26378"/>
    <w:rsid w:val="00C2778F"/>
    <w:rsid w:val="00C27BF0"/>
    <w:rsid w:val="00C31CB4"/>
    <w:rsid w:val="00C32D99"/>
    <w:rsid w:val="00C34090"/>
    <w:rsid w:val="00C40D88"/>
    <w:rsid w:val="00C41758"/>
    <w:rsid w:val="00C41C66"/>
    <w:rsid w:val="00C50220"/>
    <w:rsid w:val="00C50332"/>
    <w:rsid w:val="00C50733"/>
    <w:rsid w:val="00C57048"/>
    <w:rsid w:val="00C57FD7"/>
    <w:rsid w:val="00C6603A"/>
    <w:rsid w:val="00C67240"/>
    <w:rsid w:val="00C67BC1"/>
    <w:rsid w:val="00C7034D"/>
    <w:rsid w:val="00C83BD0"/>
    <w:rsid w:val="00C83BF2"/>
    <w:rsid w:val="00C92AB0"/>
    <w:rsid w:val="00C93DD5"/>
    <w:rsid w:val="00C95028"/>
    <w:rsid w:val="00C9741A"/>
    <w:rsid w:val="00C97C2C"/>
    <w:rsid w:val="00CA262D"/>
    <w:rsid w:val="00CA6AF1"/>
    <w:rsid w:val="00CA7EEC"/>
    <w:rsid w:val="00CB2EEB"/>
    <w:rsid w:val="00CB3C24"/>
    <w:rsid w:val="00CB4B76"/>
    <w:rsid w:val="00CC053E"/>
    <w:rsid w:val="00CC09EC"/>
    <w:rsid w:val="00CC3614"/>
    <w:rsid w:val="00CC472B"/>
    <w:rsid w:val="00CC7CEE"/>
    <w:rsid w:val="00CD3038"/>
    <w:rsid w:val="00CE01B9"/>
    <w:rsid w:val="00CE02D5"/>
    <w:rsid w:val="00CE2EB6"/>
    <w:rsid w:val="00CE70A0"/>
    <w:rsid w:val="00CE7CAA"/>
    <w:rsid w:val="00CF00B2"/>
    <w:rsid w:val="00CF03CC"/>
    <w:rsid w:val="00CF21C5"/>
    <w:rsid w:val="00CF2DB5"/>
    <w:rsid w:val="00CF45A1"/>
    <w:rsid w:val="00CF474A"/>
    <w:rsid w:val="00CF6CDB"/>
    <w:rsid w:val="00D0057C"/>
    <w:rsid w:val="00D0176E"/>
    <w:rsid w:val="00D04860"/>
    <w:rsid w:val="00D04B7C"/>
    <w:rsid w:val="00D0546A"/>
    <w:rsid w:val="00D05EAB"/>
    <w:rsid w:val="00D0678D"/>
    <w:rsid w:val="00D105F1"/>
    <w:rsid w:val="00D10F35"/>
    <w:rsid w:val="00D149EB"/>
    <w:rsid w:val="00D30A4B"/>
    <w:rsid w:val="00D3134F"/>
    <w:rsid w:val="00D36A10"/>
    <w:rsid w:val="00D409CC"/>
    <w:rsid w:val="00D43F43"/>
    <w:rsid w:val="00D47703"/>
    <w:rsid w:val="00D47FB2"/>
    <w:rsid w:val="00D516D1"/>
    <w:rsid w:val="00D53B0E"/>
    <w:rsid w:val="00D5400B"/>
    <w:rsid w:val="00D554ED"/>
    <w:rsid w:val="00D57D37"/>
    <w:rsid w:val="00D6070D"/>
    <w:rsid w:val="00D625F2"/>
    <w:rsid w:val="00D71360"/>
    <w:rsid w:val="00D740DE"/>
    <w:rsid w:val="00D80B0D"/>
    <w:rsid w:val="00D86CD4"/>
    <w:rsid w:val="00D90980"/>
    <w:rsid w:val="00D91D5D"/>
    <w:rsid w:val="00D96066"/>
    <w:rsid w:val="00D97AB1"/>
    <w:rsid w:val="00DA0881"/>
    <w:rsid w:val="00DA289A"/>
    <w:rsid w:val="00DA7E79"/>
    <w:rsid w:val="00DB2B04"/>
    <w:rsid w:val="00DB58D6"/>
    <w:rsid w:val="00DC669C"/>
    <w:rsid w:val="00DC75BB"/>
    <w:rsid w:val="00DD0E6E"/>
    <w:rsid w:val="00DD2581"/>
    <w:rsid w:val="00DD2C4D"/>
    <w:rsid w:val="00DD585C"/>
    <w:rsid w:val="00DD7574"/>
    <w:rsid w:val="00DE09EB"/>
    <w:rsid w:val="00DE33E0"/>
    <w:rsid w:val="00DF1D5B"/>
    <w:rsid w:val="00DF28C6"/>
    <w:rsid w:val="00E10F4A"/>
    <w:rsid w:val="00E113E7"/>
    <w:rsid w:val="00E11585"/>
    <w:rsid w:val="00E1753F"/>
    <w:rsid w:val="00E20CE9"/>
    <w:rsid w:val="00E212FE"/>
    <w:rsid w:val="00E26D9D"/>
    <w:rsid w:val="00E347D9"/>
    <w:rsid w:val="00E35059"/>
    <w:rsid w:val="00E352BB"/>
    <w:rsid w:val="00E3555B"/>
    <w:rsid w:val="00E355B2"/>
    <w:rsid w:val="00E35FA9"/>
    <w:rsid w:val="00E43153"/>
    <w:rsid w:val="00E454BB"/>
    <w:rsid w:val="00E45959"/>
    <w:rsid w:val="00E45D57"/>
    <w:rsid w:val="00E46D9E"/>
    <w:rsid w:val="00E46ECD"/>
    <w:rsid w:val="00E471DA"/>
    <w:rsid w:val="00E52637"/>
    <w:rsid w:val="00E61436"/>
    <w:rsid w:val="00E6389A"/>
    <w:rsid w:val="00E66931"/>
    <w:rsid w:val="00E671EF"/>
    <w:rsid w:val="00E67672"/>
    <w:rsid w:val="00E70E77"/>
    <w:rsid w:val="00E71272"/>
    <w:rsid w:val="00E719E1"/>
    <w:rsid w:val="00E8171A"/>
    <w:rsid w:val="00E82540"/>
    <w:rsid w:val="00E82AC1"/>
    <w:rsid w:val="00E84029"/>
    <w:rsid w:val="00E85535"/>
    <w:rsid w:val="00E86789"/>
    <w:rsid w:val="00E90573"/>
    <w:rsid w:val="00E92DA4"/>
    <w:rsid w:val="00E94ABC"/>
    <w:rsid w:val="00E95A9F"/>
    <w:rsid w:val="00EA0134"/>
    <w:rsid w:val="00EA4FC4"/>
    <w:rsid w:val="00EB2149"/>
    <w:rsid w:val="00EB21A5"/>
    <w:rsid w:val="00EB2EDF"/>
    <w:rsid w:val="00EB713C"/>
    <w:rsid w:val="00EB7C81"/>
    <w:rsid w:val="00EC283C"/>
    <w:rsid w:val="00EC3664"/>
    <w:rsid w:val="00ED0A94"/>
    <w:rsid w:val="00ED2A48"/>
    <w:rsid w:val="00ED795A"/>
    <w:rsid w:val="00EE1A96"/>
    <w:rsid w:val="00EE2480"/>
    <w:rsid w:val="00EE25A4"/>
    <w:rsid w:val="00EE2B9C"/>
    <w:rsid w:val="00EE5153"/>
    <w:rsid w:val="00EE55A4"/>
    <w:rsid w:val="00EE5FAB"/>
    <w:rsid w:val="00EF1756"/>
    <w:rsid w:val="00EF1DED"/>
    <w:rsid w:val="00EF23E6"/>
    <w:rsid w:val="00EF5ED9"/>
    <w:rsid w:val="00EF6581"/>
    <w:rsid w:val="00EF730C"/>
    <w:rsid w:val="00F01811"/>
    <w:rsid w:val="00F02538"/>
    <w:rsid w:val="00F049B0"/>
    <w:rsid w:val="00F06D5A"/>
    <w:rsid w:val="00F10131"/>
    <w:rsid w:val="00F1425A"/>
    <w:rsid w:val="00F16708"/>
    <w:rsid w:val="00F2018F"/>
    <w:rsid w:val="00F20CE9"/>
    <w:rsid w:val="00F21C45"/>
    <w:rsid w:val="00F27D04"/>
    <w:rsid w:val="00F315A1"/>
    <w:rsid w:val="00F31BF9"/>
    <w:rsid w:val="00F335F2"/>
    <w:rsid w:val="00F3538C"/>
    <w:rsid w:val="00F36BD9"/>
    <w:rsid w:val="00F3736F"/>
    <w:rsid w:val="00F40CAD"/>
    <w:rsid w:val="00F41CBE"/>
    <w:rsid w:val="00F41FAF"/>
    <w:rsid w:val="00F432BD"/>
    <w:rsid w:val="00F44448"/>
    <w:rsid w:val="00F458B7"/>
    <w:rsid w:val="00F4698F"/>
    <w:rsid w:val="00F51DB9"/>
    <w:rsid w:val="00F552CD"/>
    <w:rsid w:val="00F55974"/>
    <w:rsid w:val="00F6033C"/>
    <w:rsid w:val="00F71234"/>
    <w:rsid w:val="00F73FEE"/>
    <w:rsid w:val="00F7515F"/>
    <w:rsid w:val="00F770FF"/>
    <w:rsid w:val="00F82735"/>
    <w:rsid w:val="00F83731"/>
    <w:rsid w:val="00F95B20"/>
    <w:rsid w:val="00FA2074"/>
    <w:rsid w:val="00FA31FC"/>
    <w:rsid w:val="00FA379B"/>
    <w:rsid w:val="00FA738D"/>
    <w:rsid w:val="00FA76AC"/>
    <w:rsid w:val="00FA7C12"/>
    <w:rsid w:val="00FB261B"/>
    <w:rsid w:val="00FB2B74"/>
    <w:rsid w:val="00FB33D7"/>
    <w:rsid w:val="00FB3E37"/>
    <w:rsid w:val="00FC02BD"/>
    <w:rsid w:val="00FC3951"/>
    <w:rsid w:val="00FC42A0"/>
    <w:rsid w:val="00FC630E"/>
    <w:rsid w:val="00FD1F7F"/>
    <w:rsid w:val="00FD5572"/>
    <w:rsid w:val="00FD63B2"/>
    <w:rsid w:val="00FD6CE5"/>
    <w:rsid w:val="00FE3CBB"/>
    <w:rsid w:val="00FE3D0B"/>
    <w:rsid w:val="00FE6042"/>
    <w:rsid w:val="00FF1407"/>
    <w:rsid w:val="00FF19B1"/>
    <w:rsid w:val="00FF3B07"/>
    <w:rsid w:val="00FF5EC9"/>
    <w:rsid w:val="00FF6246"/>
    <w:rsid w:val="00FF6C35"/>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87598257-D11F-6048-B2EC-CCB0BE3AD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DA4"/>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 w:type="character" w:styleId="Emphasis">
    <w:name w:val="Emphasis"/>
    <w:basedOn w:val="DefaultParagraphFont"/>
    <w:uiPriority w:val="20"/>
    <w:qFormat/>
    <w:rsid w:val="00F27D04"/>
    <w:rPr>
      <w:i/>
      <w:iCs/>
    </w:rPr>
  </w:style>
  <w:style w:type="paragraph" w:customStyle="1" w:styleId="font-claude-response-body">
    <w:name w:val="font-claude-response-body"/>
    <w:basedOn w:val="Normal"/>
    <w:rsid w:val="00653AF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mak29@uw.edu"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3563</TotalTime>
  <Pages>29</Pages>
  <Words>26166</Words>
  <Characters>149152</Characters>
  <Application>Microsoft Office Word</Application>
  <DocSecurity>0</DocSecurity>
  <Lines>1242</Lines>
  <Paragraphs>349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46</cp:revision>
  <cp:lastPrinted>2026-03-10T22:36:00Z</cp:lastPrinted>
  <dcterms:created xsi:type="dcterms:W3CDTF">2026-03-10T22:36:00Z</dcterms:created>
  <dcterms:modified xsi:type="dcterms:W3CDTF">2026-07-14T00:46:00Z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id="25Y35S3t"/&gt;&lt;style id="http://www.zotero.org/styles/journal-of-applied-ecology" hasBibliography="1" bibliographyStyleHasBeenSet="1"/&gt;&lt;prefs&gt;&lt;pref name="fieldType" value="Field"/&gt;&lt;/prefs&gt;&lt;/data&gt;</vt:lpwstr>
  </property>
</Properties>
</file>