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B5346" w14:textId="017617E5" w:rsidR="004712C9" w:rsidRDefault="004712C9" w:rsidP="004712C9">
      <w:pPr>
        <w:suppressLineNumbers/>
        <w:jc w:val="center"/>
        <w:rPr>
          <w:rFonts w:ascii="Garamond" w:hAnsi="Garamond"/>
          <w:b/>
          <w:bCs/>
          <w:sz w:val="32"/>
          <w:szCs w:val="32"/>
        </w:rPr>
      </w:pPr>
      <w:r w:rsidRPr="00DA52E2">
        <w:rPr>
          <w:rFonts w:ascii="Garamond" w:hAnsi="Garamond"/>
          <w:b/>
          <w:bCs/>
          <w:sz w:val="32"/>
          <w:szCs w:val="32"/>
        </w:rPr>
        <w:t xml:space="preserve">Spatiotemporal trends in salmon metapopulation contribution to </w:t>
      </w:r>
      <w:r>
        <w:rPr>
          <w:rFonts w:ascii="Garamond" w:hAnsi="Garamond"/>
          <w:b/>
          <w:bCs/>
          <w:sz w:val="32"/>
          <w:szCs w:val="32"/>
        </w:rPr>
        <w:t xml:space="preserve">the </w:t>
      </w:r>
      <w:proofErr w:type="gramStart"/>
      <w:r>
        <w:rPr>
          <w:rFonts w:ascii="Garamond" w:hAnsi="Garamond"/>
          <w:b/>
          <w:bCs/>
          <w:sz w:val="32"/>
          <w:szCs w:val="32"/>
        </w:rPr>
        <w:t>Kuskokwim river</w:t>
      </w:r>
      <w:proofErr w:type="gramEnd"/>
    </w:p>
    <w:p w14:paraId="1B2A678B" w14:textId="77777777" w:rsidR="0063694A" w:rsidRDefault="0063694A" w:rsidP="004712C9">
      <w:pPr>
        <w:suppressLineNumbers/>
        <w:rPr>
          <w:rFonts w:ascii="Garamond" w:hAnsi="Garamond"/>
          <w:b/>
          <w:bCs/>
          <w:sz w:val="22"/>
          <w:szCs w:val="22"/>
          <w:u w:val="single"/>
        </w:rPr>
      </w:pPr>
    </w:p>
    <w:p w14:paraId="58C68C67" w14:textId="77777777" w:rsidR="00F552CD" w:rsidRPr="006D1917" w:rsidRDefault="00F552CD" w:rsidP="00F552CD">
      <w:pPr>
        <w:spacing w:line="480" w:lineRule="auto"/>
        <w:rPr>
          <w:rFonts w:ascii="Garamond" w:hAnsi="Garamond"/>
          <w:b/>
          <w:bCs/>
          <w:sz w:val="22"/>
          <w:szCs w:val="22"/>
          <w:u w:val="single"/>
        </w:rPr>
      </w:pPr>
      <w:r w:rsidRPr="006D1917">
        <w:rPr>
          <w:rFonts w:ascii="Garamond" w:hAnsi="Garamond"/>
          <w:b/>
          <w:bCs/>
          <w:sz w:val="22"/>
          <w:szCs w:val="22"/>
          <w:u w:val="single"/>
        </w:rPr>
        <w:t xml:space="preserve">Introduction: </w:t>
      </w:r>
      <w:r w:rsidRPr="006D1917">
        <w:rPr>
          <w:rFonts w:ascii="Garamond" w:hAnsi="Garamond"/>
          <w:sz w:val="22"/>
          <w:szCs w:val="22"/>
        </w:rPr>
        <w:t xml:space="preserve"> </w:t>
      </w:r>
    </w:p>
    <w:p w14:paraId="54053AD6" w14:textId="77777777" w:rsidR="00F552CD" w:rsidRPr="006D1917" w:rsidRDefault="00F552CD" w:rsidP="00F552CD">
      <w:pPr>
        <w:spacing w:line="480" w:lineRule="auto"/>
        <w:ind w:firstLine="720"/>
        <w:rPr>
          <w:rFonts w:ascii="Garamond" w:hAnsi="Garamond"/>
          <w:sz w:val="22"/>
          <w:szCs w:val="22"/>
        </w:rPr>
      </w:pPr>
      <w:r w:rsidRPr="006D1917">
        <w:rPr>
          <w:rFonts w:ascii="Garamond" w:hAnsi="Garamond"/>
          <w:sz w:val="22"/>
          <w:szCs w:val="22"/>
        </w:rPr>
        <w:t>Chinook salmon populations are experiencing unprecedented declines across much of their range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{"citationID":"lr8eoJO9","properties":{"formattedCitation":"(Atlas et al., 2023; Ohlberger et al., 2018)","plainCitation":"(Atlas et al., 2023; Ohlberger et al., 2018)","noteIndex":0},"citationItems":[{"id":5384,"uris":["http://zotero.org/users/8421274/items/YYBUBGXV"],"itemData":{"id":5384,"type":"article-journal","abstract":"Chinook salmon (Oncorhynchus tshawytscha, Salmonidae) are foundational to social-ecological systems of the Northeast Pacific Rim and exhibit a rich diversity of life histories including in their adult migration timing, age at critical life-history transitions and marine feeding distributions. In recent decades Chinook have experienced declines across much of their native range; however, changes in productivity and abundance have rarely been evaluated in relation to life-history variation. To understand trends in Chinook salmon production, and how they are related to life history, we compiled time series data from the Fraser River to the Sacramento River on total run size (pre-fishery abundance) and escapement (post-fishery spawner abundance) and fit time series models to estimate trends across this bioregion. Our analysis revealed that most Chinook populations are declining, with negative trends in escapement (57 of 79) and total run (16 of 23) size. Trends were most acutely negative for interior spring Chinook in the Fraser, Columbia and Snake Rivers and most populations in California. Summer and fall Chinook had mixed trends, with several summer and fall upriver bright populations in the interior Columbia and Fraser exhibiting increases in abundance from the 1990s to 2019. Our research reveals widespread declines of this important species, but local complexity in trends that are mediated by population-level life history, migratory behaviours and watershed-scale restoration actions. Understanding linkages between life histories and resilience should inform rebuilding efforts for Chinook salmon and highlight the need to conserve intraspecific biodiversity.","container-title":"Fish and Fisheries","DOI":"10.1111/faf.12750","ISSN":"1467-2979","issue":"4","language":"en","license":"© 2023 The Authors. Fish and Fisheries published by John Wiley &amp; Sons Ltd.","note":"_eprint: https://onlinelibrary.wiley.com/doi/pdf/10.1111/faf.12750","page":"595-617","source":"Wiley Online Library","title":"Trends in Chinook salmon spawner abundance and total run size highlight linkages between life history, geography and decline","volume":"24","author":[{"family":"Atlas","given":"William I."},{"family":"Sloat","given":"Matthew R."},{"family":"Satterthwaite","given":"William H."},{"family":"Buehrens","given":"Thomas W."},{"family":"Parken","given":"Charles K."},{"family":"Moore","given":"Jonathan W."},{"family":"Mantua","given":"Nathan J."},{"family":"Hart","given":"Jon"},{"family":"Potapova","given":"Anna"}],"issued":{"date-parts":[["2023"]]}}},{"id":4421,"uris":["http://zotero.org/users/8421274/items/PUA9GF7A"],"itemData":{"id":4421,"type":"article-journal","abstract":"The demographic structure of populations is affected by life history strategies and how these interact with natural and anthropogenic factors such as exploitation, climate change, and biotic interactions. Previous work suggests that the mean size and age of some North American populations of Chinook salmon (Oncorhynchus tshawytscha, Salmonidae) are declining. These trends are of concern because Chinook salmon are highly valued commercially for their exceptional size and because the loss of the largest and oldest individuals may lead to reduced population productivity. Using long-term data from wild and hatchery populations, we quantified changes in the demographic structure of Chinook salmon populations over the past four decades across the Northeast Pacific Ocean, from California through western Alaska. Our results show that wild and hatchery fish are becoming smaller and younger throughout most of the Pacific coast. Proportions of older age classes have decreased over time in most regions. Simultaneously, the length-at-age of older fish has declined while the length-at-age of younger fish has typically increased. However, negative size trends of older ages were weak or non-existent at the southern end of the range. While it remains to be explored whether these trends are caused by changes in climate, fishing practices or species interactions such as predation, our qualitative review of the potential causes of demographic change suggests that selective removal of large fish has likely contributed to the apparent widespread declines in average body sizes.","container-title":"Fish and Fisheries","DOI":"10.1111/faf.12272","ISSN":"1467-2979","issue":"3","language":"en","license":"© 2018 The Authors. Fish and Fisheries published by John Wiley &amp; Sons Ltd.","note":"_eprint: https://onlinelibrary.wiley.com/doi/pdf/10.1111/faf.12272","page":"533-546","source":"Wiley Online Library","title":"Demographic changes in Chinook salmon across the Northeast Pacific Ocean","volume":"19","author":[{"family":"Ohlberger","given":"Jan"},{"family":"Ward","given":"Eric J"},{"family":"Schindler","given":"Daniel E"},{"family":"Lewis","given":"Bert"}],"issued":{"date-parts":[["2018"]]}}}],"schema":"https://github.com/citation-style-language/schema/raw/master/csl-citation.json"}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(Atlas et al., 2023; Ohlberger et al., 2018)</w:t>
      </w:r>
      <w:r>
        <w:rPr>
          <w:rFonts w:ascii="Garamond" w:hAnsi="Garamond"/>
          <w:sz w:val="22"/>
          <w:szCs w:val="22"/>
        </w:rPr>
        <w:fldChar w:fldCharType="end"/>
      </w:r>
      <w:r w:rsidRPr="006D1917">
        <w:rPr>
          <w:rFonts w:ascii="Garamond" w:hAnsi="Garamond"/>
          <w:sz w:val="22"/>
          <w:szCs w:val="22"/>
        </w:rPr>
        <w:t xml:space="preserve">. This trend is especially severe in </w:t>
      </w:r>
      <w:r>
        <w:rPr>
          <w:rFonts w:ascii="Garamond" w:hAnsi="Garamond"/>
          <w:sz w:val="22"/>
          <w:szCs w:val="22"/>
        </w:rPr>
        <w:t>w</w:t>
      </w:r>
      <w:r w:rsidRPr="006D1917">
        <w:rPr>
          <w:rFonts w:ascii="Garamond" w:hAnsi="Garamond"/>
          <w:sz w:val="22"/>
          <w:szCs w:val="22"/>
        </w:rPr>
        <w:t xml:space="preserve">estern Alaska watersheds, which contain some of the world's last pristine Chinook </w:t>
      </w:r>
      <w:r>
        <w:rPr>
          <w:rFonts w:ascii="Garamond" w:hAnsi="Garamond"/>
          <w:sz w:val="22"/>
          <w:szCs w:val="22"/>
        </w:rPr>
        <w:t xml:space="preserve">salmon </w:t>
      </w:r>
      <w:r w:rsidRPr="006D1917">
        <w:rPr>
          <w:rFonts w:ascii="Garamond" w:hAnsi="Garamond"/>
          <w:sz w:val="22"/>
          <w:szCs w:val="22"/>
        </w:rPr>
        <w:t xml:space="preserve">habitat but have seen steep declines in returning Chinook and </w:t>
      </w:r>
      <w:r>
        <w:rPr>
          <w:rFonts w:ascii="Garamond" w:hAnsi="Garamond"/>
          <w:sz w:val="22"/>
          <w:szCs w:val="22"/>
        </w:rPr>
        <w:t>c</w:t>
      </w:r>
      <w:r w:rsidRPr="006D1917">
        <w:rPr>
          <w:rFonts w:ascii="Garamond" w:hAnsi="Garamond"/>
          <w:sz w:val="22"/>
          <w:szCs w:val="22"/>
        </w:rPr>
        <w:t>hum salmon in recent years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{"citationID":"MP9B29WU","properties":{"formattedCitation":"(Lamborn et al., 2025; Murdoch et al., 2024)","plainCitation":"(Lamborn et al., 2025; Murdoch et al., 2024)","noteIndex":0},"citationItems":[{"id":5379,"uris":["http://zotero.org/users/8421274/items/6TRPLVW4"],"itemData":{"id":5379,"type":"article-journal","abstract":"Across Alaska, there have been synchronous declines in the abundance, mean age, and size of Chinook salmon (Oncorhynchus tshawytscha, Salmonidae), a species with immense social and ecological importance. The decline of Chinook salmon, and regulations addressing declines, have drastically impacted people who rely on Alaska's fisheries. Despite their importance, the drivers causing Chinook salmon declines are still not well understood. Therefore, to improve our understanding of the likely drivers of these large-scale synchronous declines, we synthesised the peer-reviewed Chinook salmon literature published between 2010 and 2024 using a weight-of-evidence approach. We identified 94 variables used to explain the trends in abundance and demographics of Chinook salmon. Each variable's association with trends in Chinook salmon was individually assessed and integrated using a standardised method. Results of this synthesis suggest the drivers for large-scale synchronous declines have occurred in the North Pacific Ocean. Specifically, we found marine predation, size selective harvest, and pink salmon (Oncorhynchus gorbuscha) abundance are the factors most strongly associated with reduced size and age. Results also suggest ocean productivity–specifically winter sea surface temperature and the North Pacific Gyre Oscillation–are the most frequently identified predictors of regional Chinook salmon abundance. In addition to addressing freshwater factors like adult heat stress and juvenile predation, we suggest research, policy, and management focus on how to better understand and address the interactions between ocean productivity, marine predation, size selective harvest, and pink salmon abundance to improve the condition of Chinook salmon, and the people and ecosystems benefiting from them.","container-title":"Fish and Fisheries","DOI":"10.1111/faf.12895","ISSN":"1467-2979","issue":"n/a","language":"en","license":"© 2025 The Author(s). Fish and Fisheries published by John Wiley &amp; Sons Ltd.","note":"_eprint: https://onlinelibrary.wiley.com/doi/pdf/10.1111/faf.12895","source":"Wiley Online Library","title":"A Synthesis of Factors Related to Trends in Abundance and Demography of Alaska Chinook Salmon (Oncorhynchus tshawytscha, Salmonidae): Implications for Research, Management, and Policy","title-short":"A Synthesis of Factors Related to Trends in Abundance and Demography of Alaska Chinook Salmon (Oncorhynchus tshawytscha, Salmonidae)","URL":"https://onlinelibrary.wiley.com/doi/abs/10.1111/faf.12895","volume":"n/a","author":[{"family":"Lamborn","given":"Chase C."},{"family":"Ohlberger","given":"Jan"},{"family":"Walsworth","given":"Timothy E."},{"family":"Westley","given":"Peter A. H."},{"family":"Cunningham","given":"Curry J."},{"family":"Wynsma","given":"Sam"},{"family":"Smith","given":"Jordan W."}],"accessed":{"date-parts":[["2025",6,4]]},"issued":{"date-parts":[["2025"]]}}},{"id":5327,"uris":["http://zotero.org/users/8421274/items/QJJ96GUP"],"itemData":{"id":5327,"type":"article-journal","abstract":"Recent declines of Yukon River Chinook salmon (Oncorhynchus tshawytscha) populations have severely impacted people residing in the Yukon and Alaska. Evidence-based conservation strategies focused on stock recovery and adaptation are urgently needed but are limited by our understanding of what is driving declines, particularly in Canadian portions of the Yukon River basin. We examined how multiple environmental drivers may be influencing Canadian-origin Yukon River Chinook salmon productivity for eight populations over a 28-year period. We found that productivity was related to various environmental and ecosystem processes acting cumulatively over multiple life stages and across broad geographic scales. Productivity decreased in association with warmer upriver migration temperatures, wetter freshwater juvenile rearing habitats, and increasing abundances of potential marine competitors. In contrast, productivity increased in years with warmer and snowier winters and earlier spring onset. We found that different populations had similar relationships with environmental drivers, with potentially negative implications for regional fisheries stability. Our findings provide insight into how Chinook salmon are responding to rapid environmental change and can help inform salmon conservation initiatives and sustainable harvest strategies.","container-title":"CANADIAN JOURNAL OF FISHERIES AND AQUATIC SCIENCES","DOI":"10.1139/cjfas-2022-0254","ISSN":"0706-652X, 1205-7533","issue":"1","journalAbbreviation":"Can. J. Fish. Aquat. Sci.","language":"English","note":"number-of-pages: 18\npublisher-place: Ottawa\npublisher: Canadian Science Publishing\nWeb of Science ID: WOS:001129796500001","page":"97-114","source":"Clarivate Analytics Web of Science","title":"Multiple environmental drivers across life stages influence Yukon River Chinook salmon productivity","volume":"81","author":[{"family":"Murdoch","given":"A."},{"family":"Connors","given":"B. M."},{"family":"Lapointe","given":"N. W. R."},{"family":"Flemming","given":"J. Mills"},{"family":"Cooke","given":"S. J."},{"family":"Mantyka-Pringle","given":"C."}],"issued":{"date-parts":[["2024",1]]}}}],"schema":"https://github.com/citation-style-language/schema/raw/master/csl-citation.json"}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(Lamborn et al., 2025; Murdoch et al., 2024)</w:t>
      </w:r>
      <w:r>
        <w:rPr>
          <w:rFonts w:ascii="Garamond" w:hAnsi="Garamond"/>
          <w:sz w:val="22"/>
          <w:szCs w:val="22"/>
        </w:rPr>
        <w:fldChar w:fldCharType="end"/>
      </w:r>
      <w:r w:rsidRPr="006D1917">
        <w:rPr>
          <w:rFonts w:ascii="Garamond" w:hAnsi="Garamond"/>
          <w:sz w:val="22"/>
          <w:szCs w:val="22"/>
        </w:rPr>
        <w:t xml:space="preserve">. Salmon from this region </w:t>
      </w:r>
      <w:proofErr w:type="gramStart"/>
      <w:r>
        <w:rPr>
          <w:rFonts w:ascii="Garamond" w:hAnsi="Garamond"/>
          <w:sz w:val="22"/>
          <w:szCs w:val="22"/>
        </w:rPr>
        <w:t>have</w:t>
      </w:r>
      <w:proofErr w:type="gramEnd"/>
      <w:r>
        <w:rPr>
          <w:rFonts w:ascii="Garamond" w:hAnsi="Garamond"/>
          <w:sz w:val="22"/>
          <w:szCs w:val="22"/>
        </w:rPr>
        <w:t xml:space="preserve"> supported</w:t>
      </w:r>
      <w:r w:rsidRPr="006D1917">
        <w:rPr>
          <w:rFonts w:ascii="Garamond" w:hAnsi="Garamond"/>
          <w:sz w:val="22"/>
          <w:szCs w:val="22"/>
        </w:rPr>
        <w:t xml:space="preserve"> lucrative commercial </w:t>
      </w:r>
      <w:proofErr w:type="gramStart"/>
      <w:r w:rsidRPr="006D1917">
        <w:rPr>
          <w:rFonts w:ascii="Garamond" w:hAnsi="Garamond"/>
          <w:sz w:val="22"/>
          <w:szCs w:val="22"/>
        </w:rPr>
        <w:t>fisheries, and</w:t>
      </w:r>
      <w:proofErr w:type="gramEnd"/>
      <w:r w:rsidRPr="006D1917">
        <w:rPr>
          <w:rFonts w:ascii="Garamond" w:hAnsi="Garamond"/>
          <w:sz w:val="22"/>
          <w:szCs w:val="22"/>
        </w:rPr>
        <w:t xml:space="preserve"> have historically </w:t>
      </w:r>
      <w:r>
        <w:rPr>
          <w:rFonts w:ascii="Garamond" w:hAnsi="Garamond"/>
          <w:sz w:val="22"/>
          <w:szCs w:val="22"/>
        </w:rPr>
        <w:t xml:space="preserve">provided the cultural and </w:t>
      </w:r>
      <w:proofErr w:type="gramStart"/>
      <w:r>
        <w:rPr>
          <w:rFonts w:ascii="Garamond" w:hAnsi="Garamond"/>
          <w:sz w:val="22"/>
          <w:szCs w:val="22"/>
        </w:rPr>
        <w:t xml:space="preserve">nutritional </w:t>
      </w:r>
      <w:r w:rsidRPr="006D1917">
        <w:rPr>
          <w:rFonts w:ascii="Garamond" w:hAnsi="Garamond"/>
          <w:sz w:val="22"/>
          <w:szCs w:val="22"/>
        </w:rPr>
        <w:t xml:space="preserve"> </w:t>
      </w:r>
      <w:r>
        <w:rPr>
          <w:rFonts w:ascii="Garamond" w:hAnsi="Garamond"/>
          <w:sz w:val="22"/>
          <w:szCs w:val="22"/>
        </w:rPr>
        <w:t>foundation</w:t>
      </w:r>
      <w:proofErr w:type="gramEnd"/>
      <w:r>
        <w:rPr>
          <w:rFonts w:ascii="Garamond" w:hAnsi="Garamond"/>
          <w:sz w:val="22"/>
          <w:szCs w:val="22"/>
        </w:rPr>
        <w:t xml:space="preserve"> for</w:t>
      </w:r>
      <w:r w:rsidRPr="006D1917">
        <w:rPr>
          <w:rFonts w:ascii="Garamond" w:hAnsi="Garamond"/>
          <w:sz w:val="22"/>
          <w:szCs w:val="22"/>
        </w:rPr>
        <w:t xml:space="preserve"> dozens of </w:t>
      </w:r>
      <w:r>
        <w:rPr>
          <w:rFonts w:ascii="Garamond" w:hAnsi="Garamond"/>
          <w:sz w:val="22"/>
          <w:szCs w:val="22"/>
        </w:rPr>
        <w:t xml:space="preserve">subsistence </w:t>
      </w:r>
      <w:r w:rsidRPr="006D1917">
        <w:rPr>
          <w:rFonts w:ascii="Garamond" w:hAnsi="Garamond"/>
          <w:sz w:val="22"/>
          <w:szCs w:val="22"/>
        </w:rPr>
        <w:t xml:space="preserve">communities in the region. As runs have collapsed, however, </w:t>
      </w:r>
      <w:r>
        <w:rPr>
          <w:rFonts w:ascii="Garamond" w:hAnsi="Garamond"/>
          <w:sz w:val="22"/>
          <w:szCs w:val="22"/>
        </w:rPr>
        <w:t>harvest has been completed restricted or</w:t>
      </w:r>
      <w:r w:rsidRPr="006D1917">
        <w:rPr>
          <w:rFonts w:ascii="Garamond" w:hAnsi="Garamond"/>
          <w:sz w:val="22"/>
          <w:szCs w:val="22"/>
        </w:rPr>
        <w:t xml:space="preserve"> upstream communities have voluntarily reduced or ceased subsistence fishing altogether, triggering a region-wide crisis of food insecurity, cultural loss, and the potential disappearance of a critical economic resource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{"citationID":"pEObtCaz","properties":{"formattedCitation":"(Brown &amp; Godduhn, 2015)","plainCitation":"(Brown &amp; Godduhn, 2015)","noteIndex":0},"citationItems":[{"id":4428,"uris":["http://zotero.org/users/8421274/items/2WA8NCRM"],"itemData":{"id":4428,"type":"article-journal","language":"en","source":"Zotero","title":"Socioeconomic effects of declining salmon runs on the Yukon River","author":[{"family":"Brown","given":"Caroline L"},{"family":"Godduhn","given":"Anna"}],"issued":{"date-parts":[["2015"]]}}}],"schema":"https://github.com/citation-style-language/schema/raw/master/csl-citation.json"}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(Brown &amp; Godduhn, 2015)</w:t>
      </w:r>
      <w:r>
        <w:rPr>
          <w:rFonts w:ascii="Garamond" w:hAnsi="Garamond"/>
          <w:sz w:val="22"/>
          <w:szCs w:val="22"/>
        </w:rPr>
        <w:fldChar w:fldCharType="end"/>
      </w:r>
      <w:r w:rsidRPr="006D1917">
        <w:rPr>
          <w:rFonts w:ascii="Garamond" w:hAnsi="Garamond"/>
          <w:sz w:val="22"/>
          <w:szCs w:val="22"/>
        </w:rPr>
        <w:t xml:space="preserve">. As a result, resource managers face the difficult task of designing management strategies which balancing ongoing harvest opportunities with the urgent need to rebuild salmon populations and strengthen their resilience to future perturbations. </w:t>
      </w:r>
    </w:p>
    <w:p w14:paraId="67AF0167" w14:textId="77777777" w:rsidR="00F552CD" w:rsidRDefault="00F552CD" w:rsidP="00F552CD">
      <w:pPr>
        <w:pStyle w:val="NormalWeb"/>
        <w:spacing w:line="480" w:lineRule="auto"/>
        <w:ind w:firstLine="720"/>
        <w:rPr>
          <w:rFonts w:ascii="Garamond" w:hAnsi="Garamond"/>
          <w:sz w:val="22"/>
          <w:szCs w:val="22"/>
        </w:rPr>
      </w:pPr>
      <w:r w:rsidRPr="006D1917">
        <w:rPr>
          <w:rFonts w:ascii="Garamond" w:hAnsi="Garamond"/>
          <w:sz w:val="22"/>
          <w:szCs w:val="22"/>
        </w:rPr>
        <w:t>There is growing recognition of the critical role that intrapopulation variability plays in fostering resilience at the ecosystem scale in both terrestrial and aquatic ecosystems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{"citationID":"R6hBXmsY","properties":{"formattedCitation":"(Bolnick et al., 2011)","plainCitation":"(Bolnick et al., 2011)","noteIndex":0},"citationItems":[{"id":5318,"uris":["http://zotero.org/users/8421274/items/R2ZYTKMR"],"itemData":{"id":5318,"type":"article-journal","container-title":"Trends in Ecology &amp; Evolution","DOI":"10.1016/j.tree.2011.01.009","ISSN":"0169-5347","issue":"4","journalAbbreviation":"Trends in Ecology &amp; Evolution","language":"English","note":"publisher: Elsevier\nPMID: 21367482","page":"183-192","source":"www.cell.com","title":"Why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(Luck et al. 200X, Schindler et al. 2015)</w:t>
      </w:r>
      <w:r>
        <w:rPr>
          <w:rFonts w:ascii="Garamond" w:hAnsi="Garamond"/>
          <w:sz w:val="22"/>
          <w:szCs w:val="22"/>
        </w:rPr>
        <w:fldChar w:fldCharType="end"/>
      </w:r>
      <w:r w:rsidRPr="006D1917">
        <w:rPr>
          <w:rFonts w:ascii="Garamond" w:hAnsi="Garamond"/>
          <w:sz w:val="22"/>
          <w:szCs w:val="22"/>
        </w:rPr>
        <w:t>. In salmon populations, substantial variation in both return timing and spatial distribution of habitat use produces significant complexity in life history strategies within and among populations</w:t>
      </w:r>
      <w:r>
        <w:rPr>
          <w:rFonts w:ascii="Garamond" w:hAnsi="Garamond"/>
          <w:sz w:val="22"/>
          <w:szCs w:val="22"/>
        </w:rPr>
        <w:t xml:space="preserve"> (Hilborn et al. 2003)</w:t>
      </w:r>
      <w:r w:rsidRPr="006D1917">
        <w:rPr>
          <w:rFonts w:ascii="Garamond" w:hAnsi="Garamond"/>
          <w:sz w:val="22"/>
          <w:szCs w:val="22"/>
        </w:rPr>
        <w:t>. Overall population performance in salmon ecosystems is</w:t>
      </w:r>
      <w:r>
        <w:rPr>
          <w:rFonts w:ascii="Garamond" w:hAnsi="Garamond"/>
          <w:sz w:val="22"/>
          <w:szCs w:val="22"/>
        </w:rPr>
        <w:t xml:space="preserve"> therefore</w:t>
      </w:r>
      <w:r w:rsidRPr="006D1917">
        <w:rPr>
          <w:rFonts w:ascii="Garamond" w:hAnsi="Garamond"/>
          <w:sz w:val="22"/>
          <w:szCs w:val="22"/>
        </w:rPr>
        <w:t xml:space="preserve"> shaped by the statistical averaging of multiple distinct, semi-independent sub-units distributed across space and time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{"citationID":"4R3sEUmP","properties":{"formattedCitation":"(Connors et al., 2022; Ohlberger et al., 2016)","plainCitation":"(Connors et al., 2022; Ohlberger et al., 2016)","noteIndex":0},"citationItems":[{"id":4144,"uris":["http://zotero.org/users/8421274/items/M4DUIZ82"],"itemData":{"id":4144,"type":"article-journal","abstract":"Variation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G."}],"issued":{"date-parts":[["2022"]]}}},{"id":5321,"uris":["http://zotero.org/users/8421274/items/PJWLDI6C"],"itemData":{"id":5321,"type":"article-journal","abstract":"A central problem in understanding how species respond to global change is in parsing the effects of local drivers of population dynamics from regional and global drivers that are shared among populations. Management and conservation efforts that typically focus on a particular population would benefit greatly from being able to separate the effects of environmental processes at local, regional, and global scales. One way of addressing this challenge is to integrate data across multiple populations and use multivariate time series approaches to estimate shared and independent components of dynamics among neighboring populations. Here, we use a data set of 15 populations of Chinook salmon (Oncorhynchus tshawytscha) covering a broad geographical range in the eastern North Pacific Ocean to show how Dynamic Factor Analysis (DFA) can be used to estimate temporal coherence in population dynamics and to detect environmental drivers across spatial scales. Our results show that productivity dynamics of Chinook salmon populations strongly covary at the regional scale, but to a lesser degree at larger spatial scales. The timing of river ice break-up in spring was identified as an important driver of regional productivity dynamics. In addition, broad-scale variability in population productivity was linked to the North Pacific Gyre Oscillation, a dominant pattern of sea surface height variability. These broad-scale patterns in productivity dynamics may be associated with recent regime shifts in the Northeast Pacific Ocean. However, our results also demonstrate that populations within regions do not always respond consistently to the same environmental drivers, thus suggesting location-specific impacts. Overall, this study illustrates the use of DFA for quantifying the spatial and temporal complexity of multiple population responses to environmental change, thereby providing insights to processes that affect populations across large geographic areas, but that might be filtered by local habitat conditions.","container-title":"Ecosphere","DOI":"10.1002/ecs2.1333","ISSN":"2150-8925","issue":"4","language":"en","license":"© 2016 Ohlberger et al.","note":"_eprint: https://esajournals.onlinelibrary.wiley.com/doi/pdf/10.1002/ecs2.1333","page":"e01333","source":"Wiley Online Library","title":"Population coherence and environmental impacts across spatial scales: a case study of Chinook salmon","title-short":"Population coherence and environmental impacts across spatial scales","volume":"7","author":[{"family":"Ohlberger","given":"Jan"},{"family":"Scheuerell","given":"Mark D."},{"family":"Schindler","given":"Daniel E."}],"issued":{"date-parts":[["2016"]]}}}],"schema":"https://github.com/citation-style-language/schema/raw/master/csl-citation.json"}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(Schindler et al. 2010; Connors et al., 2022)</w:t>
      </w:r>
      <w:r>
        <w:rPr>
          <w:rFonts w:ascii="Garamond" w:hAnsi="Garamond"/>
          <w:sz w:val="22"/>
          <w:szCs w:val="22"/>
        </w:rPr>
        <w:fldChar w:fldCharType="end"/>
      </w:r>
      <w:r>
        <w:rPr>
          <w:rFonts w:ascii="Garamond" w:hAnsi="Garamond"/>
          <w:sz w:val="22"/>
          <w:szCs w:val="22"/>
        </w:rPr>
        <w:t xml:space="preserve">. </w:t>
      </w:r>
      <w:r w:rsidRPr="006D1917">
        <w:rPr>
          <w:rFonts w:ascii="Garamond" w:hAnsi="Garamond"/>
          <w:sz w:val="22"/>
          <w:szCs w:val="22"/>
        </w:rPr>
        <w:t>Weak or negative covariance among these stocks helps buffer the broader population against the poor performance of any individual subunit, whose success may fluctuate in response to a dynamic mosaic of multi-dimensional environmental conditions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{"citationID":"m5A16NUn","properties":{"formattedCitation":"(Brennan, Schindler, et al., 2019; Schindler et al., 2010)","plainCitation":"(Brennan, Schindler, et al., 2019; Schindler et al., 2010)","noteIndex":0},"citationItems":[{"id":3844,"uris":["http://zotero.org/users/8421274/items/RXD5IA9D"],"itemData":{"id":3844,"type":"article-journal","abstract":"Watersheds are complex mosaics of habitats whose conditions vary across space and time as landscape features filter overriding climate forcing, yet the extent to which the reliability of ecosystem services depends on these dynamics remains unknown. We quantified how shifting habitat mosaics are expressed across a range of spatial scales within a large, free-flowing river, and how they stabilize the production of Pacific salmon that support valuable fisheries. The strontium isotope records of ear stones (otoliths) show that the relative productivity of locations across the river network, as both natal- and juvenile-rearing habitat, varies widely among years and that this variability is expressed across a broad range of spatial scales, ultimately stabilizing the interannual production of fish at the scale of the entire basin.","container-title":"Science","DOI":"10.1126/science.aav4313","issue":"6442","note":"publisher: American Association for the Advancement of Science","page":"783-786","source":"science.org (Atypon)","title":"Shifting habitat mosaics and fish production across river basins","volume":"364","author":[{"family":"Brennan","given":"Sean R."},{"family":"Schindler","given":"Daniel E."},{"family":"Cline","given":"Timothy J."},{"family":"Walsworth","given":"Timothy E."},{"family":"Buck","given":"Greg"},{"family":"Fernandez","given":"Diego P."}],"issued":{"date-parts":[["2019"]]}},"label":"page"},{"id":272,"uris":["http://zotero.org/users/8421274/items/24NDGS7V"],"itemData":{"id":272,"type":"article-journal","abstract":"One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(Brennan, Schindler, et al., 2019; Schindler et al., 2010)</w:t>
      </w:r>
      <w:r>
        <w:rPr>
          <w:rFonts w:ascii="Garamond" w:hAnsi="Garamond"/>
          <w:sz w:val="22"/>
          <w:szCs w:val="22"/>
        </w:rPr>
        <w:fldChar w:fldCharType="end"/>
      </w:r>
      <w:r w:rsidRPr="006D1917">
        <w:rPr>
          <w:rFonts w:ascii="Garamond" w:hAnsi="Garamond"/>
          <w:sz w:val="22"/>
          <w:szCs w:val="22"/>
        </w:rPr>
        <w:t xml:space="preserve">. This “portfolio effect” dampens ecosystem variability by distributing risk across its components, </w:t>
      </w:r>
      <w:r w:rsidRPr="006D1917">
        <w:rPr>
          <w:rFonts w:ascii="Garamond" w:hAnsi="Garamond"/>
          <w:sz w:val="22"/>
          <w:szCs w:val="22"/>
        </w:rPr>
        <w:lastRenderedPageBreak/>
        <w:t>much in the same way that financial diversification of a portfolio spreads investment risk across sectors to reduce overall volatility</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{"citationID":"ropzGQtb","properties":{"formattedCitation":"(Cline et al., 2017; Griffiths et al., 2014; Markowitz, 1952; Schindler et al., 2015)","plainCitation":"(Cline et al., 2017; Griffiths et al., 2014; Markowitz, 1952; Schindler et al., 2015)","noteIndex":0},"citationItems":[{"id":1181,"uris":["http://zotero.org/users/8421274/items/B23FV4AJ"],"itemData":{"id":1181,"type":"article-journal","abstract":"Abrupt shifts in natural resources and their markets are a ubiquitous challenge to human communities. Building resilient social-ecological systems requires approaches that are robust to uncertainty and to regime shifts. Harvesting diverse portfolios of natural resources and adapting portfolios in response to change could stabilize economies reliant on natural resources and their markets, both of which are prone to unpredictable shifts. Here we use fisheries catch and revenue data from Alaskan fishing communities over 34 years to test whether diversification and turnover in the composition of fishing opportunities increased economic stability during major ocean and market regime shifts in 1989. More than 85% of communities show reduced fishing revenues following these regime shifts. However, communities with the highest portfolio diversity and those that could opportunistically shift the composition of resources they harvest, experienced negligible or even positive changes in revenue. Maintaining diversity in economic opportunities and enabling turnover facilitates sustainability of communities reliant on renewable resources facing uncertain futures.","container-title":"Nature Communications","DOI":"10.1038/ncomms14042","ISSN":"2041-1723","issue":"1","journalAbbreviation":"Nat Commun","language":"en","license":"2017 The Author(s)","note":"number: 1\npublisher: Nature Publishing Group","page":"14042","source":"www-nature-com.offcampus.lib.washington.edu","title":"Fisheries portfolio diversification and turnover buffer Alaskan fishing communities from abrupt resource and market changes","volume":"8","author":[{"family":"Cline","given":"Timothy J."},{"family":"Schindler","given":"Daniel E."},{"family":"Hilborn","given":"Ray"}],"issued":{"date-parts":[["2017",1,16]]}}},{"id":4217,"uris":["http://zotero.org/users/8421274/items/8XTQF7BZ"],"itemData":{"id":4217,"type":"article-journal","abstract":"&lt;list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w:instrText>
      </w:r>
      <w:r w:rsidRPr="00F552CD">
        <w:rPr>
          <w:rFonts w:ascii="Garamond" w:hAnsi="Garamond"/>
          <w:sz w:val="22"/>
          <w:szCs w:val="22"/>
        </w:rPr>
        <w:instrText xml:space="preserve">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C."}],"issued":{"date-parts":[["2014",12]]}}},{"id":5389,"uris":["http://zotero.org/users/8421274/items/4NQQUH9L"],"itemData":{"id":5389,"type":"article-journal","container-title":"The Journal of Finance","DOI":"10.2307/2975974","ISSN":"0022-1082","issue":"1","note":"publisher: [American Finance Association, Wiley]","page":"77-91","source":"JSTOR","title":"Portfolio Selection","volume":"7","author":[{"family":"Markowitz","given":"Harry"}],"issued":{"date-parts":[["1952"]]}}},{"id":68,"uris":["http://zotero.org/users/8421274/items/DIRY8NHC"],"itemData":{"id":68,"type":"article-journal","container-title":"Frontiers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Pr>
          <w:rFonts w:ascii="Garamond" w:hAnsi="Garamond"/>
          <w:sz w:val="22"/>
          <w:szCs w:val="22"/>
        </w:rPr>
        <w:fldChar w:fldCharType="separate"/>
      </w:r>
      <w:r w:rsidRPr="00F552CD">
        <w:rPr>
          <w:rFonts w:ascii="Garamond" w:hAnsi="Garamond"/>
          <w:noProof/>
          <w:sz w:val="22"/>
          <w:szCs w:val="22"/>
        </w:rPr>
        <w:t>(Griffiths et al., 2014; Markowitz, 1952; Schindler et al., 2015)</w:t>
      </w:r>
      <w:r>
        <w:rPr>
          <w:rFonts w:ascii="Garamond" w:hAnsi="Garamond"/>
          <w:sz w:val="22"/>
          <w:szCs w:val="22"/>
        </w:rPr>
        <w:fldChar w:fldCharType="end"/>
      </w:r>
      <w:r w:rsidRPr="00F552CD">
        <w:rPr>
          <w:rFonts w:ascii="Garamond" w:hAnsi="Garamond"/>
          <w:sz w:val="22"/>
          <w:szCs w:val="22"/>
        </w:rPr>
        <w:t xml:space="preserve">. </w:t>
      </w:r>
      <w:r>
        <w:rPr>
          <w:rFonts w:ascii="Garamond" w:hAnsi="Garamond"/>
          <w:sz w:val="22"/>
          <w:szCs w:val="22"/>
        </w:rPr>
        <w:t xml:space="preserve">The reliability of salmon resources to communities is a product of the health of stock components throughout the watershed. For Pacific salmon fisheries, which harvest stocks as the migrate upstream, the duration and reliability of this resource is the result of the aggregate dynamics of upstream stocks. For example, healthy stock components with unique spatiotemporal patterns may allow for more diverse set of harvest opportunities over a longer time period  </w:t>
      </w:r>
      <w:r>
        <w:rPr>
          <w:rFonts w:ascii="Garamond" w:hAnsi="Garamond"/>
          <w:sz w:val="22"/>
          <w:szCs w:val="22"/>
        </w:rPr>
        <w:fldChar w:fldCharType="begin"/>
      </w:r>
      <w:r>
        <w:rPr>
          <w:rFonts w:ascii="Garamond" w:hAnsi="Garamond"/>
          <w:sz w:val="22"/>
          <w:szCs w:val="22"/>
        </w:rPr>
        <w:instrText xml:space="preserve"> ADDIN ZOTERO_ITEM CSL_CITATION {"citationID":"bdM2yxbf","properties":{"formattedCitation":"(Nesbitt &amp; Moore, 2016)","plainCitation":"(Nesbitt &amp; Moore, 2016)","noteIndex":0},"citationItems":[{"id":3361,"uris":["http://zotero.org/users/8421274/items/U6M4JZTI"],"itemData":{"id":3361,"type":"article-journal","abstract":"Indigenous people are considered to be among the most vulnerable to food insecurity and biodiversity loss. Biodiversity is cited as a key component of indigenous food security; however, quantitative examples of this linkage are limited. We examined how species and population diversity influence the food security of indigenous fisheries for Pacific salmon (Oncorhynchus species). We compared two dimensions of food security – catch stability (interannual variability) and access (season length) – across a salmon diversity gradient for 21 fisheries on the Fraser River, Canada, over 30 years, using linear regression models. We used population diversity proxies derived from a range of existing measures because population-specific data were unavailable. While both population and species diversity were generally associated with higher catch stability and temporal access, population diversity had a stronger signal. Fisheries with access to high species diversity had up to 1·4 times more stable catch than predicted by the portfolio effect and up to 1·2 times longer fishing seasons than fisheries with access to fewer species. Fisheries with access to high population diversity had up to 3·8 times more stable catch and three times longer seasons than fisheries with access to fewer populations. Catch stability of Chinook Oncorhynchus tshawytscha and sockeye Oncorhynchus nerka fisheries was best explained by the number of populations and conservation units, respectively, that migrate past a fishery en route to spawning grounds. Similar population diversity metrics were important explanatory variables for season length of sockeye, pink Oncorhynchus gorbuscha, coho Oncorhynchus kisutch and chum Oncorhynchus keta fisheries. Synthesis and applications. We show an empirical example of how multiple scales of biodiversity support food security across a large watershed and suggest that protecting fine-scale salmon diversity will help promote food security for indigenous people. The scales of environmental assessments need to match the scales of the socio-ecological processes that will be affected by development. We illustrate that upstream projects that damage salmon habitat could degrade the food security of downstream indigenous fisheries, with implications to Canadian indigenous people and to watersheds around the world where migratory fishes support local fisheries.","container-title":"Journal of Applied Ecology","DOI":"10.1111/1365-2664.12717","ISSN":"1365-2664","issue":"5","language":"en","note":"_eprint: https://onlinelibrary.wiley.com/doi/pdf/10.1111/1365-2664.12717","page":"1489-1499","source":"Wiley Online Library","title":"Species and population diversity in Pacific salmon fisheries underpin indigenous food security","volume":"53","author":[{"family":"Nesbitt","given":"Holly K."},{"family":"Moore","given":"Jonathan W."}],"issued":{"date-parts":[["2016"]]}}}],"schema":"https://github.com/citation-style-language/schema/raw/master/csl-citation.json"}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(Nesbitt &amp; Moore, 2016)</w:t>
      </w:r>
      <w:r>
        <w:rPr>
          <w:rFonts w:ascii="Garamond" w:hAnsi="Garamond"/>
          <w:sz w:val="22"/>
          <w:szCs w:val="22"/>
        </w:rPr>
        <w:fldChar w:fldCharType="end"/>
      </w:r>
      <w:r>
        <w:rPr>
          <w:rFonts w:ascii="Garamond" w:hAnsi="Garamond"/>
          <w:sz w:val="22"/>
          <w:szCs w:val="22"/>
        </w:rPr>
        <w:t xml:space="preserve">. Further, distributing risk across space and time in several stocks may buffer basin-wide returns to local or short-term changes to habitat conditions, thereby enhancing </w:t>
      </w:r>
      <w:r w:rsidRPr="00C3570A">
        <w:rPr>
          <w:rFonts w:ascii="Garamond" w:hAnsi="Garamond"/>
          <w:sz w:val="22"/>
          <w:szCs w:val="22"/>
        </w:rPr>
        <w:t xml:space="preserve">both the accessibility and reliability of </w:t>
      </w:r>
      <w:r>
        <w:rPr>
          <w:rFonts w:ascii="Garamond" w:hAnsi="Garamond"/>
          <w:sz w:val="22"/>
          <w:szCs w:val="22"/>
        </w:rPr>
        <w:t xml:space="preserve">downstream </w:t>
      </w:r>
      <w:r w:rsidRPr="00C3570A">
        <w:rPr>
          <w:rFonts w:ascii="Garamond" w:hAnsi="Garamond"/>
          <w:sz w:val="22"/>
          <w:szCs w:val="22"/>
        </w:rPr>
        <w:t>harvest opportunities</w:t>
      </w:r>
      <w:r>
        <w:rPr>
          <w:rFonts w:ascii="Garamond" w:hAnsi="Garamond"/>
          <w:sz w:val="22"/>
          <w:szCs w:val="22"/>
        </w:rPr>
        <w:t xml:space="preserve"> (Schindler et al. 2010). The health of salmon populations in terms of </w:t>
      </w:r>
      <w:r w:rsidRPr="006D1917">
        <w:rPr>
          <w:rFonts w:ascii="Garamond" w:hAnsi="Garamond"/>
          <w:sz w:val="22"/>
          <w:szCs w:val="22"/>
        </w:rPr>
        <w:t>long-term resilience</w:t>
      </w:r>
      <w:r>
        <w:rPr>
          <w:rFonts w:ascii="Garamond" w:hAnsi="Garamond"/>
          <w:sz w:val="22"/>
          <w:szCs w:val="22"/>
        </w:rPr>
        <w:t xml:space="preserve"> and reliability of ecosystem services is therefore better assessed </w:t>
      </w:r>
      <w:r w:rsidRPr="006D1917">
        <w:rPr>
          <w:rFonts w:ascii="Garamond" w:hAnsi="Garamond"/>
          <w:sz w:val="22"/>
          <w:szCs w:val="22"/>
        </w:rPr>
        <w:t>by the health and viability of contributing subunits rather than by total run size alone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{"citationID":"XiDspMSN","properties":{"formattedCitation":"(Connors et al., 2022)","plainCitation":"(Connors et al., 2022)","noteIndex":0},"citationItems":[{"id":4144,"uris":["http://zotero.org/users/8421274/items/M4DUIZ82"],"itemData":{"id":4144,"type":"article-journal","abstract":"Variation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(Griffiths et al. 2014; Connors et al., 2022)</w:t>
      </w:r>
      <w:r>
        <w:rPr>
          <w:rFonts w:ascii="Garamond" w:hAnsi="Garamond"/>
          <w:sz w:val="22"/>
          <w:szCs w:val="22"/>
        </w:rPr>
        <w:fldChar w:fldCharType="end"/>
      </w:r>
      <w:r w:rsidRPr="006D1917">
        <w:rPr>
          <w:rFonts w:ascii="Garamond" w:hAnsi="Garamond"/>
          <w:sz w:val="22"/>
          <w:szCs w:val="22"/>
        </w:rPr>
        <w:t>.</w:t>
      </w:r>
      <w:r>
        <w:rPr>
          <w:rFonts w:ascii="Garamond" w:hAnsi="Garamond"/>
          <w:sz w:val="22"/>
          <w:szCs w:val="22"/>
        </w:rPr>
        <w:t xml:space="preserve"> </w:t>
      </w:r>
    </w:p>
    <w:p w14:paraId="3FD5A835" w14:textId="77777777" w:rsidR="00F552CD" w:rsidRPr="006D1917" w:rsidRDefault="00F552CD" w:rsidP="00F552CD">
      <w:pPr>
        <w:pStyle w:val="NormalWeb"/>
        <w:spacing w:line="480" w:lineRule="auto"/>
        <w:ind w:firstLine="720"/>
        <w:rPr>
          <w:rFonts w:ascii="Garamond" w:hAnsi="Garamond"/>
          <w:sz w:val="22"/>
          <w:szCs w:val="22"/>
        </w:rPr>
      </w:pPr>
      <w:r>
        <w:rPr>
          <w:rFonts w:ascii="Garamond" w:hAnsi="Garamond"/>
          <w:sz w:val="22"/>
          <w:szCs w:val="22"/>
        </w:rPr>
        <w:t xml:space="preserve">Downstream fisheries which harvest migrating stocks face a difficult challenge to design harvest methods which consider both </w:t>
      </w:r>
      <w:r w:rsidRPr="006D1917">
        <w:rPr>
          <w:rFonts w:ascii="Garamond" w:hAnsi="Garamond"/>
          <w:sz w:val="22"/>
          <w:szCs w:val="22"/>
        </w:rPr>
        <w:t xml:space="preserve">overall </w:t>
      </w:r>
      <w:r>
        <w:rPr>
          <w:rFonts w:ascii="Garamond" w:hAnsi="Garamond"/>
          <w:sz w:val="22"/>
          <w:szCs w:val="22"/>
        </w:rPr>
        <w:t>harvest opportunity</w:t>
      </w:r>
      <w:r w:rsidRPr="006D1917">
        <w:rPr>
          <w:rFonts w:ascii="Garamond" w:hAnsi="Garamond"/>
          <w:sz w:val="22"/>
          <w:szCs w:val="22"/>
        </w:rPr>
        <w:t xml:space="preserve"> as well as</w:t>
      </w:r>
      <w:r>
        <w:rPr>
          <w:rFonts w:ascii="Garamond" w:hAnsi="Garamond"/>
          <w:sz w:val="22"/>
          <w:szCs w:val="22"/>
        </w:rPr>
        <w:t xml:space="preserve"> stock specific exploitation rates. For example, strategies which </w:t>
      </w:r>
      <w:r w:rsidRPr="006D1917">
        <w:rPr>
          <w:rFonts w:ascii="Garamond" w:hAnsi="Garamond"/>
          <w:sz w:val="22"/>
          <w:szCs w:val="22"/>
        </w:rPr>
        <w:t>concentrate harvest in periods of peak abundance (e.g., highest CPUE per day)</w:t>
      </w:r>
      <w:r>
        <w:rPr>
          <w:rFonts w:ascii="Garamond" w:hAnsi="Garamond"/>
          <w:sz w:val="22"/>
          <w:szCs w:val="22"/>
        </w:rPr>
        <w:t xml:space="preserve"> </w:t>
      </w:r>
      <w:r w:rsidRPr="006D1917">
        <w:rPr>
          <w:rFonts w:ascii="Garamond" w:hAnsi="Garamond"/>
          <w:sz w:val="22"/>
          <w:szCs w:val="22"/>
        </w:rPr>
        <w:t>may fail to account for whether this peak consists of a mix of vulnerable, weak stocks or a single, more robust stock that can sustain higher exploitation</w:t>
      </w:r>
      <w:r>
        <w:rPr>
          <w:rFonts w:ascii="Garamond" w:hAnsi="Garamond"/>
          <w:sz w:val="22"/>
          <w:szCs w:val="22"/>
        </w:rPr>
        <w:t xml:space="preserve"> (Connors et al. 2022)</w:t>
      </w:r>
      <w:r w:rsidRPr="006D1917">
        <w:rPr>
          <w:rFonts w:ascii="Garamond" w:hAnsi="Garamond"/>
          <w:sz w:val="22"/>
          <w:szCs w:val="22"/>
        </w:rPr>
        <w:t xml:space="preserve">. </w:t>
      </w:r>
      <w:r>
        <w:rPr>
          <w:rFonts w:ascii="Garamond" w:hAnsi="Garamond"/>
          <w:sz w:val="22"/>
          <w:szCs w:val="22"/>
        </w:rPr>
        <w:t>Fishing which disproportionally exploits weak stocks as they migrate upstream may threaten the availability of resources to upstream communities and threaten the reliability of downstream resources in subsequent years as upstream stock health degrades. M</w:t>
      </w:r>
      <w:r w:rsidRPr="006D1917">
        <w:rPr>
          <w:rFonts w:ascii="Garamond" w:hAnsi="Garamond"/>
          <w:sz w:val="22"/>
          <w:szCs w:val="22"/>
        </w:rPr>
        <w:t>anagement strateg</w:t>
      </w:r>
      <w:r>
        <w:rPr>
          <w:rFonts w:ascii="Garamond" w:hAnsi="Garamond"/>
          <w:sz w:val="22"/>
          <w:szCs w:val="22"/>
        </w:rPr>
        <w:t>ies which maintain reliable fishery resources</w:t>
      </w:r>
      <w:r w:rsidRPr="006D1917">
        <w:rPr>
          <w:rFonts w:ascii="Garamond" w:hAnsi="Garamond"/>
          <w:sz w:val="22"/>
          <w:szCs w:val="22"/>
        </w:rPr>
        <w:t xml:space="preserve"> should </w:t>
      </w:r>
      <w:r>
        <w:rPr>
          <w:rFonts w:ascii="Garamond" w:hAnsi="Garamond"/>
          <w:sz w:val="22"/>
          <w:szCs w:val="22"/>
        </w:rPr>
        <w:t xml:space="preserve">therefore </w:t>
      </w:r>
      <w:r w:rsidRPr="006D1917">
        <w:rPr>
          <w:rFonts w:ascii="Garamond" w:hAnsi="Garamond"/>
          <w:sz w:val="22"/>
          <w:szCs w:val="22"/>
        </w:rPr>
        <w:t>aim to allow harvest opportunities on healthy stocks while minimizing the risk of overexploitation for co-migrating weak stocks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{"citationID":"XABq2458","properties":{"formattedCitation":"(Connors et al., 2020)","plainCitation":"(Connors et al., 2020)","noteIndex":0},"citationItems":[{"id":4416,"uris":["http://zotero.org/users/8421274/items/STEMPPV7"],"itemData":{"id":4416,"type":"article-journal","abstract":"Accounting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(Connors et al., 2020)</w:t>
      </w:r>
      <w:r>
        <w:rPr>
          <w:rFonts w:ascii="Garamond" w:hAnsi="Garamond"/>
          <w:sz w:val="22"/>
          <w:szCs w:val="22"/>
        </w:rPr>
        <w:fldChar w:fldCharType="end"/>
      </w:r>
      <w:r>
        <w:rPr>
          <w:rFonts w:ascii="Garamond" w:hAnsi="Garamond"/>
          <w:sz w:val="22"/>
          <w:szCs w:val="22"/>
        </w:rPr>
        <w:t xml:space="preserve">. </w:t>
      </w:r>
      <w:r w:rsidRPr="006D1917">
        <w:rPr>
          <w:rFonts w:ascii="Garamond" w:hAnsi="Garamond"/>
          <w:sz w:val="22"/>
          <w:szCs w:val="22"/>
        </w:rPr>
        <w:t xml:space="preserve"> In practice, however, implementing such stock-specific management approaches requires detailed data on the spatiotemporal ecology of salmon populations; information that has historically been limited at sufficiently fine spatial and temporal scales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{"citationID":"Gpa69QVN","properties":{"formattedCitation":"(Connors et al., 2020, 2022)","plainCitation":"(Connors et al., 2020, 2022)","noteIndex":0},"citationItems":[{"id":4416,"uris":["http://zotero.org/users/8421274/items/STEMPPV7"],"itemData":{"id":4416,"type":"article-journal","abstract":"Accounting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(Connors et al., 2020, 2022)</w:t>
      </w:r>
      <w:r>
        <w:rPr>
          <w:rFonts w:ascii="Garamond" w:hAnsi="Garamond"/>
          <w:sz w:val="22"/>
          <w:szCs w:val="22"/>
        </w:rPr>
        <w:fldChar w:fldCharType="end"/>
      </w:r>
      <w:r>
        <w:rPr>
          <w:rFonts w:ascii="Garamond" w:hAnsi="Garamond"/>
          <w:sz w:val="22"/>
          <w:szCs w:val="22"/>
        </w:rPr>
        <w:t xml:space="preserve">. </w:t>
      </w:r>
    </w:p>
    <w:p w14:paraId="02A2C04A" w14:textId="77777777" w:rsidR="00F552CD" w:rsidRDefault="00F552CD" w:rsidP="00F552CD">
      <w:pPr>
        <w:spacing w:line="480" w:lineRule="auto"/>
        <w:ind w:firstLine="720"/>
        <w:rPr>
          <w:rFonts w:ascii="Garamond" w:hAnsi="Garamond"/>
          <w:sz w:val="22"/>
          <w:szCs w:val="22"/>
        </w:rPr>
      </w:pPr>
      <w:r>
        <w:rPr>
          <w:rFonts w:ascii="Garamond" w:hAnsi="Garamond"/>
          <w:sz w:val="22"/>
          <w:szCs w:val="22"/>
        </w:rPr>
        <w:lastRenderedPageBreak/>
        <w:t>Lack</w:t>
      </w:r>
      <w:r w:rsidRPr="006D1917">
        <w:rPr>
          <w:rFonts w:ascii="Garamond" w:hAnsi="Garamond"/>
          <w:sz w:val="22"/>
          <w:szCs w:val="22"/>
        </w:rPr>
        <w:t xml:space="preserve"> of stock-specific spatial ecology </w:t>
      </w:r>
      <w:r>
        <w:rPr>
          <w:rFonts w:ascii="Garamond" w:hAnsi="Garamond"/>
          <w:sz w:val="22"/>
          <w:szCs w:val="22"/>
        </w:rPr>
        <w:t xml:space="preserve">of Chinook salmon populations </w:t>
      </w:r>
      <w:r w:rsidRPr="006D1917">
        <w:rPr>
          <w:rFonts w:ascii="Garamond" w:hAnsi="Garamond"/>
          <w:sz w:val="22"/>
          <w:szCs w:val="22"/>
        </w:rPr>
        <w:t xml:space="preserve">in </w:t>
      </w:r>
      <w:r>
        <w:rPr>
          <w:rFonts w:ascii="Garamond" w:hAnsi="Garamond"/>
          <w:sz w:val="22"/>
          <w:szCs w:val="22"/>
        </w:rPr>
        <w:t>w</w:t>
      </w:r>
      <w:r w:rsidRPr="006D1917">
        <w:rPr>
          <w:rFonts w:ascii="Garamond" w:hAnsi="Garamond"/>
          <w:sz w:val="22"/>
          <w:szCs w:val="22"/>
        </w:rPr>
        <w:t xml:space="preserve">estern </w:t>
      </w:r>
      <w:proofErr w:type="gramStart"/>
      <w:r w:rsidRPr="006D1917">
        <w:rPr>
          <w:rFonts w:ascii="Garamond" w:hAnsi="Garamond"/>
          <w:sz w:val="22"/>
          <w:szCs w:val="22"/>
        </w:rPr>
        <w:t>Alaska,</w:t>
      </w:r>
      <w:proofErr w:type="gramEnd"/>
      <w:r w:rsidRPr="006D1917">
        <w:rPr>
          <w:rFonts w:ascii="Garamond" w:hAnsi="Garamond"/>
          <w:sz w:val="22"/>
          <w:szCs w:val="22"/>
        </w:rPr>
        <w:t xml:space="preserve"> </w:t>
      </w:r>
      <w:r>
        <w:rPr>
          <w:rFonts w:ascii="Garamond" w:hAnsi="Garamond"/>
          <w:sz w:val="22"/>
          <w:szCs w:val="22"/>
        </w:rPr>
        <w:t xml:space="preserve">has necessitated that </w:t>
      </w:r>
      <w:r w:rsidRPr="006D1917">
        <w:rPr>
          <w:rFonts w:ascii="Garamond" w:hAnsi="Garamond"/>
          <w:sz w:val="22"/>
          <w:szCs w:val="22"/>
        </w:rPr>
        <w:t xml:space="preserve">management strategies </w:t>
      </w:r>
      <w:r>
        <w:rPr>
          <w:rFonts w:ascii="Garamond" w:hAnsi="Garamond"/>
          <w:sz w:val="22"/>
          <w:szCs w:val="22"/>
        </w:rPr>
        <w:t>be</w:t>
      </w:r>
      <w:r w:rsidRPr="006D1917">
        <w:rPr>
          <w:rFonts w:ascii="Garamond" w:hAnsi="Garamond"/>
          <w:sz w:val="22"/>
          <w:szCs w:val="22"/>
        </w:rPr>
        <w:t xml:space="preserve"> implemented at relatively coarse spatial scales. </w:t>
      </w:r>
      <w:r>
        <w:rPr>
          <w:rFonts w:ascii="Garamond" w:hAnsi="Garamond"/>
          <w:sz w:val="22"/>
          <w:szCs w:val="22"/>
        </w:rPr>
        <w:t>A salient example of this is in the</w:t>
      </w:r>
      <w:r w:rsidRPr="006D1917">
        <w:rPr>
          <w:rFonts w:ascii="Garamond" w:hAnsi="Garamond"/>
          <w:sz w:val="22"/>
          <w:szCs w:val="22"/>
        </w:rPr>
        <w:t xml:space="preserve"> Kuskokwim River </w:t>
      </w:r>
      <w:r>
        <w:rPr>
          <w:rFonts w:ascii="Garamond" w:hAnsi="Garamond"/>
          <w:sz w:val="22"/>
          <w:szCs w:val="22"/>
        </w:rPr>
        <w:t>where managers implement a</w:t>
      </w:r>
      <w:r w:rsidRPr="006D1917">
        <w:rPr>
          <w:rFonts w:ascii="Garamond" w:hAnsi="Garamond"/>
          <w:sz w:val="22"/>
          <w:szCs w:val="22"/>
        </w:rPr>
        <w:t xml:space="preserve"> front-end closure strateg</w:t>
      </w:r>
      <w:r>
        <w:rPr>
          <w:rFonts w:ascii="Garamond" w:hAnsi="Garamond"/>
          <w:sz w:val="22"/>
          <w:szCs w:val="22"/>
        </w:rPr>
        <w:t xml:space="preserve">y that heavily restricts fishing during the beginning of the salmon migration season to protect early returning fish </w:t>
      </w:r>
      <w:r>
        <w:rPr>
          <w:rFonts w:ascii="Garamond" w:hAnsi="Garamond"/>
          <w:sz w:val="22"/>
          <w:szCs w:val="22"/>
        </w:rPr>
        <w:fldChar w:fldCharType="begin"/>
      </w:r>
      <w:r>
        <w:rPr>
          <w:rFonts w:ascii="Garamond" w:hAnsi="Garamond"/>
          <w:sz w:val="22"/>
          <w:szCs w:val="22"/>
        </w:rPr>
        <w:instrText xml:space="preserve"> ADDIN ZOTERO_ITEM CSL_CITATION {"citationID":"A32imaA8","properties":{"formattedCitation":"(Bechtol et al., 2025)","plainCitation":"(Bechtol et al., 2025)","noteIndex":0},"citationItems":[{"id":5396,"uris":["http://zotero.org/users/8421274/items/5K4UUKKW"],"itemData":{"id":5396,"type":"report","language":"en","publisher":"Kuskokwim River Inter-Tribal Fish Commission, Bethel","source":"Zotero","title":"Inseason Harvest and Effort Estimates for the 2024 Kuskokwim River Subsistence Salmon Fisheries During Block Openings","author":[{"family":"Bechtol","given":"William R"},{"family":"Vicente","given":"Terese"},{"family":"Leon","given":"Justin"},{"family":"Hoffman","given":"Avery"},{"family":"Moses","given":"Aaron"},{"family":"Hooper","given":"Delen"}],"issued":{"date-parts":[["2025"]]}}}],"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(e.g. Bechtol et al., 2025)</w:t>
      </w:r>
      <w:r>
        <w:rPr>
          <w:rFonts w:ascii="Garamond" w:hAnsi="Garamond"/>
          <w:sz w:val="22"/>
          <w:szCs w:val="22"/>
        </w:rPr>
        <w:fldChar w:fldCharType="end"/>
      </w:r>
      <w:r>
        <w:rPr>
          <w:rFonts w:ascii="Garamond" w:hAnsi="Garamond"/>
          <w:sz w:val="22"/>
          <w:szCs w:val="22"/>
        </w:rPr>
        <w:t>.</w:t>
      </w:r>
      <w:r w:rsidRPr="006D1917">
        <w:rPr>
          <w:rFonts w:ascii="Garamond" w:hAnsi="Garamond"/>
          <w:sz w:val="22"/>
          <w:szCs w:val="22"/>
        </w:rPr>
        <w:t xml:space="preserve"> </w:t>
      </w:r>
      <w:r>
        <w:rPr>
          <w:rFonts w:ascii="Garamond" w:hAnsi="Garamond"/>
          <w:sz w:val="22"/>
          <w:szCs w:val="22"/>
        </w:rPr>
        <w:t>This strategy aims to</w:t>
      </w:r>
      <w:r w:rsidRPr="006D1917">
        <w:rPr>
          <w:rFonts w:ascii="Garamond" w:hAnsi="Garamond"/>
          <w:sz w:val="22"/>
          <w:szCs w:val="22"/>
        </w:rPr>
        <w:t xml:space="preserve"> support</w:t>
      </w:r>
      <w:r>
        <w:rPr>
          <w:rFonts w:ascii="Garamond" w:hAnsi="Garamond"/>
          <w:sz w:val="22"/>
          <w:szCs w:val="22"/>
        </w:rPr>
        <w:t xml:space="preserve"> </w:t>
      </w:r>
      <w:r w:rsidRPr="006D1917">
        <w:rPr>
          <w:rFonts w:ascii="Garamond" w:hAnsi="Garamond"/>
          <w:sz w:val="22"/>
          <w:szCs w:val="22"/>
        </w:rPr>
        <w:t>basin-wide escapement goals</w:t>
      </w:r>
      <w:r>
        <w:rPr>
          <w:rFonts w:ascii="Garamond" w:hAnsi="Garamond"/>
          <w:sz w:val="22"/>
          <w:szCs w:val="22"/>
        </w:rPr>
        <w:t xml:space="preserve"> while allowing for a significant number of fish to return to stocks in the upper portions of the river basin , thereby protecting access to harvest opportunities for upstream communities and bolstering the health of upstream stocks which have a general tendency to migrate early in the season </w:t>
      </w:r>
      <w:commentRangeStart w:id="0"/>
      <w:r>
        <w:rPr>
          <w:rFonts w:ascii="Garamond" w:hAnsi="Garamond"/>
          <w:sz w:val="22"/>
          <w:szCs w:val="22"/>
        </w:rPr>
        <w:fldChar w:fldCharType="begin"/>
      </w:r>
      <w:r>
        <w:rPr>
          <w:rFonts w:ascii="Garamond" w:hAnsi="Garamond"/>
          <w:sz w:val="22"/>
          <w:szCs w:val="22"/>
        </w:rPr>
        <w:instrText xml:space="preserve"> ADDIN ZOTERO_ITEM CSL_CITATION {"citationID":"7EzFVXNC","properties":{"formattedCitation":"(Clark et al., 2015)","plainCitation":"(Clark et al., 2015)","noteIndex":0},"citationItems":[{"id":5370,"uris":["http://zotero.org/users/8421274/items/CSEI4Y28"],"itemData":{"id":5370,"type":"article-journal","abstract":"Variation in the timing of migration to freshwaters to spawn is one important dimension of the life history variation within individual salmon stocks. That variable has important implications for developing sustainable fisheries that simultaneously exploit multiple populations within the same geographic area. We examined the variation in migration timing of adult Chinook Salmon Oncorhynchus tshawytscha within the Togiak River system of southwest Alaska to determine whether fish that spawned in different habitats migrated into freshwater from the ocean at different times. In particular, we evaluated whether there were watershed</w:instrText>
      </w:r>
      <w:r>
        <w:rPr>
          <w:rFonts w:ascii="Cambria Math" w:hAnsi="Cambria Math" w:cs="Cambria Math"/>
          <w:sz w:val="22"/>
          <w:szCs w:val="22"/>
        </w:rPr>
        <w:instrText>‐</w:instrText>
      </w:r>
      <w:r>
        <w:rPr>
          <w:rFonts w:ascii="Garamond" w:hAnsi="Garamond"/>
          <w:sz w:val="22"/>
          <w:szCs w:val="22"/>
        </w:rPr>
        <w:instrText>wide effects of body size, sex, spawning location, and year on the timing of spawning</w:instrText>
      </w:r>
      <w:r>
        <w:rPr>
          <w:rFonts w:ascii="Cambria Math" w:hAnsi="Cambria Math" w:cs="Cambria Math"/>
          <w:sz w:val="22"/>
          <w:szCs w:val="22"/>
        </w:rPr>
        <w:instrText>‐</w:instrText>
      </w:r>
      <w:r>
        <w:rPr>
          <w:rFonts w:ascii="Garamond" w:hAnsi="Garamond"/>
          <w:sz w:val="22"/>
          <w:szCs w:val="22"/>
        </w:rPr>
        <w:instrText>run migration into the Togiak River. Migration data and spawning fate were collected using radiotelemetry and analyzed with mixed effects models to account for among</w:instrText>
      </w:r>
      <w:r>
        <w:rPr>
          <w:rFonts w:ascii="Cambria Math" w:hAnsi="Cambria Math" w:cs="Cambria Math"/>
          <w:sz w:val="22"/>
          <w:szCs w:val="22"/>
        </w:rPr>
        <w:instrText>‐</w:instrText>
      </w:r>
      <w:r>
        <w:rPr>
          <w:rFonts w:ascii="Garamond" w:hAnsi="Garamond"/>
          <w:sz w:val="22"/>
          <w:szCs w:val="22"/>
        </w:rPr>
        <w:instrText xml:space="preserve">year variation in migration timing across the 4 years of the study. We found that migration timing of Chinook Salmon in the Togiak watershed is segregated by spawning location and sex and is consistent across body sizes and years. Fish that spawned higher in the watershed had a tendency to enter freshwater earlier than fish that spawned lower in the watershed and in the main stem of the river. Our results indicate clear stock structure in the migration of spawning Chinook Salmon to the Togiak River watershed, suggesting that it is important to distribute harvest over the entire distribution of Chinook Salmon run timing to minimize the risk of overexploiting certain components of the stock complex.","container-title":"Transactions of the American Fisheries Society","DOI":"10.1080/00028487.2015.1031281","ISSN":"0002-8487","issue":"4","journalAbbreviation":"Transactions of the American Fisheries Society","page":"829-836","source":"Silverchair","title":"Migration Timing of Adult Chinook Salmon into the Togiak River, Alaska, Watershed: Is There Evidence for Stock Structure?","title-short":"Migration Timing of Adult Chinook Salmon into the Togiak River, Alaska, Watershed","volume":"144","author":[{"family":"Clark","given":"Sydney C."},{"family":"Tanner","given":"Theresa L."},{"family":"Sethi","given":"Suresh A."},{"family":"Bentley","given":"Kale T."},{"family":"Schindler","given":"Daniel E."}],"issued":{"date-parts":[["2015",7,1]]}}}],"schema":"https://github.com/citation-style-language/schema/raw/master/csl-citation.json"} </w:instrText>
      </w:r>
      <w:r>
        <w:rPr>
          <w:rFonts w:ascii="Garamond" w:hAnsi="Garamond"/>
          <w:sz w:val="22"/>
          <w:szCs w:val="22"/>
        </w:rPr>
        <w:fldChar w:fldCharType="separate"/>
      </w:r>
      <w:r w:rsidRPr="008B4FCB">
        <w:rPr>
          <w:rFonts w:ascii="Garamond" w:hAnsi="Garamond"/>
          <w:sz w:val="22"/>
        </w:rPr>
        <w:t>(Clark et al., 2015)</w:t>
      </w:r>
      <w:r>
        <w:rPr>
          <w:rFonts w:ascii="Garamond" w:hAnsi="Garamond"/>
          <w:sz w:val="22"/>
          <w:szCs w:val="22"/>
        </w:rPr>
        <w:fldChar w:fldCharType="end"/>
      </w:r>
      <w:commentRangeEnd w:id="0"/>
      <w:r>
        <w:rPr>
          <w:rStyle w:val="CommentReference"/>
        </w:rPr>
        <w:commentReference w:id="0"/>
      </w:r>
      <w:r>
        <w:rPr>
          <w:rFonts w:ascii="Garamond" w:hAnsi="Garamond"/>
          <w:sz w:val="22"/>
          <w:szCs w:val="22"/>
        </w:rPr>
        <w:t xml:space="preserve">. However, little data </w:t>
      </w:r>
      <w:proofErr w:type="gramStart"/>
      <w:r>
        <w:rPr>
          <w:rFonts w:ascii="Garamond" w:hAnsi="Garamond"/>
          <w:sz w:val="22"/>
          <w:szCs w:val="22"/>
        </w:rPr>
        <w:t>exist</w:t>
      </w:r>
      <w:proofErr w:type="gramEnd"/>
      <w:r>
        <w:rPr>
          <w:rFonts w:ascii="Garamond" w:hAnsi="Garamond"/>
          <w:sz w:val="22"/>
          <w:szCs w:val="22"/>
        </w:rPr>
        <w:t xml:space="preserve"> which quantifies the spatiotemporal patterns among stocks. The impact of front-end closure strategies on individual stock components is not well understood, and a more complete understanding of stock contribution to the overall run both within and among years is currently not readily available. However, </w:t>
      </w:r>
      <w:proofErr w:type="gramStart"/>
      <w:r>
        <w:rPr>
          <w:rFonts w:ascii="Garamond" w:hAnsi="Garamond"/>
          <w:sz w:val="22"/>
          <w:szCs w:val="22"/>
        </w:rPr>
        <w:t>these</w:t>
      </w:r>
      <w:proofErr w:type="gramEnd"/>
      <w:r>
        <w:rPr>
          <w:rFonts w:ascii="Garamond" w:hAnsi="Garamond"/>
          <w:sz w:val="22"/>
          <w:szCs w:val="22"/>
        </w:rPr>
        <w:t xml:space="preserve"> data may be important to assessing the impact of current management strategies and designing new strategies which maintain stock health across all components of the watershed and maintain a reliable resource for communities and industry in the region. </w:t>
      </w:r>
    </w:p>
    <w:p w14:paraId="38B791DA" w14:textId="77777777" w:rsidR="00F552CD" w:rsidRPr="00617050" w:rsidRDefault="00F552CD" w:rsidP="00F552CD">
      <w:pPr>
        <w:spacing w:line="480" w:lineRule="auto"/>
        <w:ind w:firstLine="720"/>
        <w:rPr>
          <w:rFonts w:ascii="Garamond" w:hAnsi="Garamond"/>
          <w:sz w:val="22"/>
          <w:szCs w:val="22"/>
        </w:rPr>
      </w:pPr>
      <w:r w:rsidRPr="006D1917">
        <w:rPr>
          <w:rFonts w:ascii="Garamond" w:hAnsi="Garamond"/>
          <w:sz w:val="22"/>
          <w:szCs w:val="22"/>
        </w:rPr>
        <w:t>Here, we apply otolit</w:t>
      </w:r>
      <w:r>
        <w:rPr>
          <w:rFonts w:ascii="Garamond" w:hAnsi="Garamond"/>
          <w:sz w:val="22"/>
          <w:szCs w:val="22"/>
        </w:rPr>
        <w:t xml:space="preserve">h microchemistry from fish caught at different times of the migration season over 6 </w:t>
      </w:r>
      <w:proofErr w:type="gramStart"/>
      <w:r>
        <w:rPr>
          <w:rFonts w:ascii="Garamond" w:hAnsi="Garamond"/>
          <w:sz w:val="22"/>
          <w:szCs w:val="22"/>
        </w:rPr>
        <w:t xml:space="preserve">years </w:t>
      </w:r>
      <w:r w:rsidRPr="006D1917">
        <w:rPr>
          <w:rFonts w:ascii="Garamond" w:hAnsi="Garamond"/>
          <w:sz w:val="22"/>
          <w:szCs w:val="22"/>
        </w:rPr>
        <w:t xml:space="preserve"> to</w:t>
      </w:r>
      <w:proofErr w:type="gramEnd"/>
      <w:r w:rsidRPr="006D1917">
        <w:rPr>
          <w:rFonts w:ascii="Garamond" w:hAnsi="Garamond"/>
          <w:sz w:val="22"/>
          <w:szCs w:val="22"/>
        </w:rPr>
        <w:t xml:space="preserve"> reconstruct spatiotemporal patterns of Chinook salmon natal origin distribution</w:t>
      </w:r>
      <w:r>
        <w:rPr>
          <w:rFonts w:ascii="Garamond" w:hAnsi="Garamond"/>
          <w:sz w:val="22"/>
          <w:szCs w:val="22"/>
        </w:rPr>
        <w:t xml:space="preserve"> at the sub basin scale</w:t>
      </w:r>
      <w:r w:rsidRPr="006D1917">
        <w:rPr>
          <w:rFonts w:ascii="Garamond" w:hAnsi="Garamond"/>
          <w:sz w:val="22"/>
          <w:szCs w:val="22"/>
        </w:rPr>
        <w:t xml:space="preserve"> in the Kuskokwim River</w:t>
      </w:r>
      <w:r>
        <w:rPr>
          <w:rFonts w:ascii="Garamond" w:hAnsi="Garamond"/>
          <w:sz w:val="22"/>
          <w:szCs w:val="22"/>
        </w:rPr>
        <w:t>-basin. In doing so, we will</w:t>
      </w:r>
      <w:r w:rsidRPr="006D1917">
        <w:rPr>
          <w:rFonts w:ascii="Garamond" w:hAnsi="Garamond"/>
          <w:sz w:val="22"/>
          <w:szCs w:val="22"/>
        </w:rPr>
        <w:t>: (1) identify the spatiotemporal structure of returning populations in</w:t>
      </w:r>
      <w:r>
        <w:rPr>
          <w:rFonts w:ascii="Garamond" w:hAnsi="Garamond"/>
          <w:sz w:val="22"/>
          <w:szCs w:val="22"/>
        </w:rPr>
        <w:t xml:space="preserve"> the Kuskokwim river-basin, and </w:t>
      </w:r>
      <w:r w:rsidRPr="006D1917">
        <w:rPr>
          <w:rFonts w:ascii="Garamond" w:hAnsi="Garamond"/>
          <w:sz w:val="22"/>
          <w:szCs w:val="22"/>
        </w:rPr>
        <w:t>(2)</w:t>
      </w:r>
      <w:r>
        <w:rPr>
          <w:rFonts w:ascii="Garamond" w:hAnsi="Garamond"/>
          <w:sz w:val="22"/>
          <w:szCs w:val="22"/>
        </w:rPr>
        <w:t xml:space="preserve"> </w:t>
      </w:r>
      <w:r w:rsidRPr="006D1917">
        <w:rPr>
          <w:rFonts w:ascii="Garamond" w:hAnsi="Garamond"/>
          <w:sz w:val="22"/>
          <w:szCs w:val="22"/>
        </w:rPr>
        <w:t>evaluate the potential impacts of harvest strategies</w:t>
      </w:r>
      <w:r>
        <w:rPr>
          <w:rFonts w:ascii="Garamond" w:hAnsi="Garamond"/>
          <w:sz w:val="22"/>
          <w:szCs w:val="22"/>
        </w:rPr>
        <w:t xml:space="preserve"> such as a</w:t>
      </w:r>
      <w:r w:rsidRPr="006D1917">
        <w:rPr>
          <w:rFonts w:ascii="Garamond" w:hAnsi="Garamond"/>
          <w:sz w:val="22"/>
          <w:szCs w:val="22"/>
        </w:rPr>
        <w:t xml:space="preserve"> front-end closure</w:t>
      </w:r>
      <w:r>
        <w:rPr>
          <w:rFonts w:ascii="Garamond" w:hAnsi="Garamond"/>
          <w:sz w:val="22"/>
          <w:szCs w:val="22"/>
        </w:rPr>
        <w:t xml:space="preserve"> </w:t>
      </w:r>
      <w:r w:rsidRPr="006D1917">
        <w:rPr>
          <w:rFonts w:ascii="Garamond" w:hAnsi="Garamond"/>
          <w:sz w:val="22"/>
          <w:szCs w:val="22"/>
        </w:rPr>
        <w:t>on stocks across these systems.</w:t>
      </w:r>
    </w:p>
    <w:p w14:paraId="327E6388" w14:textId="77777777" w:rsidR="009833DB" w:rsidRDefault="009833DB" w:rsidP="009833DB">
      <w:pPr>
        <w:spacing w:line="480" w:lineRule="auto"/>
        <w:rPr>
          <w:rFonts w:ascii="Garamond" w:hAnsi="Garamond"/>
          <w:sz w:val="22"/>
          <w:szCs w:val="22"/>
        </w:rPr>
      </w:pPr>
    </w:p>
    <w:p w14:paraId="2A0F64D4" w14:textId="77777777" w:rsidR="009833DB" w:rsidRPr="006D1917" w:rsidRDefault="009833DB" w:rsidP="009833DB">
      <w:pPr>
        <w:spacing w:line="480" w:lineRule="auto"/>
        <w:rPr>
          <w:rFonts w:ascii="Garamond" w:hAnsi="Garamond"/>
          <w:b/>
          <w:bCs/>
          <w:sz w:val="32"/>
          <w:szCs w:val="32"/>
        </w:rPr>
      </w:pPr>
      <w:r w:rsidRPr="006D1917">
        <w:rPr>
          <w:rFonts w:ascii="Garamond" w:hAnsi="Garamond"/>
          <w:b/>
          <w:bCs/>
          <w:sz w:val="32"/>
          <w:szCs w:val="32"/>
        </w:rPr>
        <w:t xml:space="preserve">Methods: </w:t>
      </w:r>
    </w:p>
    <w:p w14:paraId="2B9BE153" w14:textId="77777777" w:rsidR="009833DB" w:rsidRDefault="009833DB" w:rsidP="009833DB">
      <w:pPr>
        <w:spacing w:line="480" w:lineRule="auto"/>
        <w:rPr>
          <w:rFonts w:ascii="Garamond" w:hAnsi="Garamond"/>
          <w:b/>
          <w:bCs/>
          <w:sz w:val="22"/>
          <w:szCs w:val="22"/>
          <w:u w:val="single"/>
        </w:rPr>
      </w:pPr>
      <w:r w:rsidRPr="006D1917">
        <w:rPr>
          <w:rFonts w:ascii="Garamond" w:hAnsi="Garamond"/>
          <w:b/>
          <w:bCs/>
          <w:sz w:val="22"/>
          <w:szCs w:val="22"/>
          <w:u w:val="single"/>
        </w:rPr>
        <w:t>Otolith Sample s</w:t>
      </w:r>
      <w:r>
        <w:rPr>
          <w:rFonts w:ascii="Garamond" w:hAnsi="Garamond"/>
          <w:b/>
          <w:bCs/>
          <w:sz w:val="22"/>
          <w:szCs w:val="22"/>
          <w:u w:val="single"/>
        </w:rPr>
        <w:t>ets</w:t>
      </w:r>
    </w:p>
    <w:p w14:paraId="161FEB7F" w14:textId="452175D3" w:rsidR="009833DB" w:rsidRPr="005D5AB7" w:rsidRDefault="009833DB" w:rsidP="00E212FE">
      <w:pPr>
        <w:spacing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Otoliths were collected over </w:t>
      </w:r>
      <w:r w:rsidR="00E212FE">
        <w:rPr>
          <w:rFonts w:ascii="Garamond" w:eastAsia="Times New Roman" w:hAnsi="Garamond" w:cs="Times New Roman"/>
          <w:kern w:val="0"/>
          <w:sz w:val="22"/>
          <w:szCs w:val="22"/>
          <w14:ligatures w14:val="none"/>
        </w:rPr>
        <w:t>several years from the Bethel Test Fishery (BTF) near Bethel, Alaska by ________</w:t>
      </w:r>
      <w:proofErr w:type="gramStart"/>
      <w:r w:rsidR="00E212FE">
        <w:rPr>
          <w:rFonts w:ascii="Garamond" w:eastAsia="Times New Roman" w:hAnsi="Garamond" w:cs="Times New Roman"/>
          <w:kern w:val="0"/>
          <w:sz w:val="22"/>
          <w:szCs w:val="22"/>
          <w14:ligatures w14:val="none"/>
        </w:rPr>
        <w:t>_ .</w:t>
      </w:r>
      <w:proofErr w:type="gramEnd"/>
      <w:r w:rsidR="00E212FE">
        <w:rPr>
          <w:rFonts w:ascii="Garamond" w:eastAsia="Times New Roman" w:hAnsi="Garamond" w:cs="Times New Roman"/>
          <w:kern w:val="0"/>
          <w:sz w:val="22"/>
          <w:szCs w:val="22"/>
          <w14:ligatures w14:val="none"/>
        </w:rPr>
        <w:t xml:space="preserve"> Both fisheries are designed to sample the stock composition of returning salmon throughout the </w:t>
      </w:r>
      <w:r w:rsidR="00E212FE">
        <w:rPr>
          <w:rFonts w:ascii="Garamond" w:eastAsia="Times New Roman" w:hAnsi="Garamond" w:cs="Times New Roman"/>
          <w:kern w:val="0"/>
          <w:sz w:val="22"/>
          <w:szCs w:val="22"/>
          <w14:ligatures w14:val="none"/>
        </w:rPr>
        <w:lastRenderedPageBreak/>
        <w:t xml:space="preserve">duration of the season to assess relative contribution over the course of the run. </w:t>
      </w:r>
      <w:r w:rsidRPr="006D1917">
        <w:rPr>
          <w:rFonts w:ascii="Garamond" w:eastAsia="Times New Roman" w:hAnsi="Garamond" w:cs="Times New Roman"/>
          <w:kern w:val="0"/>
          <w:sz w:val="22"/>
          <w:szCs w:val="22"/>
          <w14:ligatures w14:val="none"/>
        </w:rPr>
        <w:t>Approximately 500 otoliths were collected over the full duration of the run from the Kuskokwim River between 2017 and 202</w:t>
      </w:r>
      <w:r w:rsidR="00E212FE">
        <w:rPr>
          <w:rFonts w:ascii="Garamond" w:eastAsia="Times New Roman" w:hAnsi="Garamond" w:cs="Times New Roman"/>
          <w:kern w:val="0"/>
          <w:sz w:val="22"/>
          <w:szCs w:val="22"/>
          <w14:ligatures w14:val="none"/>
        </w:rPr>
        <w:t xml:space="preserve">2. </w:t>
      </w:r>
      <w:r w:rsidRPr="006D1917">
        <w:rPr>
          <w:rFonts w:ascii="Garamond" w:eastAsia="Times New Roman" w:hAnsi="Garamond" w:cs="Times New Roman"/>
          <w:kern w:val="0"/>
          <w:sz w:val="22"/>
          <w:szCs w:val="22"/>
          <w14:ligatures w14:val="none"/>
        </w:rPr>
        <w:t>From these, about 250 otoliths were selected for analysis to ensure coverage across the full sampling period and to provide proportional representation relative to catch per unit effort (CPUE) throughout the run.</w:t>
      </w:r>
      <w:r>
        <w:rPr>
          <w:rFonts w:ascii="Garamond" w:hAnsi="Garamond"/>
          <w:sz w:val="22"/>
          <w:szCs w:val="22"/>
        </w:rPr>
        <w:t xml:space="preserve"> Selected samples were </w:t>
      </w:r>
      <w:r w:rsidRPr="006D1917">
        <w:rPr>
          <w:rFonts w:ascii="Garamond" w:eastAsia="Times New Roman" w:hAnsi="Garamond" w:cs="Times New Roman"/>
          <w:kern w:val="0"/>
          <w:sz w:val="22"/>
          <w:szCs w:val="22"/>
          <w14:ligatures w14:val="none"/>
        </w:rPr>
        <w:t xml:space="preserve">sectioned along the transverse plane, mounted on microscope slides, and polished to expose internal growth structures </w:t>
      </w:r>
      <w:r>
        <w:rPr>
          <w:rFonts w:ascii="Garamond" w:eastAsia="Times New Roman" w:hAnsi="Garamond" w:cs="Times New Roman"/>
          <w:kern w:val="0"/>
          <w:sz w:val="22"/>
          <w:szCs w:val="22"/>
          <w14:ligatures w14:val="none"/>
        </w:rPr>
        <w:fldChar w:fldCharType="begin"/>
      </w:r>
      <w:r>
        <w:rPr>
          <w:rFonts w:ascii="Garamond" w:eastAsia="Times New Roman" w:hAnsi="Garamond" w:cs="Times New Roman"/>
          <w:kern w:val="0"/>
          <w:sz w:val="22"/>
          <w:szCs w:val="22"/>
          <w14:ligatures w14:val="none"/>
        </w:rPr>
        <w:instrText xml:space="preserve"> ADDIN ZOTERO_ITEM CSL_CITATION {"citationID":"4icvZ6KO","properties":{"formattedCitation":"(Donohoe &amp; Zimmerman, 2010; Zimmerman &amp; Reeves, 2002)","plainCitation":"(Donohoe &amp; Zimmerman, 2010; Zimmerman &amp; Reeves, 2002)","noteIndex":0},"citationItems":[{"id":4778,"uris":["http://zotero.org/users/8421274/items/QJZIBTQC"],"itemData":{"id":4778,"type":"article-journal","abstract":"Beam-based analytical methods are widely used to measure the concentrations of elements and isotopes in otoliths. These methods usually require that otoliths be individually mounted and prepared to properly expose the desired growth region to the analytical beam. Most analytical instruments, such as LA-ICPMS and ion and electron microprobes, have sample holders that will accept only one to six slides or mounts at a time. We describe a method of mounting otoliths that allows for easy transfer of many otoliths to a single mount after they have been prepared. Such an approach increases the number of otoliths that can be analyzed in a single session by reducing the need open the sample chamber to exchange slides—a particularly time consuming step on instruments that operate under vacuum. For ion and electron microprobes, the method also greatly reduces the number of slides that must be coated with an electrical conductor prior to analysis. In this method, a narrow strip of cover glass is first glued at one end to a standard microscope slide. The otolith is then mounted in thermoplastic resin on the opposite, free end of the strip. The otolith can then be ground and flipped, if needed, by reheating the mounting medium. After otolith preparation is complete, the cover glass is cut with a scribe to free the otolith and up to 20 small otoliths can be arranged on a single petrographic slide.","container-title":"Environmental Biology of Fishes","DOI":"10.1007/s10641-010-9680-3","ISSN":"1573-5133","issue":"3","journalAbbreviation":"Environ Biol Fish","language":"en","page":"473-477","source":"Springer Link","title":"A method of mounting multiple otoliths for beam-based microchemical analyses","volume":"89","author":[{"family":"Donohoe","given":"Christopher J."},{"family":"Zimmerman","given":"Christian E."}],"issued":{"date-parts":[["2010",11,1]]}}},{"id":4132,"uris":["http://zotero.org/users/8421274/items/5YINANGC"],"itemData":{"id":4132,"type":"article-journal","abstract":"Comparisons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Pr>
          <w:rFonts w:ascii="Garamond" w:eastAsia="Times New Roman" w:hAnsi="Garamond" w:cs="Times New Roman"/>
          <w:kern w:val="0"/>
          <w:sz w:val="22"/>
          <w:szCs w:val="22"/>
          <w14:ligatures w14:val="none"/>
        </w:rPr>
        <w:fldChar w:fldCharType="separate"/>
      </w:r>
      <w:r>
        <w:rPr>
          <w:rFonts w:ascii="Garamond" w:eastAsia="Times New Roman" w:hAnsi="Garamond" w:cs="Times New Roman"/>
          <w:noProof/>
          <w:kern w:val="0"/>
          <w:sz w:val="22"/>
          <w:szCs w:val="22"/>
          <w14:ligatures w14:val="none"/>
        </w:rPr>
        <w:t>(Donohoe &amp; Zimmerman, 2010; Zimmerman &amp; Reeves, 2002)</w:t>
      </w:r>
      <w:r>
        <w:rPr>
          <w:rFonts w:ascii="Garamond" w:eastAsia="Times New Roman" w:hAnsi="Garamond" w:cs="Times New Roman"/>
          <w:kern w:val="0"/>
          <w:sz w:val="22"/>
          <w:szCs w:val="22"/>
          <w14:ligatures w14:val="none"/>
        </w:rPr>
        <w:fldChar w:fldCharType="end"/>
      </w:r>
      <w:r w:rsidRPr="006D1917">
        <w:rPr>
          <w:rFonts w:ascii="Garamond" w:eastAsia="Times New Roman" w:hAnsi="Garamond" w:cs="Times New Roman"/>
          <w:kern w:val="0"/>
          <w:sz w:val="22"/>
          <w:szCs w:val="22"/>
          <w14:ligatures w14:val="none"/>
        </w:rPr>
        <w:t xml:space="preserve">. Prepared samples were analyzed at the University of Utah Strontium Isotope Laboratory using laser ablation inductively coupled plasma mass spectrometry (LA-ICP-MS). Laser ablation was conducted along a transect from the otolith core to just beyond the onset of marine </w:t>
      </w:r>
      <w:r w:rsidRPr="005D5AB7">
        <w:rPr>
          <w:rFonts w:ascii="Garamond" w:eastAsia="Times New Roman" w:hAnsi="Garamond" w:cs="Times New Roman"/>
          <w:kern w:val="0"/>
          <w:sz w:val="22"/>
          <w:szCs w:val="22"/>
          <w14:ligatures w14:val="none"/>
        </w:rPr>
        <w:t xml:space="preserve">growth </w:t>
      </w:r>
      <w:r w:rsidRPr="005D5AB7">
        <w:rPr>
          <w:rFonts w:ascii="Garamond" w:hAnsi="Garamond" w:cstheme="majorHAnsi"/>
          <w:sz w:val="22"/>
          <w:szCs w:val="22"/>
        </w:rPr>
        <w:t xml:space="preserve">using a 53 </w:t>
      </w:r>
      <w:r w:rsidRPr="005D5AB7">
        <w:rPr>
          <w:rFonts w:ascii="Garamond" w:hAnsi="Garamond" w:cstheme="majorHAnsi"/>
          <w:sz w:val="22"/>
          <w:szCs w:val="22"/>
        </w:rPr>
        <w:sym w:font="Symbol" w:char="F06D"/>
      </w:r>
      <w:r w:rsidRPr="005D5AB7">
        <w:rPr>
          <w:rFonts w:ascii="Garamond" w:hAnsi="Garamond" w:cstheme="majorHAnsi"/>
          <w:sz w:val="22"/>
          <w:szCs w:val="22"/>
        </w:rPr>
        <w:t>m diameter beam and scanning at 2</w:t>
      </w:r>
      <w:r w:rsidRPr="005D5AB7">
        <w:rPr>
          <w:rFonts w:ascii="Garamond" w:hAnsi="Garamond" w:cstheme="majorHAnsi"/>
          <w:sz w:val="22"/>
          <w:szCs w:val="22"/>
        </w:rPr>
        <w:sym w:font="Symbol" w:char="F06D"/>
      </w:r>
      <w:r w:rsidRPr="005D5AB7">
        <w:rPr>
          <w:rFonts w:ascii="Garamond" w:hAnsi="Garamond" w:cstheme="majorHAnsi"/>
          <w:sz w:val="22"/>
          <w:szCs w:val="22"/>
        </w:rPr>
        <w:t xml:space="preserve">m/second </w:t>
      </w:r>
      <w:r w:rsidRPr="005D5AB7">
        <w:rPr>
          <w:rFonts w:ascii="Garamond" w:hAnsi="Garamond" w:cstheme="majorHAnsi"/>
          <w:sz w:val="22"/>
          <w:szCs w:val="22"/>
        </w:rPr>
        <w:fldChar w:fldCharType="begin"/>
      </w:r>
      <w:r>
        <w:rPr>
          <w:rFonts w:ascii="Garamond" w:hAnsi="Garamond" w:cstheme="majorHAnsi"/>
          <w:sz w:val="22"/>
          <w:szCs w:val="22"/>
        </w:rPr>
        <w:instrText xml:space="preserve"> ADDIN ZOTERO_ITEM CSL_CITATION {"citationID":"nvLrB1dQ","properties":{"formattedCitation":"(Brennan et al., 2015; Zimmerman &amp; Reeves, 2002)","plainCitation":"(Brennan et al., 2015; Zimmerman &amp; Reeves, 2002)","dontUpdate":true,"noteIndex":0},"citationItems":[{"id":"dI01jIsp/qEdWN4pU","uris":["http://zotero.org/users/8421274/items/IY3FLHLM"],"itemData":{"id":915,"type":"article-journal","abstract":"Strontium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Pr="005D5AB7">
        <w:rPr>
          <w:rFonts w:ascii="Garamond" w:hAnsi="Garamond" w:cstheme="majorHAnsi"/>
          <w:sz w:val="22"/>
          <w:szCs w:val="22"/>
        </w:rPr>
        <w:fldChar w:fldCharType="separate"/>
      </w:r>
      <w:r w:rsidRPr="005D5AB7">
        <w:rPr>
          <w:rFonts w:ascii="Garamond" w:hAnsi="Garamond" w:cstheme="majorHAnsi"/>
          <w:noProof/>
          <w:sz w:val="22"/>
          <w:szCs w:val="22"/>
        </w:rPr>
        <w:t>(Brennan et al., 2015)</w:t>
      </w:r>
      <w:r w:rsidRPr="005D5AB7">
        <w:rPr>
          <w:rFonts w:ascii="Garamond" w:hAnsi="Garamond" w:cstheme="majorHAnsi"/>
          <w:sz w:val="22"/>
          <w:szCs w:val="22"/>
        </w:rPr>
        <w:fldChar w:fldCharType="end"/>
      </w:r>
      <w:r>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The result</w:t>
      </w:r>
      <w:r w:rsidR="00E212FE">
        <w:rPr>
          <w:rFonts w:ascii="Garamond" w:eastAsia="Times New Roman" w:hAnsi="Garamond" w:cs="Times New Roman"/>
          <w:kern w:val="0"/>
          <w:sz w:val="22"/>
          <w:szCs w:val="22"/>
          <w14:ligatures w14:val="none"/>
        </w:rPr>
        <w:t>ing</w:t>
      </w:r>
      <w:r w:rsidRPr="006D1917">
        <w:rPr>
          <w:rFonts w:ascii="Garamond" w:eastAsia="Times New Roman" w:hAnsi="Garamond" w:cs="Times New Roman"/>
          <w:kern w:val="0"/>
          <w:sz w:val="22"/>
          <w:szCs w:val="22"/>
          <w14:ligatures w14:val="none"/>
        </w:rPr>
        <w:t xml:space="preserve"> </w:t>
      </w:r>
      <w:r>
        <w:rPr>
          <w:rFonts w:ascii="Garamond" w:eastAsia="Times New Roman" w:hAnsi="Garamond" w:cs="Times New Roman"/>
          <w:kern w:val="0"/>
          <w:sz w:val="22"/>
          <w:szCs w:val="22"/>
          <w14:ligatures w14:val="none"/>
        </w:rPr>
        <w:t xml:space="preserve">data represent a continuously integrated </w:t>
      </w:r>
      <w:r w:rsidRPr="006D1917">
        <w:rPr>
          <w:rFonts w:ascii="Garamond" w:eastAsia="Times New Roman" w:hAnsi="Garamond" w:cs="Times New Roman"/>
          <w:kern w:val="0"/>
          <w:sz w:val="22"/>
          <w:szCs w:val="22"/>
          <w14:ligatures w14:val="none"/>
        </w:rPr>
        <w:t xml:space="preserve"> measurement of Sr</w:t>
      </w:r>
      <w:r>
        <w:rPr>
          <w:rFonts w:ascii="Garamond" w:eastAsia="Times New Roman" w:hAnsi="Garamond" w:cs="Times New Roman"/>
          <w:kern w:val="0"/>
          <w:sz w:val="22"/>
          <w:szCs w:val="22"/>
          <w:vertAlign w:val="superscript"/>
          <w14:ligatures w14:val="none"/>
        </w:rPr>
        <w:t>87</w:t>
      </w:r>
      <w:r>
        <w:rPr>
          <w:rFonts w:ascii="Garamond" w:eastAsia="Times New Roman" w:hAnsi="Garamond" w:cs="Times New Roman"/>
          <w:kern w:val="0"/>
          <w:sz w:val="22"/>
          <w:szCs w:val="22"/>
          <w14:ligatures w14:val="none"/>
        </w:rPr>
        <w:t>/Sr</w:t>
      </w:r>
      <w:r>
        <w:rPr>
          <w:rFonts w:ascii="Garamond" w:eastAsia="Times New Roman" w:hAnsi="Garamond" w:cs="Times New Roman"/>
          <w:kern w:val="0"/>
          <w:sz w:val="22"/>
          <w:szCs w:val="22"/>
          <w:vertAlign w:val="superscript"/>
          <w14:ligatures w14:val="none"/>
        </w:rPr>
        <w:t>86</w:t>
      </w:r>
      <w:r w:rsidRPr="006D1917">
        <w:rPr>
          <w:rFonts w:ascii="Garamond" w:eastAsia="Times New Roman" w:hAnsi="Garamond" w:cs="Times New Roman"/>
          <w:kern w:val="0"/>
          <w:sz w:val="22"/>
          <w:szCs w:val="22"/>
          <w14:ligatures w14:val="none"/>
        </w:rPr>
        <w:t xml:space="preserve"> </w:t>
      </w:r>
      <w:r>
        <w:rPr>
          <w:rFonts w:ascii="Garamond" w:eastAsia="Times New Roman" w:hAnsi="Garamond" w:cs="Times New Roman"/>
          <w:kern w:val="0"/>
          <w:sz w:val="22"/>
          <w:szCs w:val="22"/>
          <w14:ligatures w14:val="none"/>
        </w:rPr>
        <w:t xml:space="preserve">from early development until marine entry </w:t>
      </w:r>
      <w:r>
        <w:rPr>
          <w:rFonts w:ascii="Garamond" w:eastAsia="Times New Roman" w:hAnsi="Garamond" w:cs="Times New Roman"/>
          <w:kern w:val="0"/>
          <w:sz w:val="22"/>
          <w:szCs w:val="22"/>
          <w14:ligatures w14:val="none"/>
        </w:rPr>
        <w:fldChar w:fldCharType="begin"/>
      </w:r>
      <w:r>
        <w:rPr>
          <w:rFonts w:ascii="Garamond" w:eastAsia="Times New Roman" w:hAnsi="Garamond" w:cs="Times New Roman"/>
          <w:kern w:val="0"/>
          <w:sz w:val="22"/>
          <w:szCs w:val="22"/>
          <w14:ligatures w14:val="none"/>
        </w:rPr>
        <w:instrText xml:space="preserve"> ADDIN ZOTERO_ITEM CSL_CITATION {"citationID":"drNJXJRw","properties":{"formattedCitation":"(Brennan et al., 2015; Campana, 1999; Capo et al., 1998)","plainCitation":"(Brennan et al., 2015; Campana, 1999; Capo et al., 1998)","noteIndex":0},"citationItems":[{"id":"dI01jIsp/qEdWN4pU","uris":["http://zotero.org/users/8421274/items/IY3FLHLM"],"itemData":{"id":"dI01jIsp/qEdWN4pU","type":"article-journal","abstract":"Strontium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J."}],"issued":{"date-parts":[["2015",5,15]]}}},{"id":1441,"uris":["http://zotero.org/users/8421274/items/PHNAKZ8D"],"itemData":{"id":1441,"type":"article-journal","abstract":"The fish otolith (earstone) has long been known as a timekeeper, but interest in its use as a metabolically inert environmental recorder has accelerated in recent years. In part due to technological advances, applications such as stock identification, determination of rnigralon pathways, reconstruction of temperature and salinity history, age validation, detection of anadromy, use as a natural tag and chemical mass marking have been developed, some of which are difficult or impossible to implement using alternative techniques. Microsamphg and the latest advances in beam-based probes allow many elemental assays to be coupled with daily or annual growth increments, thus providing a detailed chronologcal record of the environment. However, few workers have critically assessed the assumptions upon which the environmental reconstructions are based, or considered the possibility that elemental incorporation into the otolith may proceed differently than that into other calcified structures. This paper reviews current applications and their assumptions and suggests future directions. Particular attention is given to the premises that the elemental and isotopic composition of the otolith reflects that of the environment, and the effect of physiological filters on the resulting composition. The roles of temperature, elemental uptake into the fish and the process of otolith crystahzation are also assessed. Drawing upon recent advances in geochemistry and paleoclirnate research as points of contrast, it appears that not all applications of otolith chemistry are firmly based, although others are destined to become powerful and perhaps routine tools for the mainstream fish biologst.","container-title":"Marine Ecology Progress Series","DOI":"10.3354/meps188263","ISSN":"0171-8630, 1616-1599","journalAbbreviation":"Mar. Ecol. Prog. Ser.","language":"en","page":"263-297","source":"DOI.org (Crossref)","title":"Chemistry and composition of fish otoliths:pathways, mechanisms and applications","title-short":"Chemistry and composition of fish otoliths","volume":"188","author":[{"family":"Campana","given":"Se"}],"issued":{"date-parts":[["1999"]]}}},{"id":1457,"uris":["http://zotero.org/users/8421274/items/TDIQBP7K"],"itemData":{"id":1457,"type":"article-journal","abstract":"The strontium (Sr) isotope method can be a powerful tool in studies of chemical weathering and soil genesis, cation provenance and mobility, and the chronostratigraphic correlation of marine sediments. It is a sensitive geochemical tracer, applicable to large-scale ecosystem studies as well as to centimeter-scaled examination of cation mobility within a soil profile. The 87Sr/86Sr ratios of natural materials reflect the sources of strontium available during their formation. Isotopically distinct inputs from precipitation, dryfall, soil parent material, and surface or groundwater allow determination of the relative proportions of those materials entering or leaving an ecosystem. The isotopic compositions of labile (soil exchange complex and soil solution) strontium and Sr in vegetation reflect the sources of cations available to plants. Strontium isotopes can be used to track the biogeochemical cycling of nutrient cations such as calcium. The extent of cation contributions from in situ weathering and external additions to soil from dust and rain can also be resolved with this method. In this paper, we review the geochemistry and isotopic systematics of strontium, and discuss the use of this method as a tracer of earth surface processes.","container-title":"Geoderma","DOI":"10.1016/S0016-7061(97)00102-X","ISSN":"0016-7061","issue":"1","journalAbbreviation":"Geoderma","language":"en","page":"197-225","source":"ScienceDirect","title":"Strontium isotopes as tracers of ecosystem processes: theory and methods","title-short":"Strontium isotopes as tracers of ecosystem processes","volume":"82","author":[{"family":"Capo","given":"Rosemary C."},{"family":"Stewart","given":"Brian W."},{"family":"Chadwick","given":"Oliver A."}],"issued":{"date-parts":[["1998",2,1]]}}}],"schema":"https://github.com/citation-style-language/schema/raw/master/csl-citation.json"} </w:instrText>
      </w:r>
      <w:r>
        <w:rPr>
          <w:rFonts w:ascii="Garamond" w:eastAsia="Times New Roman" w:hAnsi="Garamond" w:cs="Times New Roman"/>
          <w:kern w:val="0"/>
          <w:sz w:val="22"/>
          <w:szCs w:val="22"/>
          <w14:ligatures w14:val="none"/>
        </w:rPr>
        <w:fldChar w:fldCharType="separate"/>
      </w:r>
      <w:r>
        <w:rPr>
          <w:rFonts w:ascii="Garamond" w:eastAsia="Times New Roman" w:hAnsi="Garamond" w:cs="Times New Roman"/>
          <w:noProof/>
          <w:kern w:val="0"/>
          <w:sz w:val="22"/>
          <w:szCs w:val="22"/>
          <w14:ligatures w14:val="none"/>
        </w:rPr>
        <w:t>(Brennan et al., 2015; Campana, 1999; Capo et al., 1998)</w:t>
      </w:r>
      <w:r>
        <w:rPr>
          <w:rFonts w:ascii="Garamond" w:eastAsia="Times New Roman" w:hAnsi="Garamond" w:cs="Times New Roman"/>
          <w:kern w:val="0"/>
          <w:sz w:val="22"/>
          <w:szCs w:val="22"/>
          <w14:ligatures w14:val="none"/>
        </w:rPr>
        <w:fldChar w:fldCharType="end"/>
      </w:r>
      <w:r>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From these data, the </w:t>
      </w:r>
      <w:r w:rsidR="00E212FE">
        <w:rPr>
          <w:rFonts w:ascii="Garamond" w:eastAsia="Times New Roman" w:hAnsi="Garamond" w:cs="Times New Roman"/>
          <w:kern w:val="0"/>
          <w:sz w:val="22"/>
          <w:szCs w:val="22"/>
          <w14:ligatures w14:val="none"/>
        </w:rPr>
        <w:t xml:space="preserve">Sr87/86 value associated with the </w:t>
      </w:r>
      <w:r w:rsidRPr="006D1917">
        <w:rPr>
          <w:rFonts w:ascii="Garamond" w:eastAsia="Times New Roman" w:hAnsi="Garamond" w:cs="Times New Roman"/>
          <w:kern w:val="0"/>
          <w:sz w:val="22"/>
          <w:szCs w:val="22"/>
          <w14:ligatures w14:val="none"/>
        </w:rPr>
        <w:t>natal freshwater rearing period was extracted by examining</w:t>
      </w:r>
      <w:r>
        <w:rPr>
          <w:rFonts w:ascii="Garamond" w:eastAsia="Times New Roman" w:hAnsi="Garamond" w:cs="Times New Roman"/>
          <w:kern w:val="0"/>
          <w:sz w:val="22"/>
          <w:szCs w:val="22"/>
          <w14:ligatures w14:val="none"/>
        </w:rPr>
        <w:t xml:space="preserve"> patterns of </w:t>
      </w:r>
      <w:r w:rsidRPr="006D1917">
        <w:rPr>
          <w:rFonts w:ascii="Garamond" w:eastAsia="Times New Roman" w:hAnsi="Garamond" w:cs="Times New Roman"/>
          <w:kern w:val="0"/>
          <w:sz w:val="22"/>
          <w:szCs w:val="22"/>
          <w14:ligatures w14:val="none"/>
        </w:rPr>
        <w:t>change in Sr</w:t>
      </w:r>
      <w:r>
        <w:rPr>
          <w:rFonts w:ascii="Garamond" w:eastAsia="Times New Roman" w:hAnsi="Garamond" w:cs="Times New Roman"/>
          <w:kern w:val="0"/>
          <w:sz w:val="22"/>
          <w:szCs w:val="22"/>
          <w:vertAlign w:val="superscript"/>
          <w14:ligatures w14:val="none"/>
        </w:rPr>
        <w:t>87</w:t>
      </w:r>
      <w:r>
        <w:rPr>
          <w:rFonts w:ascii="Garamond" w:eastAsia="Times New Roman" w:hAnsi="Garamond" w:cs="Times New Roman"/>
          <w:kern w:val="0"/>
          <w:sz w:val="22"/>
          <w:szCs w:val="22"/>
          <w14:ligatures w14:val="none"/>
        </w:rPr>
        <w:t>/Sr</w:t>
      </w:r>
      <w:r>
        <w:rPr>
          <w:rFonts w:ascii="Garamond" w:eastAsia="Times New Roman" w:hAnsi="Garamond" w:cs="Times New Roman"/>
          <w:kern w:val="0"/>
          <w:sz w:val="22"/>
          <w:szCs w:val="22"/>
          <w:vertAlign w:val="superscript"/>
          <w14:ligatures w14:val="none"/>
        </w:rPr>
        <w:t>86</w:t>
      </w:r>
      <w:r w:rsidRPr="006D1917">
        <w:rPr>
          <w:rFonts w:ascii="Garamond" w:eastAsia="Times New Roman" w:hAnsi="Garamond" w:cs="Times New Roman"/>
          <w:kern w:val="0"/>
          <w:sz w:val="22"/>
          <w:szCs w:val="22"/>
          <w14:ligatures w14:val="none"/>
        </w:rPr>
        <w:t xml:space="preserve"> and Sr</w:t>
      </w:r>
      <w:r>
        <w:rPr>
          <w:rFonts w:ascii="Garamond" w:eastAsia="Times New Roman" w:hAnsi="Garamond" w:cs="Times New Roman"/>
          <w:kern w:val="0"/>
          <w:sz w:val="22"/>
          <w:szCs w:val="22"/>
          <w:vertAlign w:val="superscript"/>
          <w14:ligatures w14:val="none"/>
        </w:rPr>
        <w:t>88</w:t>
      </w:r>
      <w:r w:rsidRPr="006D1917">
        <w:rPr>
          <w:rFonts w:ascii="Garamond" w:eastAsia="Times New Roman" w:hAnsi="Garamond" w:cs="Times New Roman"/>
          <w:kern w:val="0"/>
          <w:sz w:val="22"/>
          <w:szCs w:val="22"/>
          <w14:ligatures w14:val="none"/>
        </w:rPr>
        <w:t xml:space="preserve"> </w:t>
      </w:r>
      <w:r>
        <w:rPr>
          <w:rFonts w:ascii="Garamond" w:eastAsia="Times New Roman" w:hAnsi="Garamond" w:cs="Times New Roman"/>
          <w:kern w:val="0"/>
          <w:sz w:val="22"/>
          <w:szCs w:val="22"/>
          <w14:ligatures w14:val="none"/>
        </w:rPr>
        <w:t>between the core and freshwater region</w:t>
      </w:r>
      <w:r w:rsidR="00E212FE">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morphological features of the otolith visible among the ablation </w:t>
      </w:r>
      <w:proofErr w:type="gramStart"/>
      <w:r w:rsidRPr="006D1917">
        <w:rPr>
          <w:rFonts w:ascii="Garamond" w:eastAsia="Times New Roman" w:hAnsi="Garamond" w:cs="Times New Roman"/>
          <w:kern w:val="0"/>
          <w:sz w:val="22"/>
          <w:szCs w:val="22"/>
          <w14:ligatures w14:val="none"/>
        </w:rPr>
        <w:t>path</w:t>
      </w:r>
      <w:r w:rsidR="00E212FE">
        <w:rPr>
          <w:rFonts w:ascii="Garamond" w:eastAsia="Times New Roman" w:hAnsi="Garamond" w:cs="Times New Roman"/>
          <w:kern w:val="0"/>
          <w:sz w:val="22"/>
          <w:szCs w:val="22"/>
          <w14:ligatures w14:val="none"/>
        </w:rPr>
        <w:t>, and</w:t>
      </w:r>
      <w:proofErr w:type="gramEnd"/>
      <w:r w:rsidR="00E212FE">
        <w:rPr>
          <w:rFonts w:ascii="Garamond" w:eastAsia="Times New Roman" w:hAnsi="Garamond" w:cs="Times New Roman"/>
          <w:kern w:val="0"/>
          <w:sz w:val="22"/>
          <w:szCs w:val="22"/>
          <w14:ligatures w14:val="none"/>
        </w:rPr>
        <w:t xml:space="preserve"> known distances from the core to onset of the freshwater signal </w:t>
      </w:r>
      <w:r w:rsidR="00E212FE" w:rsidRPr="00E212FE">
        <w:rPr>
          <w:rFonts w:ascii="Garamond" w:eastAsia="Times New Roman" w:hAnsi="Garamond" w:cs="Times New Roman"/>
          <w:kern w:val="0"/>
          <w:sz w:val="22"/>
          <w:szCs w:val="22"/>
          <w:highlight w:val="yellow"/>
          <w14:ligatures w14:val="none"/>
        </w:rPr>
        <w:t>(cite).</w:t>
      </w:r>
      <w:r w:rsidR="00E212FE">
        <w:rPr>
          <w:rFonts w:ascii="Garamond" w:eastAsia="Times New Roman" w:hAnsi="Garamond" w:cs="Times New Roman"/>
          <w:kern w:val="0"/>
          <w:sz w:val="22"/>
          <w:szCs w:val="22"/>
          <w14:ligatures w14:val="none"/>
        </w:rPr>
        <w:t xml:space="preserve"> </w:t>
      </w:r>
    </w:p>
    <w:p w14:paraId="619A1F68" w14:textId="77777777" w:rsidR="009833DB" w:rsidRDefault="009833DB" w:rsidP="009833DB">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b/>
          <w:bCs/>
          <w:kern w:val="0"/>
          <w:sz w:val="22"/>
          <w:szCs w:val="22"/>
          <w14:ligatures w14:val="none"/>
        </w:rPr>
        <w:t>Isoscape</w:t>
      </w:r>
      <w:proofErr w:type="spellEnd"/>
      <w:r w:rsidRPr="006D1917">
        <w:rPr>
          <w:rFonts w:ascii="Garamond" w:eastAsia="Times New Roman" w:hAnsi="Garamond" w:cs="Times New Roman"/>
          <w:b/>
          <w:bCs/>
          <w:kern w:val="0"/>
          <w:sz w:val="22"/>
          <w:szCs w:val="22"/>
          <w14:ligatures w14:val="none"/>
        </w:rPr>
        <w:t xml:space="preserve"> Development</w:t>
      </w:r>
    </w:p>
    <w:p w14:paraId="70B3C26D" w14:textId="5DAA9D7B" w:rsidR="009833DB" w:rsidRPr="00E212FE" w:rsidRDefault="00E212FE" w:rsidP="00E212FE">
      <w:pPr>
        <w:spacing w:before="100" w:beforeAutospacing="1" w:after="100" w:afterAutospacing="1" w:line="480" w:lineRule="auto"/>
        <w:ind w:firstLine="720"/>
        <w:rPr>
          <w:rFonts w:ascii="Garamond" w:hAnsi="Garamond" w:cs="Times New Roman"/>
          <w:sz w:val="22"/>
          <w:szCs w:val="22"/>
        </w:rPr>
      </w:pPr>
      <w:r>
        <w:rPr>
          <w:rFonts w:ascii="Garamond" w:eastAsia="Times New Roman" w:hAnsi="Garamond" w:cs="Times New Roman"/>
          <w:kern w:val="0"/>
          <w:sz w:val="22"/>
          <w:szCs w:val="22"/>
          <w14:ligatures w14:val="none"/>
        </w:rPr>
        <w:t xml:space="preserve">An </w:t>
      </w:r>
      <w:proofErr w:type="spellStart"/>
      <w:r>
        <w:rPr>
          <w:rFonts w:ascii="Garamond" w:eastAsia="Times New Roman" w:hAnsi="Garamond" w:cs="Times New Roman"/>
          <w:kern w:val="0"/>
          <w:sz w:val="22"/>
          <w:szCs w:val="22"/>
          <w14:ligatures w14:val="none"/>
        </w:rPr>
        <w:t>isoscape</w:t>
      </w:r>
      <w:proofErr w:type="spellEnd"/>
      <w:r>
        <w:rPr>
          <w:rFonts w:ascii="Garamond" w:eastAsia="Times New Roman" w:hAnsi="Garamond" w:cs="Times New Roman"/>
          <w:kern w:val="0"/>
          <w:sz w:val="22"/>
          <w:szCs w:val="22"/>
          <w14:ligatures w14:val="none"/>
        </w:rPr>
        <w:t xml:space="preserve"> of the Kuskokwim river was</w:t>
      </w:r>
      <w:r w:rsidR="009833DB" w:rsidRPr="006D1917">
        <w:rPr>
          <w:rFonts w:ascii="Garamond" w:eastAsia="Times New Roman" w:hAnsi="Garamond" w:cs="Times New Roman"/>
          <w:kern w:val="0"/>
          <w:sz w:val="22"/>
          <w:szCs w:val="22"/>
          <w14:ligatures w14:val="none"/>
        </w:rPr>
        <w:t xml:space="preserve"> constructed to </w:t>
      </w:r>
      <w:r w:rsidR="009833DB">
        <w:rPr>
          <w:rFonts w:ascii="Garamond" w:eastAsia="Times New Roman" w:hAnsi="Garamond" w:cs="Times New Roman"/>
          <w:kern w:val="0"/>
          <w:sz w:val="22"/>
          <w:szCs w:val="22"/>
          <w14:ligatures w14:val="none"/>
        </w:rPr>
        <w:t>model</w:t>
      </w:r>
      <w:r w:rsidR="009833DB" w:rsidRPr="006D1917">
        <w:rPr>
          <w:rFonts w:ascii="Garamond" w:eastAsia="Times New Roman" w:hAnsi="Garamond" w:cs="Times New Roman"/>
          <w:kern w:val="0"/>
          <w:sz w:val="22"/>
          <w:szCs w:val="22"/>
          <w14:ligatures w14:val="none"/>
        </w:rPr>
        <w:t xml:space="preserve"> spatial variation in 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6D1917">
        <w:rPr>
          <w:rFonts w:ascii="Garamond" w:eastAsia="Times New Roman" w:hAnsi="Garamond" w:cs="Times New Roman"/>
          <w:kern w:val="0"/>
          <w:sz w:val="22"/>
          <w:szCs w:val="22"/>
          <w14:ligatures w14:val="none"/>
        </w:rPr>
        <w:t xml:space="preserve"> ratios across the river basin, following the methodology described in </w:t>
      </w:r>
      <w:r w:rsidR="009833DB">
        <w:rPr>
          <w:rFonts w:ascii="Garamond" w:eastAsia="Times New Roman" w:hAnsi="Garamond" w:cs="Times New Roman"/>
          <w:kern w:val="0"/>
          <w:sz w:val="22"/>
          <w:szCs w:val="22"/>
          <w14:ligatures w14:val="none"/>
        </w:rPr>
        <w:fldChar w:fldCharType="begin"/>
      </w:r>
      <w:r w:rsidR="009833DB">
        <w:rPr>
          <w:rFonts w:ascii="Garamond" w:eastAsia="Times New Roman" w:hAnsi="Garamond" w:cs="Times New Roman"/>
          <w:kern w:val="0"/>
          <w:sz w:val="22"/>
          <w:szCs w:val="22"/>
          <w14:ligatures w14:val="none"/>
        </w:rPr>
        <w:instrText xml:space="preserve"> ADDIN ZOTERO_ITEM CSL_CITATION {"citationID":"ABJTaAkC","properties":{"formattedCitation":"(Brennan et al., 2016)","plainCitation":"(Brennan et al., 2016)","noteIndex":0},"citationItems":[{"id":2315,"uris":["http://zotero.org/users/8421274/items/Q4IUGSIX"],"itemData":{"id":2315,"type":"article-journal","abstract":"A critical challenge for the Earth sciences is to trace the transport and flux of matter within and among aquatic, terrestrial, and atmospheric systems. Robust descriptions of isotopic patterns across space and time, called “isoscapes,” form the basis of a rapidly growing and wide-ranging body of research aimed at quantifying connectivity within and among Earth's systems. However, isoscapes of rivers have been limited by conventional Euclidean approaches in geostatistics and the lack of a quantitative framework to apportion the influence of processes driven by landscape features versus in-stream phenomena. Here we demonstrate how dendritic network models substantially improve the accuracy of isoscapes of strontium isotopes and partition the influence of hydrologic transport versus local geologic features on strontium isotope ratios in a large Alaska river. This work illustrates the analytical power of dendritic network models for the field of isotope biogeochemistry, particularly for provenance studies of modern and ancient animals.","container-title":"Geophysical Research Letters","DOI":"10.1002/2016GL068904","ISSN":"1944-8007","issue":"10","language":"en","note":"_eprint: https://onlinelibrary.wiley.com/doi/pdf/10.1002/2016GL068904","page":"5043-5051","source":"Wiley Online Library","title":"Dendritic network models: Improving isoscapes and quantifying influence of landscape and in-stream processes on strontium isotopes in rivers","title-short":"Dendritic network models","volume":"43","author":[{"family":"Brennan","given":"Sean R."},{"family":"Torgersen","given":"Christian E."},{"family":"Hollenbeck","given":"Jeff P."},{"family":"Fernandez","given":"Diego P."},{"family":"Jensen","given":"Carrie K."},{"family":"Schindler","given":"Daniel E."}],"issued":{"date-parts":[["2016"]]}}}],"schema":"https://github.com/citation-style-language/schema/raw/master/csl-citation.json"} </w:instrText>
      </w:r>
      <w:r w:rsidR="009833DB">
        <w:rPr>
          <w:rFonts w:ascii="Garamond" w:eastAsia="Times New Roman" w:hAnsi="Garamond" w:cs="Times New Roman"/>
          <w:kern w:val="0"/>
          <w:sz w:val="22"/>
          <w:szCs w:val="22"/>
          <w14:ligatures w14:val="none"/>
        </w:rPr>
        <w:fldChar w:fldCharType="separate"/>
      </w:r>
      <w:r w:rsidR="009833DB">
        <w:rPr>
          <w:rFonts w:ascii="Garamond" w:eastAsia="Times New Roman" w:hAnsi="Garamond" w:cs="Times New Roman"/>
          <w:noProof/>
          <w:kern w:val="0"/>
          <w:sz w:val="22"/>
          <w:szCs w:val="22"/>
          <w14:ligatures w14:val="none"/>
        </w:rPr>
        <w:t>Brennan et al., (2016)</w:t>
      </w:r>
      <w:r w:rsidR="009833DB">
        <w:rPr>
          <w:rFonts w:ascii="Garamond" w:eastAsia="Times New Roman" w:hAnsi="Garamond" w:cs="Times New Roman"/>
          <w:kern w:val="0"/>
          <w:sz w:val="22"/>
          <w:szCs w:val="22"/>
          <w14:ligatures w14:val="none"/>
        </w:rPr>
        <w:fldChar w:fldCharType="end"/>
      </w:r>
      <w:r w:rsidR="009833DB">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 xml:space="preserve">and </w:t>
      </w:r>
      <w:r w:rsidR="009833DB">
        <w:rPr>
          <w:rFonts w:ascii="Garamond" w:eastAsia="Times New Roman" w:hAnsi="Garamond" w:cs="Times New Roman"/>
          <w:kern w:val="0"/>
          <w:sz w:val="22"/>
          <w:szCs w:val="22"/>
          <w14:ligatures w14:val="none"/>
        </w:rPr>
        <w:fldChar w:fldCharType="begin"/>
      </w:r>
      <w:r w:rsidR="009833DB">
        <w:rPr>
          <w:rFonts w:ascii="Garamond" w:eastAsia="Times New Roman" w:hAnsi="Garamond" w:cs="Times New Roman"/>
          <w:kern w:val="0"/>
          <w:sz w:val="22"/>
          <w:szCs w:val="22"/>
          <w14:ligatures w14:val="none"/>
        </w:rPr>
        <w:instrText xml:space="preserve"> ADDIN ZOTERO_ITEM CSL_CITATION {"citationID":"9A6PUmLO","properties":{"formattedCitation":"(Makhlouf et al., 2025)","plainCitation":"(Makhlouf et al., 2025)","noteIndex":0},"citationItems":[{"id":5397,"uris":["http://zotero.org/users/8421274/items/WRVF2L9N"],"itemData":{"id":5397,"type":"article-journal","abstract":"Understanding the spatial ecology of migratory species is uniquely challenging using conventional approaches. In fisheries such as for Pacific salmon, genetic stock identification (GSI) and isotope-based methods have emerged as strategies for reconstructing spatial ecology but are limited by the spatial resolution of genetic differentiation and isotopic heterogeneity. We show that integrating these complementary datasets improve the spatial resolution of provenance assignments. To do so, we reconstructed basin-wide estimates of natal origin locations for Chinook salmon in the Yukon River using samples (n = 247) from an experimental fishery designed to assess in-season run timing. A combined framework improved precision of likely provenance assignments (stream km &gt; 0.7 posterior probability) by 92% over genetic assignments and 52% over strontium isotope methods. In doing so, we illustrate watershed scale estimates of natal origin distributions with a greater resolution available from GSI or isotope data alone.","container-title":"Limnology and Oceanography Letters","DOI":"10.1002/lol2.70025","ISSN":"2378-2242","issue":"n/a","language":"en","license":"© 2025 The Author(s). Limnology and Oceanography Letters published by Wiley Periodicals LLC on behalf of Association for the Sciences of Limnology and Oceanography.","note":"_eprint: https://onlinelibrary.wiley.com/doi/pdf/10.1002/lol2.70025","source":"Wiley Online Library","title":"Combining genetic and isotope frameworks improves reconstruction of fish provenance across riverscapes","URL":"https://onlinelibrary.wiley.com/doi/abs/10.1002/lol2.70025","volume":"n/a","author":[{"family":"Makhlouf","given":"Ben"},{"family":"Cline","given":"Timothy J."},{"family":"Fernandez","given":"Diego"},{"family":"Seeb","given":"Lisa"},{"family":"Lee","given":"Elizabeth"},{"family":"Gilk-Baumer","given":"Sara"},{"family":"Whited","given":"Diane"},{"family":"Zimmerman","given":"Christian E."},{"family":"Schindler","given":"Daniel E."}],"accessed":{"date-parts":[["2025",6,4]]},"issued":{"date-parts":[["2025"]]}}}],"schema":"https://github.com/citation-style-language/schema/raw/master/csl-citation.json"} </w:instrText>
      </w:r>
      <w:r w:rsidR="009833DB">
        <w:rPr>
          <w:rFonts w:ascii="Garamond" w:eastAsia="Times New Roman" w:hAnsi="Garamond" w:cs="Times New Roman"/>
          <w:kern w:val="0"/>
          <w:sz w:val="22"/>
          <w:szCs w:val="22"/>
          <w14:ligatures w14:val="none"/>
        </w:rPr>
        <w:fldChar w:fldCharType="separate"/>
      </w:r>
      <w:r w:rsidR="009833DB">
        <w:rPr>
          <w:rFonts w:ascii="Garamond" w:eastAsia="Times New Roman" w:hAnsi="Garamond" w:cs="Times New Roman"/>
          <w:noProof/>
          <w:kern w:val="0"/>
          <w:sz w:val="22"/>
          <w:szCs w:val="22"/>
          <w14:ligatures w14:val="none"/>
        </w:rPr>
        <w:t>Makhlouf et al., (2025)</w:t>
      </w:r>
      <w:r w:rsidR="009833DB">
        <w:rPr>
          <w:rFonts w:ascii="Garamond" w:eastAsia="Times New Roman" w:hAnsi="Garamond" w:cs="Times New Roman"/>
          <w:kern w:val="0"/>
          <w:sz w:val="22"/>
          <w:szCs w:val="22"/>
          <w14:ligatures w14:val="none"/>
        </w:rPr>
        <w:fldChar w:fldCharType="end"/>
      </w:r>
      <w:r w:rsidR="009833DB">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Briefly,</w:t>
      </w:r>
      <w:r>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 xml:space="preserve"> 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6D1917">
        <w:rPr>
          <w:rFonts w:ascii="Garamond" w:eastAsia="Times New Roman" w:hAnsi="Garamond" w:cs="Times New Roman"/>
          <w:kern w:val="0"/>
          <w:sz w:val="22"/>
          <w:szCs w:val="22"/>
          <w14:ligatures w14:val="none"/>
        </w:rPr>
        <w:t xml:space="preserve"> values were derived from water samples </w:t>
      </w:r>
      <w:r w:rsidRPr="00E212FE">
        <w:rPr>
          <w:rFonts w:ascii="Garamond" w:eastAsia="Times New Roman" w:hAnsi="Garamond" w:cs="Times New Roman"/>
          <w:kern w:val="0"/>
          <w:sz w:val="22"/>
          <w:szCs w:val="22"/>
          <w:highlight w:val="yellow"/>
          <w14:ligatures w14:val="none"/>
        </w:rPr>
        <w:t>(N= ? )</w:t>
      </w:r>
      <w:r>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 xml:space="preserve">collected throughout both river basins (Supp. 1) and modeled </w:t>
      </w:r>
      <w:r>
        <w:rPr>
          <w:rFonts w:ascii="Garamond" w:eastAsia="Times New Roman" w:hAnsi="Garamond" w:cs="Times New Roman"/>
          <w:kern w:val="0"/>
          <w:sz w:val="22"/>
          <w:szCs w:val="22"/>
          <w14:ligatures w14:val="none"/>
        </w:rPr>
        <w:t>via</w:t>
      </w:r>
      <w:r w:rsidR="009833DB" w:rsidRPr="006D1917">
        <w:rPr>
          <w:rFonts w:ascii="Garamond" w:eastAsia="Times New Roman" w:hAnsi="Garamond" w:cs="Times New Roman"/>
          <w:kern w:val="0"/>
          <w:sz w:val="22"/>
          <w:szCs w:val="22"/>
          <w14:ligatures w14:val="none"/>
        </w:rPr>
        <w:t xml:space="preserve"> spatial stream network modeling</w:t>
      </w:r>
      <w:r>
        <w:rPr>
          <w:rFonts w:ascii="Garamond" w:eastAsia="Times New Roman" w:hAnsi="Garamond" w:cs="Times New Roman"/>
          <w:kern w:val="0"/>
          <w:sz w:val="22"/>
          <w:szCs w:val="22"/>
          <w14:ligatures w14:val="none"/>
        </w:rPr>
        <w:t xml:space="preserve"> using the STARRS package in R (add more). This approach considered </w:t>
      </w:r>
      <w:r w:rsidR="009833DB" w:rsidRPr="006D1917">
        <w:rPr>
          <w:rFonts w:ascii="Garamond" w:eastAsia="Times New Roman" w:hAnsi="Garamond" w:cs="Times New Roman"/>
          <w:kern w:val="0"/>
          <w:sz w:val="22"/>
          <w:szCs w:val="22"/>
          <w14:ligatures w14:val="none"/>
        </w:rPr>
        <w:t>several geologic and hydrological covariates as well as Euclidian distance and hydrological connectivity between sampling sites</w:t>
      </w:r>
      <w:r w:rsidR="009833DB">
        <w:rPr>
          <w:rFonts w:ascii="Garamond" w:eastAsia="Times New Roman" w:hAnsi="Garamond" w:cs="Times New Roman"/>
          <w:kern w:val="0"/>
          <w:sz w:val="22"/>
          <w:szCs w:val="22"/>
          <w14:ligatures w14:val="none"/>
        </w:rPr>
        <w:t xml:space="preserve"> </w:t>
      </w:r>
      <w:r w:rsidR="009833DB" w:rsidRPr="00293B26">
        <w:rPr>
          <w:rFonts w:ascii="Garamond" w:eastAsia="Times New Roman" w:hAnsi="Garamond" w:cs="Times New Roman"/>
          <w:kern w:val="0"/>
          <w:sz w:val="22"/>
          <w:szCs w:val="22"/>
          <w14:ligatures w14:val="none"/>
        </w:rPr>
        <w:fldChar w:fldCharType="begin"/>
      </w:r>
      <w:r w:rsidR="009833DB" w:rsidRPr="00293B26">
        <w:rPr>
          <w:rFonts w:ascii="Garamond" w:eastAsia="Times New Roman" w:hAnsi="Garamond" w:cs="Times New Roman"/>
          <w:kern w:val="0"/>
          <w:sz w:val="22"/>
          <w:szCs w:val="22"/>
          <w14:ligatures w14:val="none"/>
        </w:rPr>
        <w:instrText xml:space="preserve"> ADDIN ZOTERO_ITEM CSL_CITATION {"citationID":"a4pXqHFf","properties":{"formattedCitation":"(Ver Hoef &amp; Peterson, 2010)","plainCitation":"(Ver Hoef &amp; Peterson, 2010)","noteIndex":0},"citationItems":[{"id":4769,"uris":["http://zotero.org/users/8421274/items/XBJELDI4"],"itemData":{"id":4769,"type":"article-journal","container-title":"Journal of the American Statistical Association","DOI":"10.1198/jasa.2009.ap08248","ISSN":"0162-1459, 1537-274X","issue":"489","journalAbbreviation":"Journal of the American Statistical Association","language":"en","page":"6-18","source":"DOI.org (Crossref)","title":"A Moving Average Approach for Spatial Statistical Models of Stream Networks","volume":"105","author":[{"family":"Ver Hoef","given":"Jay M."},{"family":"Peterson","given":"Erin E."}],"issued":{"date-parts":[["2010",3,1]]}}}],"schema":"https://github.com/citation-style-language/schema/raw/master/csl-citation.json"} </w:instrText>
      </w:r>
      <w:r w:rsidR="009833DB" w:rsidRPr="00293B26">
        <w:rPr>
          <w:rFonts w:ascii="Garamond" w:eastAsia="Times New Roman" w:hAnsi="Garamond" w:cs="Times New Roman"/>
          <w:kern w:val="0"/>
          <w:sz w:val="22"/>
          <w:szCs w:val="22"/>
          <w14:ligatures w14:val="none"/>
        </w:rPr>
        <w:fldChar w:fldCharType="separate"/>
      </w:r>
      <w:r w:rsidR="009833DB" w:rsidRPr="00293B26">
        <w:rPr>
          <w:rFonts w:ascii="Garamond" w:eastAsia="Times New Roman" w:hAnsi="Garamond" w:cs="Times New Roman"/>
          <w:noProof/>
          <w:kern w:val="0"/>
          <w:sz w:val="22"/>
          <w:szCs w:val="22"/>
          <w14:ligatures w14:val="none"/>
        </w:rPr>
        <w:t>(Ver Hoef &amp; Peterson, 2010)</w:t>
      </w:r>
      <w:r w:rsidR="009833DB" w:rsidRPr="00293B26">
        <w:rPr>
          <w:rFonts w:ascii="Garamond" w:eastAsia="Times New Roman" w:hAnsi="Garamond" w:cs="Times New Roman"/>
          <w:kern w:val="0"/>
          <w:sz w:val="22"/>
          <w:szCs w:val="22"/>
          <w14:ligatures w14:val="none"/>
        </w:rPr>
        <w:fldChar w:fldCharType="end"/>
      </w:r>
      <w:r w:rsidR="009833DB" w:rsidRPr="00293B26">
        <w:rPr>
          <w:rFonts w:ascii="Garamond" w:eastAsia="Times New Roman" w:hAnsi="Garamond" w:cs="Times New Roman"/>
          <w:kern w:val="0"/>
          <w:sz w:val="22"/>
          <w:szCs w:val="22"/>
          <w14:ligatures w14:val="none"/>
        </w:rPr>
        <w:t xml:space="preserve">. </w:t>
      </w:r>
      <w:r w:rsidR="009833DB" w:rsidRPr="00293B26">
        <w:rPr>
          <w:rFonts w:ascii="Garamond" w:hAnsi="Garamond" w:cs="Times New Roman"/>
          <w:sz w:val="22"/>
          <w:szCs w:val="22"/>
        </w:rPr>
        <w:t xml:space="preserve">The resulting </w:t>
      </w:r>
      <w:proofErr w:type="spellStart"/>
      <w:r w:rsidR="009833DB" w:rsidRPr="00293B26">
        <w:rPr>
          <w:rFonts w:ascii="Garamond" w:hAnsi="Garamond" w:cs="Times New Roman"/>
          <w:sz w:val="22"/>
          <w:szCs w:val="22"/>
        </w:rPr>
        <w:t>isoscape</w:t>
      </w:r>
      <w:proofErr w:type="spellEnd"/>
      <w:r w:rsidR="009833DB" w:rsidRPr="00293B26">
        <w:rPr>
          <w:rFonts w:ascii="Garamond" w:hAnsi="Garamond" w:cs="Times New Roman"/>
          <w:sz w:val="22"/>
          <w:szCs w:val="22"/>
        </w:rPr>
        <w:t xml:space="preserve"> provides a spatially continuous estimate of </w:t>
      </w:r>
      <w:r w:rsidR="009833DB" w:rsidRPr="006D1917">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293B26">
        <w:rPr>
          <w:rFonts w:ascii="Garamond" w:hAnsi="Garamond" w:cs="Times New Roman"/>
          <w:sz w:val="22"/>
          <w:szCs w:val="22"/>
        </w:rPr>
        <w:t xml:space="preserve"> values and their associated uncertainties for roughly every ~1km stretch of tributaries across the basin (Figure </w:t>
      </w:r>
      <w:r w:rsidR="009833DB">
        <w:rPr>
          <w:rFonts w:ascii="Garamond" w:hAnsi="Garamond" w:cs="Times New Roman"/>
          <w:sz w:val="22"/>
          <w:szCs w:val="22"/>
        </w:rPr>
        <w:t>1</w:t>
      </w:r>
      <w:r w:rsidR="009833DB" w:rsidRPr="00293B26">
        <w:rPr>
          <w:rFonts w:ascii="Garamond" w:hAnsi="Garamond" w:cs="Times New Roman"/>
          <w:sz w:val="22"/>
          <w:szCs w:val="22"/>
        </w:rPr>
        <w:t xml:space="preserve">). </w:t>
      </w:r>
      <w:r w:rsidR="009F3E36" w:rsidRPr="009F3E36">
        <w:rPr>
          <w:rFonts w:ascii="Garamond" w:hAnsi="Garamond" w:cs="Times New Roman"/>
          <w:sz w:val="22"/>
          <w:szCs w:val="22"/>
        </w:rPr>
        <w:t xml:space="preserve">To prevent over-assignment to tributaries with exceptionally low prediction </w:t>
      </w:r>
      <w:proofErr w:type="gramStart"/>
      <w:r w:rsidR="009F3E36" w:rsidRPr="009F3E36">
        <w:rPr>
          <w:rFonts w:ascii="Garamond" w:hAnsi="Garamond" w:cs="Times New Roman"/>
          <w:sz w:val="22"/>
          <w:szCs w:val="22"/>
        </w:rPr>
        <w:t>error</w:t>
      </w:r>
      <w:proofErr w:type="gramEnd"/>
      <w:r w:rsidR="009F3E36" w:rsidRPr="009F3E36">
        <w:rPr>
          <w:rFonts w:ascii="Garamond" w:hAnsi="Garamond" w:cs="Times New Roman"/>
          <w:sz w:val="22"/>
          <w:szCs w:val="22"/>
        </w:rPr>
        <w:t xml:space="preserve">, minimum error values were constrained to 0.0006. This threshold was </w:t>
      </w:r>
      <w:r w:rsidR="009F3E36" w:rsidRPr="009F3E36">
        <w:rPr>
          <w:rFonts w:ascii="Garamond" w:hAnsi="Garamond" w:cs="Times New Roman"/>
          <w:sz w:val="22"/>
          <w:szCs w:val="22"/>
        </w:rPr>
        <w:lastRenderedPageBreak/>
        <w:t>selected through systematic evaluation to minimize assignments driven primarily by uncertainty differences rather than isotopic similarity, while preserving broad-scale production patterns across the basin</w:t>
      </w:r>
    </w:p>
    <w:p w14:paraId="015401CA" w14:textId="77777777" w:rsidR="002A3FE3" w:rsidRDefault="009833DB" w:rsidP="002A3FE3">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Assignment framework and prior</w:t>
      </w:r>
      <w:r w:rsidR="002A3FE3">
        <w:rPr>
          <w:rFonts w:ascii="Garamond" w:eastAsia="Times New Roman" w:hAnsi="Garamond" w:cs="Times New Roman"/>
          <w:b/>
          <w:bCs/>
          <w:kern w:val="0"/>
          <w:sz w:val="22"/>
          <w:szCs w:val="22"/>
          <w14:ligatures w14:val="none"/>
        </w:rPr>
        <w:t>s</w:t>
      </w:r>
    </w:p>
    <w:p w14:paraId="417575B8" w14:textId="33B6AC25" w:rsidR="009833DB" w:rsidRPr="002A3FE3" w:rsidRDefault="002A3FE3" w:rsidP="002A3FE3">
      <w:pPr>
        <w:spacing w:before="100" w:beforeAutospacing="1" w:after="100" w:afterAutospacing="1" w:line="480" w:lineRule="auto"/>
        <w:ind w:firstLine="720"/>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t>P</w:t>
      </w:r>
      <w:r w:rsidR="009833DB" w:rsidRPr="005E64F6">
        <w:rPr>
          <w:rFonts w:ascii="Garamond" w:eastAsia="Times New Roman" w:hAnsi="Garamond" w:cs="Times New Roman"/>
          <w:kern w:val="0"/>
          <w:sz w:val="22"/>
          <w:szCs w:val="22"/>
          <w14:ligatures w14:val="none"/>
        </w:rPr>
        <w:t>osterior probability</w:t>
      </w:r>
      <w:r>
        <w:rPr>
          <w:rFonts w:ascii="Garamond" w:eastAsia="Times New Roman" w:hAnsi="Garamond" w:cs="Times New Roman"/>
          <w:kern w:val="0"/>
          <w:sz w:val="22"/>
          <w:szCs w:val="22"/>
          <w14:ligatures w14:val="none"/>
        </w:rPr>
        <w:t xml:space="preserve"> values were calculated for all fish and for all tributary segments across the river-basin using a </w:t>
      </w:r>
      <w:r w:rsidR="009833DB" w:rsidRPr="005E64F6">
        <w:rPr>
          <w:rFonts w:ascii="Garamond" w:eastAsia="Times New Roman" w:hAnsi="Garamond" w:cs="Times New Roman"/>
          <w:kern w:val="0"/>
          <w:sz w:val="22"/>
          <w:szCs w:val="22"/>
          <w14:ligatures w14:val="none"/>
        </w:rPr>
        <w:t xml:space="preserve">geographically continuous Bayesian framework </w:t>
      </w:r>
      <w:r w:rsidR="009833DB" w:rsidRPr="005E64F6">
        <w:rPr>
          <w:rFonts w:ascii="Garamond" w:eastAsia="Times New Roman" w:hAnsi="Garamond" w:cs="Times New Roman"/>
          <w:kern w:val="0"/>
          <w:sz w:val="22"/>
          <w:szCs w:val="22"/>
          <w14:ligatures w14:val="none"/>
        </w:rPr>
        <w:fldChar w:fldCharType="begin"/>
      </w:r>
      <w:r w:rsidR="009833DB" w:rsidRPr="005E64F6">
        <w:rPr>
          <w:rFonts w:ascii="Garamond" w:eastAsia="Times New Roman" w:hAnsi="Garamond" w:cs="Times New Roman"/>
          <w:kern w:val="0"/>
          <w:sz w:val="22"/>
          <w:szCs w:val="22"/>
          <w14:ligatures w14:val="none"/>
        </w:rPr>
        <w:instrText xml:space="preserve"> ADDIN ZOTERO_ITEM CSL_CITATION {"citationID":"x50ado7V","properties":{"formattedCitation":"(Brennan, Cline, et al., 2019)","plainCitation":"(Brennan, Cline, et al., 2019)","noteIndex":0},"citationItems":[{"id":1691,"uris":["http://zotero.org/users/8421274/items/IDMUTED4"],"itemData":{"id":1691,"type":"article-journal","abstract":"Migratory animals pose difficult challenges to conservation and management because identifying critical habitats used throughout their lives is rarely possible. Endogenous tracers (e.g. isotope ratios) recorded in sequentially growing biogenic tissues, however, represent a potential source of unique insights at the more elusive temporal and spatial scales central to understanding the ecology of mobile species. To this end, a general probabilistic framework has emerged that quantitatively compares predictive models of isotopic variation across landscapes (called isoscapes) to the isotopic composition recorded in a biological tissue to determine the provenance and movements of animals throughout their lives. Although this spatially continuous approach to isotope-based geographic assignment is becoming more common across taxa and ecosystems, adopting this framework to take advantage of serial isotope records stored within sequentially growing biogenic tissues (e.g. teeth or otoliths) is less common. Here, we construct a novel space-time isotope model of provenance (STIMP) that determines the habitat use through time of migratory fish across river basins. To do so, this model integrates: strontium isotope (87Sr/86Sr) ratios across a riverscape, the serial records of 87Sr/86Sr within otoliths, habitat geomorphology and the directional movement patterns of fish through river networks. To illustrate an application of the model, we applied it to a published dataset from Chinook salmon (Oncorhynchus tshawytscha) harvested in 2011 during a coastal fishery in Bristol Bay, Alaska, U.S.A. Using this model, we show how individuals exploit an array of habitat types to achieve their juvenile growth prior to ocean migration, and that the intensity of habitat use among habitat types across the basin shifts spatially over the course of freshwater residence (e.g. from headwaters to migration corridors). The STIMP presented here integrates diverse information sources to reveal the cryptic juvenile movement patterns of a highly migratory species, providing new insights critical to their conservation. This general framework is applicable to any migratory taxa that use isotopically heterogeneous landscapes during their lives and record such variation in sequentially growing biogenic tissues.","container-title":"Methods in Ecology and Evolution","DOI":"10.1111/2041-210X.13191","ISSN":"2041-210X","issue":"7","language":"en","note":"_eprint: https://besjournals.onlinelibrary.wiley.com/doi/pdf/10.1111/2041-210X.13191","page":"1036-1047","source":"Wiley Online Library","title":"Quantifying habitat use of migratory fish across riverscapes using space-time isotope models","volume":"10","author":[{"family":"Brennan","given":"Sean R."},{"family":"Cline","given":"Timothy J."},{"family":"Schindler","given":"Daniel E."}],"issued":{"date-parts":[["2019"]]}}}],"schema":"https://github.com/citation-style-language/schema/raw/master/csl-citation.json"} </w:instrText>
      </w:r>
      <w:r w:rsidR="009833DB" w:rsidRPr="005E64F6">
        <w:rPr>
          <w:rFonts w:ascii="Garamond" w:eastAsia="Times New Roman" w:hAnsi="Garamond" w:cs="Times New Roman"/>
          <w:kern w:val="0"/>
          <w:sz w:val="22"/>
          <w:szCs w:val="22"/>
          <w14:ligatures w14:val="none"/>
        </w:rPr>
        <w:fldChar w:fldCharType="separate"/>
      </w:r>
      <w:r w:rsidR="009833DB" w:rsidRPr="005E64F6">
        <w:rPr>
          <w:rFonts w:ascii="Garamond" w:eastAsia="Times New Roman" w:hAnsi="Garamond" w:cs="Times New Roman"/>
          <w:noProof/>
          <w:kern w:val="0"/>
          <w:sz w:val="22"/>
          <w:szCs w:val="22"/>
          <w14:ligatures w14:val="none"/>
        </w:rPr>
        <w:t>(Brennan, Cline, et al., 2019)</w:t>
      </w:r>
      <w:r w:rsidR="009833DB" w:rsidRPr="005E64F6">
        <w:rPr>
          <w:rFonts w:ascii="Garamond" w:eastAsia="Times New Roman" w:hAnsi="Garamond" w:cs="Times New Roman"/>
          <w:kern w:val="0"/>
          <w:sz w:val="22"/>
          <w:szCs w:val="22"/>
          <w14:ligatures w14:val="none"/>
        </w:rPr>
        <w:fldChar w:fldCharType="end"/>
      </w:r>
      <w:r w:rsidR="009833DB" w:rsidRPr="005E64F6">
        <w:rPr>
          <w:rFonts w:ascii="Garamond" w:eastAsia="Times New Roman" w:hAnsi="Garamond" w:cs="Times New Roman"/>
          <w:kern w:val="0"/>
          <w:sz w:val="22"/>
          <w:szCs w:val="22"/>
          <w14:ligatures w14:val="none"/>
        </w:rPr>
        <w:t xml:space="preserve">. This approach considers the relationship between extracted natal origin otolith </w:t>
      </w:r>
      <w:r w:rsidR="009833DB" w:rsidRPr="006D1917">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5E64F6">
        <w:rPr>
          <w:rFonts w:ascii="Garamond" w:eastAsia="Times New Roman" w:hAnsi="Garamond" w:cs="Times New Roman"/>
          <w:kern w:val="0"/>
          <w:sz w:val="22"/>
          <w:szCs w:val="22"/>
          <w14:ligatures w14:val="none"/>
        </w:rPr>
        <w:t xml:space="preserve"> values as well as several variance generating processes including </w:t>
      </w:r>
      <w:r w:rsidR="009833DB" w:rsidRPr="005E64F6">
        <w:rPr>
          <w:rFonts w:ascii="Garamond" w:hAnsi="Garamond" w:cstheme="majorHAnsi"/>
          <w:sz w:val="22"/>
          <w:szCs w:val="22"/>
        </w:rPr>
        <w:t xml:space="preserve">analytical, within-population, and </w:t>
      </w:r>
      <w:proofErr w:type="spellStart"/>
      <w:r w:rsidR="009833DB" w:rsidRPr="005E64F6">
        <w:rPr>
          <w:rFonts w:ascii="Garamond" w:hAnsi="Garamond" w:cstheme="majorHAnsi"/>
          <w:sz w:val="22"/>
          <w:szCs w:val="22"/>
        </w:rPr>
        <w:t>isoscape</w:t>
      </w:r>
      <w:proofErr w:type="spellEnd"/>
      <w:r w:rsidR="009833DB" w:rsidRPr="005E64F6">
        <w:rPr>
          <w:rFonts w:ascii="Garamond" w:hAnsi="Garamond" w:cstheme="majorHAnsi"/>
          <w:sz w:val="22"/>
          <w:szCs w:val="22"/>
        </w:rPr>
        <w:t xml:space="preserve"> </w:t>
      </w:r>
      <w:commentRangeStart w:id="1"/>
      <w:r w:rsidR="009833DB" w:rsidRPr="005E64F6">
        <w:rPr>
          <w:rFonts w:ascii="Garamond" w:hAnsi="Garamond" w:cstheme="majorHAnsi"/>
          <w:sz w:val="22"/>
          <w:szCs w:val="22"/>
        </w:rPr>
        <w:t xml:space="preserve">prediction error. </w:t>
      </w:r>
      <w:commentRangeEnd w:id="1"/>
      <w:r>
        <w:rPr>
          <w:rStyle w:val="CommentReference"/>
        </w:rPr>
        <w:commentReference w:id="1"/>
      </w:r>
      <w:r w:rsidR="009833DB" w:rsidRPr="005E64F6">
        <w:rPr>
          <w:rFonts w:ascii="Garamond" w:eastAsia="Times New Roman" w:hAnsi="Garamond" w:cstheme="majorHAnsi"/>
          <w:color w:val="000000"/>
          <w:sz w:val="22"/>
          <w:szCs w:val="22"/>
        </w:rPr>
        <w:t xml:space="preserve">We assumed all errors were normally distributed, and combined them through the equation: </w:t>
      </w:r>
    </w:p>
    <w:p w14:paraId="5231EB5C" w14:textId="77777777" w:rsidR="009833DB" w:rsidRPr="005E64F6" w:rsidRDefault="00000000" w:rsidP="009833DB">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b>
            <m:sSubPr>
              <m:ctrlPr>
                <w:rPr>
                  <w:rFonts w:ascii="Cambria Math" w:eastAsia="Times New Roman" w:hAnsi="Cambria Math" w:cstheme="majorHAnsi"/>
                  <w:i/>
                  <w:color w:val="000000"/>
                </w:rPr>
              </m:ctrlPr>
            </m:sSubPr>
            <m:e>
              <m:r>
                <w:rPr>
                  <w:rFonts w:ascii="Cambria Math" w:eastAsia="Times New Roman" w:hAnsi="Cambria Math" w:cstheme="majorHAnsi"/>
                  <w:color w:val="000000"/>
                </w:rPr>
                <m:t>σ</m:t>
              </m:r>
            </m:e>
            <m:sub>
              <m:r>
                <w:rPr>
                  <w:rFonts w:ascii="Cambria Math" w:eastAsia="Times New Roman" w:hAnsi="Cambria Math" w:cstheme="majorHAnsi"/>
                  <w:color w:val="000000"/>
                </w:rPr>
                <m:t xml:space="preserve">combined= </m:t>
              </m:r>
              <m:rad>
                <m:radPr>
                  <m:degHide m:val="1"/>
                  <m:ctrlPr>
                    <w:rPr>
                      <w:rFonts w:ascii="Cambria Math" w:eastAsia="Times New Roman" w:hAnsi="Cambria Math" w:cstheme="majorHAnsi"/>
                      <w:i/>
                      <w:color w:val="000000"/>
                    </w:rPr>
                  </m:ctrlPr>
                </m:radPr>
                <m:deg/>
                <m:e>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Analytical</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Within-population</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isoscape</m:t>
                      </m:r>
                    </m:sub>
                    <m:sup>
                      <m:r>
                        <w:rPr>
                          <w:rFonts w:ascii="Cambria Math" w:eastAsia="Times New Roman" w:hAnsi="Cambria Math" w:cstheme="majorHAnsi"/>
                          <w:color w:val="000000"/>
                        </w:rPr>
                        <m:t>2</m:t>
                      </m:r>
                    </m:sup>
                  </m:sSubSup>
                </m:e>
              </m:rad>
            </m:sub>
          </m:sSub>
        </m:oMath>
      </m:oMathPara>
    </w:p>
    <w:p w14:paraId="601F0841" w14:textId="31DB0A95" w:rsidR="009833DB" w:rsidRPr="00617050" w:rsidRDefault="009833DB" w:rsidP="009833DB">
      <w:pPr>
        <w:spacing w:line="480" w:lineRule="auto"/>
        <w:ind w:firstLine="720"/>
        <w:rPr>
          <w:rFonts w:ascii="Garamond" w:hAnsi="Garamond" w:cstheme="majorHAnsi"/>
          <w:sz w:val="22"/>
          <w:szCs w:val="22"/>
        </w:rPr>
      </w:pPr>
      <w:r w:rsidRPr="00617050">
        <w:rPr>
          <w:rFonts w:ascii="Garamond" w:hAnsi="Garamond" w:cstheme="majorHAnsi"/>
          <w:sz w:val="22"/>
          <w:szCs w:val="22"/>
        </w:rPr>
        <w:t xml:space="preserve">Posterior probability values for each tributary (j) were then calculated using Bayes theorem </w:t>
      </w:r>
      <w:r w:rsidRPr="00617050">
        <w:rPr>
          <w:rFonts w:ascii="Garamond" w:hAnsi="Garamond" w:cstheme="majorHAnsi"/>
          <w:sz w:val="22"/>
          <w:szCs w:val="22"/>
        </w:rPr>
        <w:fldChar w:fldCharType="begin"/>
      </w:r>
      <w:r w:rsidRPr="00617050">
        <w:rPr>
          <w:rFonts w:ascii="Garamond" w:hAnsi="Garamond" w:cstheme="majorHAnsi"/>
          <w:sz w:val="22"/>
          <w:szCs w:val="22"/>
        </w:rPr>
        <w:instrText xml:space="preserve"> ADDIN ZOTERO_ITEM CSL_CITATION {"citationID":"s99EKqrE","properties":{"formattedCitation":"(Brennan &amp; Schindler, 2017; Wunder, 2010)","plainCitation":"(Brennan &amp; Schindler, 2017; Wunder, 2010)","noteIndex":0},"citationItems":[{"id":1694,"uris":["http://zotero.org/users/8421274/items/NSWL6YPN"],"itemData":{"id":1694,"type":"article-journal","abstract":"Production patterns of highly mobile species, such as anadromous fish, often exhibit high spatial and temporal heterogeneity across landscapes. Such variability is often asynchronous in time among habitats, which stabilizes production at aggregate scales of complexity. Reconstructing production patterns explicitly in space and time across multiple scales, however, remains difficult but is important for prioritizing habitat conservation. This is especially true for fishes inhabiting river basins due to long-range dispersal, high mortality at early life stages, complex population structure and elusive life history variation. We develop a new approach for mapping production patterns of Pacific salmon across a large river basin by integrating otolith microchemistry and dendritic isoscape models. The geographically continuous Bayesian assignment framework presented here yielded high accuracies (&gt;90%) and relatively high precisions (precisions &lt;4%; i.e., assignment areas of &lt;530 river km of the 13 100 km total river length) when used to determine the natal source of known-origin juvenile Chinook salmon captured throughout the study region. Integrating these methods enabled us to base estimates of provenance and habitat use of individuals on a per location basis using strontium isotopic data throughout the continuous spatial domain of a river network. Such a framework provides substantial advantages over the more common nominal approach to employing otolith microchemistry to reconstruct movement patterns of fish. In doing so, we reconstructed the spatial production patterns of adult Chinook salmon returning to a large watershed in Bristol Bay, Alaska and illustrate the power of such an approach to conservation efforts.","container-title":"Ecological Applications","DOI":"10.1002/eap.1474","ISSN":"1939-5582","issue":"2","language":"en","note":"_eprint: https://esajournals.onlinelibrary.wiley.com/doi/pdf/10.1002/eap.1474","page":"363-377","source":"Wiley Online Library","title":"Linking otolith microchemistry and dendritic isoscapes to map heterogeneous production of fish across river basins","volume":"27","author":[{"family":"Brennan","given":"Sean R."},{"family":"Schindler","given":"Daniel E."}],"issued":{"date-parts":[["2017"]]}}},{"id":1071,"uris":["http://zotero.org/users/8421274/items/7AQTJQK8"],"itemData":{"id":1071,"type":"chapter","container-title":"Isoscapes","event-place":"Dordrecht","ISBN":"978-90-481-3353-6","language":"en","note":"DOI: 10.1007/978-90-481-3354-3_12","page":"251-270","publisher":"Springer Netherlands","publisher-place":"Dordrecht","source":"DOI.org (Crossref)","title":"Using Isoscapes to Model Probability Surfaces for Determining Geographic Origins","URL":"http://link.springer.com/10.1007/978-90-481-3354-3_12","editor":[{"family":"West","given":"Jason B."},{"family":"Bowen","given":"Gabriel J."},{"family":"Dawson","given":"Todd E."},{"family":"Tu","given":"Kevin P."}],"author":[{"family":"Wunder","given":"Michael B."}],"accessed":{"date-parts":[["2022",9,22]]},"issued":{"date-parts":[["2010"]]}}}],"schema":"https://github.com/citation-style-language/schema/raw/master/csl-citation.json"} </w:instrText>
      </w:r>
      <w:r w:rsidRPr="00617050">
        <w:rPr>
          <w:rFonts w:ascii="Garamond" w:hAnsi="Garamond" w:cstheme="majorHAnsi"/>
          <w:sz w:val="22"/>
          <w:szCs w:val="22"/>
        </w:rPr>
        <w:fldChar w:fldCharType="separate"/>
      </w:r>
      <w:r w:rsidRPr="00617050">
        <w:rPr>
          <w:rFonts w:ascii="Garamond" w:hAnsi="Garamond" w:cstheme="majorHAnsi"/>
          <w:noProof/>
          <w:sz w:val="22"/>
          <w:szCs w:val="22"/>
        </w:rPr>
        <w:t>(Brennan &amp; Schindler, 2017; Wunder, 2010)</w:t>
      </w:r>
      <w:r w:rsidRPr="00617050">
        <w:rPr>
          <w:rFonts w:ascii="Garamond" w:hAnsi="Garamond" w:cstheme="majorHAnsi"/>
          <w:sz w:val="22"/>
          <w:szCs w:val="22"/>
        </w:rPr>
        <w:fldChar w:fldCharType="end"/>
      </w:r>
      <w:r w:rsidRPr="00617050">
        <w:rPr>
          <w:rFonts w:ascii="Garamond" w:hAnsi="Garamond" w:cstheme="majorHAnsi"/>
          <w:sz w:val="22"/>
          <w:szCs w:val="22"/>
        </w:rPr>
        <w:t xml:space="preserve"> ; </w:t>
      </w:r>
    </w:p>
    <w:p w14:paraId="218C8BAB" w14:textId="77777777" w:rsidR="009833DB" w:rsidRPr="005E64F6" w:rsidRDefault="009833DB" w:rsidP="009833DB">
      <w:pPr>
        <w:spacing w:before="100" w:beforeAutospacing="1" w:after="100" w:afterAutospacing="1" w:line="480" w:lineRule="auto"/>
        <w:rPr>
          <w:rFonts w:ascii="Garamond" w:eastAsia="Times New Roman" w:hAnsi="Garamond" w:cs="Times New Roman"/>
          <w:b/>
          <w:bCs/>
          <w:kern w:val="0"/>
          <w:sz w:val="22"/>
          <w:szCs w:val="22"/>
          <w14:ligatures w14:val="none"/>
        </w:rPr>
      </w:pPr>
      <m:oMathPara>
        <m:oMath>
          <m:r>
            <w:rPr>
              <w:rFonts w:ascii="Cambria Math" w:hAnsi="Cambria Math" w:cstheme="majorHAnsi"/>
              <w:sz w:val="18"/>
              <w:szCs w:val="18"/>
            </w:rPr>
            <m:t>P</m:t>
          </m:r>
          <m:d>
            <m:dPr>
              <m:endChr m:val="|"/>
              <m:ctrlPr>
                <w:rPr>
                  <w:rFonts w:ascii="Cambria Math" w:hAnsi="Cambria Math" w:cstheme="majorHAnsi"/>
                  <w:i/>
                  <w:sz w:val="18"/>
                  <w:szCs w:val="18"/>
                </w:rPr>
              </m:ctrlPr>
            </m:dPr>
            <m:e>
              <m:r>
                <w:rPr>
                  <w:rFonts w:ascii="Cambria Math" w:hAnsi="Cambria Math" w:cstheme="majorHAnsi"/>
                  <w:sz w:val="18"/>
                  <w:szCs w:val="18"/>
                </w:rPr>
                <m:t xml:space="preserve">J=j </m:t>
              </m:r>
            </m:e>
          </m:d>
          <m:r>
            <w:rPr>
              <w:rFonts w:ascii="Cambria Math" w:hAnsi="Cambria Math" w:cstheme="majorHAnsi"/>
              <w:sz w:val="18"/>
              <w:szCs w:val="18"/>
            </w:rPr>
            <m:t xml:space="preserve"> O=o, R=rj) ∝  </m:t>
          </m:r>
          <m:d>
            <m:dPr>
              <m:ctrlPr>
                <w:rPr>
                  <w:rFonts w:ascii="Cambria Math" w:hAnsi="Cambria Math" w:cstheme="majorHAnsi"/>
                  <w:i/>
                  <w:sz w:val="18"/>
                  <w:szCs w:val="18"/>
                </w:rPr>
              </m:ctrlPr>
            </m:dPr>
            <m:e>
              <m:sSup>
                <m:sSupPr>
                  <m:ctrlPr>
                    <w:rPr>
                      <w:rFonts w:ascii="Cambria Math" w:hAnsi="Cambria Math" w:cstheme="majorHAnsi"/>
                      <w:i/>
                      <w:sz w:val="18"/>
                      <w:szCs w:val="18"/>
                    </w:rPr>
                  </m:ctrlPr>
                </m:sSupPr>
                <m:e>
                  <m:r>
                    <w:rPr>
                      <w:rFonts w:ascii="Cambria Math" w:hAnsi="Cambria Math" w:cstheme="majorHAnsi"/>
                      <w:sz w:val="18"/>
                      <w:szCs w:val="18"/>
                    </w:rPr>
                    <m:t>1-</m:t>
                  </m:r>
                  <m:f>
                    <m:fPr>
                      <m:ctrlPr>
                        <w:rPr>
                          <w:rFonts w:ascii="Cambria Math" w:hAnsi="Cambria Math" w:cstheme="majorHAnsi"/>
                          <w:i/>
                          <w:sz w:val="18"/>
                          <w:szCs w:val="18"/>
                        </w:rPr>
                      </m:ctrlPr>
                    </m:fPr>
                    <m:num>
                      <m:r>
                        <w:rPr>
                          <w:rFonts w:ascii="Cambria Math" w:hAnsi="Cambria Math" w:cstheme="majorHAnsi"/>
                          <w:sz w:val="18"/>
                          <w:szCs w:val="18"/>
                        </w:rPr>
                        <m:t>1</m:t>
                      </m:r>
                    </m:num>
                    <m:den>
                      <m:r>
                        <w:rPr>
                          <w:rFonts w:ascii="Cambria Math" w:hAnsi="Cambria Math" w:cstheme="majorHAnsi"/>
                          <w:sz w:val="18"/>
                          <w:szCs w:val="18"/>
                        </w:rPr>
                        <m:t>2π</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den>
                  </m:f>
                </m:e>
                <m:sup>
                  <m:sSup>
                    <m:sSupPr>
                      <m:ctrlPr>
                        <w:rPr>
                          <w:rFonts w:ascii="Cambria Math" w:hAnsi="Cambria Math" w:cstheme="majorHAnsi"/>
                          <w:i/>
                          <w:sz w:val="18"/>
                          <w:szCs w:val="18"/>
                        </w:rPr>
                      </m:ctrlPr>
                    </m:sSupPr>
                    <m:e>
                      <m:r>
                        <w:rPr>
                          <w:rFonts w:ascii="Cambria Math" w:hAnsi="Cambria Math" w:cstheme="majorHAnsi"/>
                          <w:sz w:val="18"/>
                          <w:szCs w:val="18"/>
                        </w:rPr>
                        <m:t>(-(o-</m:t>
                      </m:r>
                      <m:sSub>
                        <m:sSubPr>
                          <m:ctrlPr>
                            <w:rPr>
                              <w:rFonts w:ascii="Cambria Math" w:hAnsi="Cambria Math" w:cstheme="majorHAnsi"/>
                              <w:i/>
                              <w:sz w:val="18"/>
                              <w:szCs w:val="18"/>
                            </w:rPr>
                          </m:ctrlPr>
                        </m:sSubPr>
                        <m:e>
                          <m:r>
                            <w:rPr>
                              <w:rFonts w:ascii="Cambria Math" w:hAnsi="Cambria Math" w:cstheme="majorHAnsi"/>
                              <w:sz w:val="18"/>
                              <w:szCs w:val="18"/>
                            </w:rPr>
                            <m:t>r</m:t>
                          </m:r>
                        </m:e>
                        <m:sub>
                          <m:r>
                            <w:rPr>
                              <w:rFonts w:ascii="Cambria Math" w:hAnsi="Cambria Math" w:cstheme="majorHAnsi"/>
                              <w:sz w:val="18"/>
                              <w:szCs w:val="18"/>
                            </w:rPr>
                            <m:t>j</m:t>
                          </m:r>
                        </m:sub>
                      </m:sSub>
                      <m:r>
                        <w:rPr>
                          <w:rFonts w:ascii="Cambria Math" w:hAnsi="Cambria Math" w:cstheme="majorHAnsi"/>
                          <w:sz w:val="18"/>
                          <w:szCs w:val="18"/>
                        </w:rPr>
                        <m:t>)</m:t>
                      </m:r>
                    </m:e>
                    <m:sup>
                      <m:r>
                        <w:rPr>
                          <w:rFonts w:ascii="Cambria Math" w:hAnsi="Cambria Math" w:cstheme="majorHAnsi"/>
                          <w:sz w:val="18"/>
                          <w:szCs w:val="18"/>
                        </w:rPr>
                        <m:t>2</m:t>
                      </m:r>
                    </m:sup>
                  </m:sSup>
                  <m:r>
                    <w:rPr>
                      <w:rFonts w:ascii="Cambria Math" w:hAnsi="Cambria Math" w:cstheme="majorHAnsi"/>
                      <w:sz w:val="18"/>
                      <w:szCs w:val="18"/>
                    </w:rPr>
                    <m:t>/2</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r>
                    <w:rPr>
                      <w:rFonts w:ascii="Cambria Math" w:hAnsi="Cambria Math" w:cstheme="majorHAnsi"/>
                      <w:sz w:val="18"/>
                      <w:szCs w:val="18"/>
                    </w:rPr>
                    <m:t>)</m:t>
                  </m:r>
                </m:sup>
              </m:sSup>
              <m:r>
                <w:rPr>
                  <w:rFonts w:ascii="Cambria Math" w:hAnsi="Cambria Math" w:cstheme="majorHAnsi"/>
                  <w:sz w:val="18"/>
                  <w:szCs w:val="18"/>
                </w:rPr>
                <m:t xml:space="preserve"> </m:t>
              </m:r>
            </m:e>
          </m:d>
          <m:r>
            <w:rPr>
              <w:rFonts w:ascii="Cambria Math" w:hAnsi="Cambria Math" w:cstheme="majorHAnsi"/>
              <w:sz w:val="18"/>
              <w:szCs w:val="18"/>
            </w:rPr>
            <m:t>* Phabitat</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PStreamOrder</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PPresence(j)</m:t>
          </m:r>
        </m:oMath>
      </m:oMathPara>
    </w:p>
    <w:p w14:paraId="27D6E1BC" w14:textId="4F254059" w:rsidR="009833DB" w:rsidRPr="002A3FE3" w:rsidRDefault="009833DB" w:rsidP="002A3FE3">
      <w:pPr>
        <w:spacing w:line="480" w:lineRule="auto"/>
        <w:ind w:firstLine="720"/>
        <w:rPr>
          <w:rFonts w:ascii="Garamond" w:eastAsia="Times New Roman" w:hAnsi="Garamond" w:cs="Times New Roman"/>
          <w:kern w:val="0"/>
          <w:sz w:val="22"/>
          <w:szCs w:val="22"/>
          <w14:ligatures w14:val="none"/>
        </w:rPr>
      </w:pPr>
      <w:r w:rsidRPr="00F75AB6">
        <w:rPr>
          <w:rFonts w:ascii="Garamond" w:hAnsi="Garamond" w:cstheme="majorHAnsi"/>
          <w:sz w:val="22"/>
          <w:szCs w:val="22"/>
        </w:rPr>
        <w:t>The probability of an individual assigning to tributary j is defined as the product of the probability of the isotope ratio in the otolith of an individual (o) given the isotope ratio in tributary j (</w:t>
      </w:r>
      <w:proofErr w:type="spellStart"/>
      <w:r w:rsidRPr="00F75AB6">
        <w:rPr>
          <w:rFonts w:ascii="Garamond" w:hAnsi="Garamond" w:cstheme="majorHAnsi"/>
          <w:sz w:val="22"/>
          <w:szCs w:val="22"/>
        </w:rPr>
        <w:t>r_j</w:t>
      </w:r>
      <w:proofErr w:type="spellEnd"/>
      <w:r w:rsidRPr="00F75AB6">
        <w:rPr>
          <w:rFonts w:ascii="Garamond" w:hAnsi="Garamond" w:cstheme="majorHAnsi"/>
          <w:sz w:val="22"/>
          <w:szCs w:val="22"/>
        </w:rPr>
        <w:t>). The probability of the isotope ratio (</w:t>
      </w:r>
      <w:proofErr w:type="spellStart"/>
      <w:r w:rsidRPr="00F75AB6">
        <w:rPr>
          <w:rFonts w:ascii="Garamond" w:hAnsi="Garamond" w:cstheme="majorHAnsi"/>
          <w:sz w:val="22"/>
          <w:szCs w:val="22"/>
        </w:rPr>
        <w:t>rj</w:t>
      </w:r>
      <w:proofErr w:type="spellEnd"/>
      <w:r w:rsidRPr="00F75AB6">
        <w:rPr>
          <w:rFonts w:ascii="Garamond" w:hAnsi="Garamond" w:cstheme="majorHAnsi"/>
          <w:sz w:val="22"/>
          <w:szCs w:val="22"/>
        </w:rPr>
        <w:t xml:space="preserve">) was assumed to be normally distributed with a mean represented by the otolith isotope ratio (o) and an error of </w:t>
      </w:r>
      <m:oMath>
        <m:sSub>
          <m:sSubPr>
            <m:ctrlPr>
              <w:rPr>
                <w:rFonts w:ascii="Cambria Math" w:hAnsi="Cambria Math" w:cstheme="majorHAnsi"/>
                <w:i/>
                <w:sz w:val="22"/>
                <w:szCs w:val="22"/>
              </w:rPr>
            </m:ctrlPr>
          </m:sSubPr>
          <m:e>
            <m:r>
              <w:rPr>
                <w:rFonts w:ascii="Cambria Math" w:hAnsi="Cambria Math" w:cstheme="majorHAnsi"/>
                <w:sz w:val="22"/>
                <w:szCs w:val="22"/>
              </w:rPr>
              <m:t>σ</m:t>
            </m:r>
          </m:e>
          <m:sub>
            <m:r>
              <w:rPr>
                <w:rFonts w:ascii="Cambria Math" w:hAnsi="Cambria Math" w:cstheme="majorHAnsi"/>
                <w:sz w:val="22"/>
                <w:szCs w:val="22"/>
              </w:rPr>
              <m:t>combined</m:t>
            </m:r>
          </m:sub>
        </m:sSub>
      </m:oMath>
      <w:r w:rsidRPr="00F75AB6">
        <w:rPr>
          <w:rFonts w:ascii="Garamond" w:hAnsi="Garamond" w:cstheme="majorHAnsi"/>
          <w:sz w:val="22"/>
          <w:szCs w:val="22"/>
        </w:rPr>
        <w:t xml:space="preserve">. </w:t>
      </w:r>
      <w:r w:rsidRPr="00F75AB6">
        <w:rPr>
          <w:rFonts w:ascii="Garamond" w:eastAsia="Times New Roman" w:hAnsi="Garamond" w:cs="Times New Roman"/>
          <w:kern w:val="0"/>
          <w:sz w:val="22"/>
          <w:szCs w:val="22"/>
          <w14:ligatures w14:val="none"/>
        </w:rPr>
        <w:t xml:space="preserve">Several priors were included to limit assignments to areas within the river basin suitable for spawning Chinook salmon. </w:t>
      </w:r>
      <w:r w:rsidRPr="00F75AB6">
        <w:rPr>
          <w:rFonts w:ascii="Garamond" w:hAnsi="Garamond"/>
          <w:sz w:val="22"/>
          <w:szCs w:val="22"/>
        </w:rPr>
        <w:t xml:space="preserve">First, a </w:t>
      </w:r>
      <w:r w:rsidRPr="00F75AB6">
        <w:rPr>
          <w:rFonts w:ascii="Garamond" w:eastAsia="Times New Roman" w:hAnsi="Garamond"/>
          <w:sz w:val="22"/>
          <w:szCs w:val="22"/>
        </w:rPr>
        <w:t>stream order prior (</w:t>
      </w:r>
      <w:proofErr w:type="spellStart"/>
      <w:r w:rsidRPr="00F75AB6">
        <w:rPr>
          <w:rFonts w:ascii="Garamond" w:eastAsia="Times New Roman" w:hAnsi="Garamond"/>
          <w:sz w:val="22"/>
          <w:szCs w:val="22"/>
        </w:rPr>
        <w:t>PStreamOrder</w:t>
      </w:r>
      <w:proofErr w:type="spellEnd"/>
      <w:r w:rsidRPr="00F75AB6">
        <w:rPr>
          <w:rFonts w:ascii="Garamond" w:eastAsia="Times New Roman" w:hAnsi="Garamond"/>
          <w:sz w:val="22"/>
          <w:szCs w:val="22"/>
        </w:rPr>
        <w:t>)</w:t>
      </w:r>
      <w:r w:rsidRPr="00F75AB6">
        <w:rPr>
          <w:rFonts w:ascii="Garamond" w:hAnsi="Garamond"/>
          <w:sz w:val="22"/>
          <w:szCs w:val="22"/>
        </w:rPr>
        <w:t xml:space="preserve"> was applied to limit assignments to </w:t>
      </w:r>
      <w:r w:rsidR="002A3FE3">
        <w:rPr>
          <w:rFonts w:ascii="Garamond" w:hAnsi="Garamond"/>
          <w:sz w:val="22"/>
          <w:szCs w:val="22"/>
        </w:rPr>
        <w:t>tributaries with a stream order of 3 or greater</w:t>
      </w:r>
      <w:proofErr w:type="gramStart"/>
      <w:r w:rsidR="002A3FE3">
        <w:rPr>
          <w:rFonts w:ascii="Garamond" w:hAnsi="Garamond"/>
          <w:sz w:val="22"/>
          <w:szCs w:val="22"/>
        </w:rPr>
        <w:t xml:space="preserve">, </w:t>
      </w:r>
      <w:r w:rsidRPr="00F75AB6">
        <w:rPr>
          <w:rFonts w:ascii="Garamond" w:hAnsi="Garamond"/>
          <w:sz w:val="22"/>
          <w:szCs w:val="22"/>
        </w:rPr>
        <w:t>,</w:t>
      </w:r>
      <w:proofErr w:type="gramEnd"/>
      <w:r w:rsidRPr="00F75AB6">
        <w:rPr>
          <w:rFonts w:ascii="Garamond" w:hAnsi="Garamond"/>
          <w:sz w:val="22"/>
          <w:szCs w:val="22"/>
        </w:rPr>
        <w:t xml:space="preserve"> reflecting Chinook Salmon’s known preference for spawning in larger streams</w:t>
      </w:r>
      <w:r w:rsidR="002A3FE3">
        <w:rPr>
          <w:rFonts w:ascii="Garamond" w:hAnsi="Garamond"/>
          <w:sz w:val="22"/>
          <w:szCs w:val="22"/>
        </w:rPr>
        <w:t xml:space="preserve"> </w:t>
      </w:r>
      <w:commentRangeStart w:id="2"/>
      <w:r w:rsidR="002A3FE3">
        <w:rPr>
          <w:rFonts w:ascii="Garamond" w:hAnsi="Garamond"/>
          <w:sz w:val="22"/>
          <w:szCs w:val="22"/>
        </w:rPr>
        <w:t>(cite)</w:t>
      </w:r>
      <w:r w:rsidRPr="00F75AB6">
        <w:rPr>
          <w:rFonts w:ascii="Garamond" w:hAnsi="Garamond"/>
          <w:sz w:val="22"/>
          <w:szCs w:val="22"/>
        </w:rPr>
        <w:t xml:space="preserve">. </w:t>
      </w:r>
      <w:commentRangeEnd w:id="2"/>
      <w:r w:rsidR="002A3FE3">
        <w:rPr>
          <w:rStyle w:val="CommentReference"/>
        </w:rPr>
        <w:commentReference w:id="2"/>
      </w:r>
      <w:r w:rsidRPr="00F75AB6">
        <w:rPr>
          <w:rFonts w:ascii="Garamond" w:hAnsi="Garamond"/>
          <w:sz w:val="22"/>
          <w:szCs w:val="22"/>
        </w:rPr>
        <w:t xml:space="preserve"> </w:t>
      </w:r>
      <w:r w:rsidR="002A3FE3">
        <w:rPr>
          <w:rFonts w:ascii="Garamond" w:hAnsi="Garamond"/>
          <w:sz w:val="22"/>
          <w:szCs w:val="22"/>
        </w:rPr>
        <w:t>R</w:t>
      </w:r>
      <w:r w:rsidRPr="00F75AB6">
        <w:rPr>
          <w:rFonts w:ascii="Garamond" w:hAnsi="Garamond"/>
          <w:sz w:val="22"/>
          <w:szCs w:val="22"/>
        </w:rPr>
        <w:t xml:space="preserve">eaches with a stream order of </w:t>
      </w:r>
      <w:r w:rsidR="002A3FE3">
        <w:rPr>
          <w:rFonts w:ascii="Garamond" w:hAnsi="Garamond"/>
          <w:sz w:val="22"/>
          <w:szCs w:val="22"/>
        </w:rPr>
        <w:t>3</w:t>
      </w:r>
      <w:r w:rsidRPr="00F75AB6">
        <w:rPr>
          <w:rFonts w:ascii="Garamond" w:hAnsi="Garamond"/>
          <w:sz w:val="22"/>
          <w:szCs w:val="22"/>
        </w:rPr>
        <w:t xml:space="preserve"> or greater were included in assignments (assigned a prior value of 1), while smaller tributaries were excluded (assigned a value of 0). </w:t>
      </w:r>
      <w:r w:rsidRPr="00F75AB6">
        <w:rPr>
          <w:rFonts w:ascii="Garamond" w:eastAsia="Times New Roman" w:hAnsi="Garamond" w:cs="Times New Roman"/>
          <w:kern w:val="0"/>
          <w:sz w:val="22"/>
          <w:szCs w:val="22"/>
          <w14:ligatures w14:val="none"/>
        </w:rPr>
        <w:t>Second, a habitat suitability prior (</w:t>
      </w:r>
      <w:proofErr w:type="spellStart"/>
      <w:r w:rsidRPr="00F75AB6">
        <w:rPr>
          <w:rFonts w:ascii="Garamond" w:eastAsia="Times New Roman" w:hAnsi="Garamond" w:cs="Times New Roman"/>
          <w:kern w:val="0"/>
          <w:sz w:val="22"/>
          <w:szCs w:val="22"/>
          <w14:ligatures w14:val="none"/>
        </w:rPr>
        <w:t>PHabitat</w:t>
      </w:r>
      <w:proofErr w:type="spellEnd"/>
      <w:r w:rsidRPr="00F75AB6">
        <w:rPr>
          <w:rFonts w:ascii="Garamond" w:eastAsia="Times New Roman" w:hAnsi="Garamond" w:cs="Times New Roman"/>
          <w:kern w:val="0"/>
          <w:sz w:val="22"/>
          <w:szCs w:val="22"/>
          <w14:ligatures w14:val="none"/>
        </w:rPr>
        <w:t xml:space="preserve">) was used to exclude regions below </w:t>
      </w:r>
      <w:r w:rsidRPr="002A3FE3">
        <w:rPr>
          <w:rFonts w:ascii="Garamond" w:eastAsia="Times New Roman" w:hAnsi="Garamond" w:cs="Times New Roman"/>
          <w:kern w:val="0"/>
          <w:sz w:val="22"/>
          <w:szCs w:val="22"/>
          <w:highlight w:val="yellow"/>
          <w14:ligatures w14:val="none"/>
        </w:rPr>
        <w:t>a threshold contributing slope value</w:t>
      </w:r>
      <w:r w:rsidRPr="00F75AB6">
        <w:rPr>
          <w:rFonts w:ascii="Garamond" w:eastAsia="Times New Roman" w:hAnsi="Garamond" w:cs="Times New Roman"/>
          <w:kern w:val="0"/>
          <w:sz w:val="22"/>
          <w:szCs w:val="22"/>
          <w14:ligatures w14:val="none"/>
        </w:rPr>
        <w:t xml:space="preserve">, thereby preventing </w:t>
      </w:r>
      <w:proofErr w:type="gramStart"/>
      <w:r w:rsidRPr="00F75AB6">
        <w:rPr>
          <w:rFonts w:ascii="Garamond" w:eastAsia="Times New Roman" w:hAnsi="Garamond" w:cs="Times New Roman"/>
          <w:kern w:val="0"/>
          <w:sz w:val="22"/>
          <w:szCs w:val="22"/>
          <w14:ligatures w14:val="none"/>
        </w:rPr>
        <w:t>assignment</w:t>
      </w:r>
      <w:proofErr w:type="gramEnd"/>
      <w:r w:rsidRPr="00F75AB6">
        <w:rPr>
          <w:rFonts w:ascii="Garamond" w:eastAsia="Times New Roman" w:hAnsi="Garamond" w:cs="Times New Roman"/>
          <w:kern w:val="0"/>
          <w:sz w:val="22"/>
          <w:szCs w:val="22"/>
          <w14:ligatures w14:val="none"/>
        </w:rPr>
        <w:t xml:space="preserve"> to exceedingly slow or flat reaches determined to be unsuitable </w:t>
      </w:r>
      <w:r w:rsidR="0088327B">
        <w:rPr>
          <w:rFonts w:ascii="Garamond" w:eastAsia="Times New Roman" w:hAnsi="Garamond" w:cs="Times New Roman"/>
          <w:kern w:val="0"/>
          <w:sz w:val="22"/>
          <w:szCs w:val="22"/>
          <w14:ligatures w14:val="none"/>
        </w:rPr>
        <w:t xml:space="preserve">for </w:t>
      </w:r>
      <w:r w:rsidRPr="00F75AB6">
        <w:rPr>
          <w:rFonts w:ascii="Garamond" w:eastAsia="Times New Roman" w:hAnsi="Garamond" w:cs="Times New Roman"/>
          <w:kern w:val="0"/>
          <w:sz w:val="22"/>
          <w:szCs w:val="22"/>
          <w14:ligatures w14:val="none"/>
        </w:rPr>
        <w:lastRenderedPageBreak/>
        <w:t>spawning Chinook</w:t>
      </w:r>
      <w:r w:rsidR="0088327B">
        <w:rPr>
          <w:rFonts w:ascii="Garamond" w:eastAsia="Times New Roman" w:hAnsi="Garamond" w:cs="Times New Roman"/>
          <w:kern w:val="0"/>
          <w:sz w:val="22"/>
          <w:szCs w:val="22"/>
          <w14:ligatures w14:val="none"/>
        </w:rPr>
        <w:t xml:space="preserve"> salmon</w:t>
      </w:r>
      <w:r w:rsidRPr="00F75AB6">
        <w:rPr>
          <w:rFonts w:ascii="Garamond" w:eastAsia="Times New Roman" w:hAnsi="Garamond" w:cs="Times New Roman"/>
          <w:kern w:val="0"/>
          <w:sz w:val="22"/>
          <w:szCs w:val="22"/>
          <w14:ligatures w14:val="none"/>
        </w:rPr>
        <w:t xml:space="preserve">. Finally, data was included on observed locations of spawning chinook presence derived from USGS Arctic-Yukon-Kuskokwim (AYK) Chinook Salmon Intrinsic potential mapping. </w:t>
      </w:r>
      <w:commentRangeStart w:id="3"/>
      <w:r w:rsidRPr="00F75AB6">
        <w:rPr>
          <w:rFonts w:ascii="Garamond" w:eastAsia="Times New Roman" w:hAnsi="Garamond" w:cs="Times New Roman"/>
          <w:kern w:val="0"/>
          <w:sz w:val="22"/>
          <w:szCs w:val="22"/>
          <w14:ligatures w14:val="none"/>
        </w:rPr>
        <w:t>This dataset synthesizes several sources of data on observed Chinook salmon spawners  to provide a binary 0 or 1 value for locations with or without observations across the dataset</w:t>
      </w:r>
      <w:r w:rsidR="0088327B">
        <w:rPr>
          <w:rFonts w:ascii="Garamond" w:eastAsia="Times New Roman" w:hAnsi="Garamond" w:cs="Times New Roman"/>
          <w:kern w:val="0"/>
          <w:sz w:val="22"/>
          <w:szCs w:val="22"/>
          <w14:ligatures w14:val="none"/>
        </w:rPr>
        <w:t xml:space="preserve"> </w:t>
      </w:r>
      <w:r w:rsidR="0088327B" w:rsidRPr="00F75AB6">
        <w:rPr>
          <w:rFonts w:ascii="Garamond" w:eastAsia="Times New Roman" w:hAnsi="Garamond" w:cs="Times New Roman"/>
          <w:kern w:val="0"/>
          <w:sz w:val="22"/>
          <w:szCs w:val="22"/>
          <w14:ligatures w14:val="none"/>
        </w:rPr>
        <w:fldChar w:fldCharType="begin"/>
      </w:r>
      <w:r w:rsidR="0088327B" w:rsidRPr="00F75AB6">
        <w:rPr>
          <w:rFonts w:ascii="Garamond" w:eastAsia="Times New Roman" w:hAnsi="Garamond" w:cs="Times New Roman"/>
          <w:kern w:val="0"/>
          <w:sz w:val="22"/>
          <w:szCs w:val="22"/>
          <w14:ligatures w14:val="none"/>
        </w:rPr>
        <w:instrText xml:space="preserve"> ADDIN ZOTERO_ITEM CSL_CITATION {"citationID":"GgqWHCm6","properties":{"formattedCitation":"(Falke &amp; Paul, 2025)","plainCitation":"(Falke &amp; Paul, 2025)","noteIndex":0},"citationItems":[{"id":5400,"uris":["http://zotero.org/users/8421274/items/GG56Y5HB"],"itemData":{"id":5400,"type":"dataset","abstract":"Chinook Salmon (Oncorhynchus tshawytscha) are an important commercial, subsistence, and recreational fishery resource in Alaska, and recent population declines have resulted in closures of some Chinook Salmon fisheries. Research into environmental factors involved in the decline of salmon stocks has exposed information gaps regarding fine-scale freshwater habitat quality known to influence Chinook Salmon productivity. We developed spatially-explicit intrinsic habitat potential models for Chinook Salmon freshwater spawning and rearing life-stages based on geomorphic stream network attributes (e.g., gradient, mean annual flow, valley bottom width). Model predictions were applied to individual stream reaches and summarized across synthetic stream networks derived from high-resolution (5-meter) digital elevation models covering the Yukon River drainage west of the US-Canada border and the entire Kuskokwim River drainage (total stream length ~667,000 km across 1.3 million km2 area). Vector spatial datasets include unique reach contributing area (uRCA) and unique reach contributing area valley bottom (uRCA VB) polygons, and confluence to confluence streamline edges derived from the NetMap synthetic streamlines product. Tabular data includes a collection of stream attributes summarized by uRCA or uRCA VB polygons, and habitat model results derived from these stream attributes. See metadata records for individual data elements for a description of input sources, software\nenvironments, data quality, processing steps, and attribute information. Approximately 87,500 and 39,500 stream km were predicted to represent moderate to high (index scores 0.6-1.0) Chinook Salmon rearing and spawning habitat suitability, respectively. Our high-resolution, spatially explicit dataset provides many options for summarizing and visualizing habitat suitability across areal units (e.g., river basins, land management boundaries) and assessing the potential for high suitability habitats outside the known distribution of Chinook Salmon at scales useful for managers and the research community.","DOI":"10.5066/P95AV4JO","license":"Creative Commons Zero v1.0 Universal","medium":"csv,xml,shp","publisher":"U.S. Geological Survey","source":"DOI.org (Datacite)","title":"Stream Attributes and Habitat Intrinsic Potential Model Results to examine Freshwater Habitat Potential for Chinook Salmon in the Yukon and Kuskokwim River Basins, Alaska","URL":"https://www.sciencebase.gov/catalog/item/64df8deed34e5f6cd553baec","author":[{"family":"Falke","given":""},{"family":"Paul","given":""}],"accessed":{"date-parts":[["2025",6,4]]},"issued":{"date-parts":[["2025"]]}}}],"schema":"https://github.com/citation-style-language/schema/raw/master/csl-citation.json"} </w:instrText>
      </w:r>
      <w:r w:rsidR="0088327B" w:rsidRPr="00F75AB6">
        <w:rPr>
          <w:rFonts w:ascii="Garamond" w:eastAsia="Times New Roman" w:hAnsi="Garamond" w:cs="Times New Roman"/>
          <w:kern w:val="0"/>
          <w:sz w:val="22"/>
          <w:szCs w:val="22"/>
          <w14:ligatures w14:val="none"/>
        </w:rPr>
        <w:fldChar w:fldCharType="separate"/>
      </w:r>
      <w:r w:rsidR="0088327B" w:rsidRPr="00F75AB6">
        <w:rPr>
          <w:rFonts w:ascii="Garamond" w:eastAsia="Times New Roman" w:hAnsi="Garamond" w:cs="Times New Roman"/>
          <w:noProof/>
          <w:kern w:val="0"/>
          <w:sz w:val="22"/>
          <w:szCs w:val="22"/>
          <w14:ligatures w14:val="none"/>
        </w:rPr>
        <w:t>(Falke &amp; Paul, 2025)</w:t>
      </w:r>
      <w:r w:rsidR="0088327B" w:rsidRPr="00F75AB6">
        <w:rPr>
          <w:rFonts w:ascii="Garamond" w:eastAsia="Times New Roman" w:hAnsi="Garamond" w:cs="Times New Roman"/>
          <w:kern w:val="0"/>
          <w:sz w:val="22"/>
          <w:szCs w:val="22"/>
          <w14:ligatures w14:val="none"/>
        </w:rPr>
        <w:fldChar w:fldCharType="end"/>
      </w:r>
      <w:r w:rsidR="0088327B">
        <w:rPr>
          <w:rFonts w:ascii="Garamond" w:eastAsia="Times New Roman" w:hAnsi="Garamond" w:cs="Times New Roman"/>
          <w:kern w:val="0"/>
          <w:sz w:val="22"/>
          <w:szCs w:val="22"/>
          <w14:ligatures w14:val="none"/>
        </w:rPr>
        <w:t xml:space="preserve">. </w:t>
      </w:r>
      <w:r w:rsidRPr="00F75AB6">
        <w:rPr>
          <w:rFonts w:ascii="Garamond" w:eastAsia="Times New Roman" w:hAnsi="Garamond" w:cs="Times New Roman"/>
          <w:kern w:val="0"/>
          <w:sz w:val="22"/>
          <w:szCs w:val="22"/>
          <w14:ligatures w14:val="none"/>
        </w:rPr>
        <w:t xml:space="preserve"> </w:t>
      </w:r>
      <w:commentRangeEnd w:id="3"/>
      <w:r w:rsidR="002A3FE3">
        <w:rPr>
          <w:rStyle w:val="CommentReference"/>
        </w:rPr>
        <w:commentReference w:id="3"/>
      </w:r>
      <w:r w:rsidRPr="00F75AB6">
        <w:rPr>
          <w:rFonts w:ascii="Garamond" w:eastAsia="Times New Roman" w:hAnsi="Garamond" w:cs="Times New Roman"/>
          <w:kern w:val="0"/>
          <w:sz w:val="22"/>
          <w:szCs w:val="22"/>
          <w14:ligatures w14:val="none"/>
        </w:rPr>
        <w:t xml:space="preserve">To avoid biasing regions without observations but with low sampling effort, this prior was only applied to </w:t>
      </w:r>
      <w:r w:rsidR="002A3FE3">
        <w:rPr>
          <w:rFonts w:ascii="Garamond" w:eastAsia="Times New Roman" w:hAnsi="Garamond" w:cs="Times New Roman"/>
          <w:kern w:val="0"/>
          <w:sz w:val="22"/>
          <w:szCs w:val="22"/>
          <w14:ligatures w14:val="none"/>
        </w:rPr>
        <w:t xml:space="preserve">the two highest stream orders in the dataset (Stream order &gt;= 6). </w:t>
      </w:r>
      <w:r w:rsidRPr="00F75AB6">
        <w:rPr>
          <w:rFonts w:ascii="Garamond" w:eastAsia="Times New Roman" w:hAnsi="Garamond" w:cs="Times New Roman"/>
          <w:kern w:val="0"/>
          <w:sz w:val="22"/>
          <w:szCs w:val="22"/>
          <w14:ligatures w14:val="none"/>
        </w:rPr>
        <w:t xml:space="preserve">From these tributaries, reaches identified in the </w:t>
      </w:r>
      <w:r w:rsidR="0088327B">
        <w:rPr>
          <w:rFonts w:ascii="Garamond" w:eastAsia="Times New Roman" w:hAnsi="Garamond" w:cs="Times New Roman"/>
          <w:kern w:val="0"/>
          <w:sz w:val="22"/>
          <w:szCs w:val="22"/>
          <w14:ligatures w14:val="none"/>
        </w:rPr>
        <w:t>intrinsic potential</w:t>
      </w:r>
      <w:r w:rsidRPr="00F75AB6">
        <w:rPr>
          <w:rFonts w:ascii="Garamond" w:eastAsia="Times New Roman" w:hAnsi="Garamond" w:cs="Times New Roman"/>
          <w:kern w:val="0"/>
          <w:sz w:val="22"/>
          <w:szCs w:val="22"/>
          <w14:ligatures w14:val="none"/>
        </w:rPr>
        <w:t xml:space="preserve"> dataset as lacking observed Chinook spawning were assigned as a value of 0. </w:t>
      </w:r>
    </w:p>
    <w:p w14:paraId="411D6ED0" w14:textId="0180B32D" w:rsidR="00B13E93" w:rsidRDefault="009F3E36" w:rsidP="00B13E93">
      <w:pPr>
        <w:spacing w:line="480" w:lineRule="auto"/>
        <w:ind w:firstLine="720"/>
        <w:rPr>
          <w:rFonts w:ascii="Garamond" w:hAnsi="Garamond"/>
          <w:sz w:val="22"/>
          <w:szCs w:val="22"/>
        </w:rPr>
      </w:pPr>
      <w:r w:rsidRPr="009F3E36">
        <w:rPr>
          <w:rFonts w:ascii="Garamond" w:hAnsi="Garamond"/>
          <w:sz w:val="22"/>
          <w:szCs w:val="22"/>
        </w:rPr>
        <w:t xml:space="preserve">Natal origin distributions were estimated by summing posterior probability values across individuals and locations, retaining only the top 30% of posterior values for </w:t>
      </w:r>
      <w:proofErr w:type="gramStart"/>
      <w:r w:rsidRPr="009F3E36">
        <w:rPr>
          <w:rFonts w:ascii="Garamond" w:hAnsi="Garamond"/>
          <w:sz w:val="22"/>
          <w:szCs w:val="22"/>
        </w:rPr>
        <w:t>each individual</w:t>
      </w:r>
      <w:proofErr w:type="gramEnd"/>
      <w:r w:rsidRPr="009F3E36">
        <w:rPr>
          <w:rFonts w:ascii="Garamond" w:hAnsi="Garamond"/>
          <w:sz w:val="22"/>
          <w:szCs w:val="22"/>
        </w:rPr>
        <w:t xml:space="preserve"> to prevent low-probability assignments from confounding spatial patterns. Estimates were produced for predefined temporal quartiles based on capture date: Q1 (run start through June 11), Q2 (June 12-21), Q3 (June 22-July 1), and Q4 (July 2 onward</w:t>
      </w:r>
      <w:proofErr w:type="gramStart"/>
      <w:r w:rsidRPr="009F3E36">
        <w:rPr>
          <w:rFonts w:ascii="Garamond" w:hAnsi="Garamond"/>
          <w:sz w:val="22"/>
          <w:szCs w:val="22"/>
        </w:rPr>
        <w:t>).</w:t>
      </w:r>
      <w:r w:rsidR="00863C27">
        <w:rPr>
          <w:rFonts w:ascii="Garamond" w:hAnsi="Garamond"/>
          <w:sz w:val="22"/>
          <w:szCs w:val="22"/>
        </w:rPr>
        <w:t>These</w:t>
      </w:r>
      <w:proofErr w:type="gramEnd"/>
      <w:r w:rsidR="00863C27">
        <w:rPr>
          <w:rFonts w:ascii="Garamond" w:hAnsi="Garamond"/>
          <w:sz w:val="22"/>
          <w:szCs w:val="22"/>
        </w:rPr>
        <w:t xml:space="preserve"> dates were chosen to roughly split the full run into </w:t>
      </w:r>
      <w:r w:rsidR="0088327B">
        <w:rPr>
          <w:rFonts w:ascii="Garamond" w:hAnsi="Garamond"/>
          <w:sz w:val="22"/>
          <w:szCs w:val="22"/>
        </w:rPr>
        <w:t>four</w:t>
      </w:r>
      <w:r w:rsidR="00863C27">
        <w:rPr>
          <w:rFonts w:ascii="Garamond" w:hAnsi="Garamond"/>
          <w:sz w:val="22"/>
          <w:szCs w:val="22"/>
        </w:rPr>
        <w:t xml:space="preserve"> </w:t>
      </w:r>
      <w:r w:rsidR="0088327B">
        <w:rPr>
          <w:rFonts w:ascii="Garamond" w:hAnsi="Garamond"/>
          <w:sz w:val="22"/>
          <w:szCs w:val="22"/>
        </w:rPr>
        <w:t xml:space="preserve">equal </w:t>
      </w:r>
      <w:r w:rsidR="00863C27">
        <w:rPr>
          <w:rFonts w:ascii="Garamond" w:hAnsi="Garamond"/>
          <w:sz w:val="22"/>
          <w:szCs w:val="22"/>
        </w:rPr>
        <w:t>quartiles</w:t>
      </w:r>
      <w:r w:rsidR="0088327B">
        <w:rPr>
          <w:rFonts w:ascii="Garamond" w:hAnsi="Garamond"/>
          <w:sz w:val="22"/>
          <w:szCs w:val="22"/>
        </w:rPr>
        <w:t xml:space="preserve"> while allowing for direct comparison among years</w:t>
      </w:r>
      <w:r w:rsidR="00863C27">
        <w:rPr>
          <w:rFonts w:ascii="Garamond" w:hAnsi="Garamond"/>
          <w:sz w:val="22"/>
          <w:szCs w:val="22"/>
        </w:rPr>
        <w:t xml:space="preserve">. </w:t>
      </w:r>
      <w:r w:rsidR="0088327B">
        <w:rPr>
          <w:rFonts w:ascii="Garamond" w:hAnsi="Garamond"/>
          <w:sz w:val="22"/>
          <w:szCs w:val="22"/>
        </w:rPr>
        <w:t xml:space="preserve">Due </w:t>
      </w:r>
      <w:r w:rsidR="00863C27">
        <w:rPr>
          <w:rFonts w:ascii="Garamond" w:hAnsi="Garamond"/>
          <w:sz w:val="22"/>
          <w:szCs w:val="22"/>
        </w:rPr>
        <w:t xml:space="preserve">to differences in the total run duration among years </w:t>
      </w:r>
      <w:r w:rsidR="0088327B">
        <w:rPr>
          <w:rFonts w:ascii="Garamond" w:hAnsi="Garamond"/>
          <w:sz w:val="22"/>
          <w:szCs w:val="22"/>
        </w:rPr>
        <w:t xml:space="preserve">the duration of the </w:t>
      </w:r>
      <w:r w:rsidR="00863C27">
        <w:rPr>
          <w:rFonts w:ascii="Garamond" w:hAnsi="Garamond"/>
          <w:sz w:val="22"/>
          <w:szCs w:val="22"/>
        </w:rPr>
        <w:t>fourth quartile bin</w:t>
      </w:r>
      <w:r w:rsidR="0088327B">
        <w:rPr>
          <w:rFonts w:ascii="Garamond" w:hAnsi="Garamond"/>
          <w:sz w:val="22"/>
          <w:szCs w:val="22"/>
        </w:rPr>
        <w:t xml:space="preserve"> varies </w:t>
      </w:r>
      <w:r w:rsidR="00863C27">
        <w:rPr>
          <w:rFonts w:ascii="Garamond" w:hAnsi="Garamond"/>
          <w:sz w:val="22"/>
          <w:szCs w:val="22"/>
        </w:rPr>
        <w:t xml:space="preserve">slightly among years. For the most part, these deviations were minimal and </w:t>
      </w:r>
      <w:r w:rsidR="0088327B">
        <w:rPr>
          <w:rFonts w:ascii="Garamond" w:hAnsi="Garamond"/>
          <w:sz w:val="22"/>
          <w:szCs w:val="22"/>
        </w:rPr>
        <w:t>included</w:t>
      </w:r>
      <w:r w:rsidR="00863C27">
        <w:rPr>
          <w:rFonts w:ascii="Garamond" w:hAnsi="Garamond"/>
          <w:sz w:val="22"/>
          <w:szCs w:val="22"/>
        </w:rPr>
        <w:t xml:space="preserve"> </w:t>
      </w:r>
      <w:r w:rsidR="0088327B">
        <w:rPr>
          <w:rFonts w:ascii="Garamond" w:hAnsi="Garamond"/>
          <w:sz w:val="22"/>
          <w:szCs w:val="22"/>
        </w:rPr>
        <w:t>a negligible</w:t>
      </w:r>
      <w:r w:rsidR="00863C27">
        <w:rPr>
          <w:rFonts w:ascii="Garamond" w:hAnsi="Garamond"/>
          <w:sz w:val="22"/>
          <w:szCs w:val="22"/>
        </w:rPr>
        <w:t xml:space="preserve"> </w:t>
      </w:r>
      <w:r w:rsidR="0088327B">
        <w:rPr>
          <w:rFonts w:ascii="Garamond" w:hAnsi="Garamond"/>
          <w:sz w:val="22"/>
          <w:szCs w:val="22"/>
        </w:rPr>
        <w:t xml:space="preserve">portion of the CPUE. Finally, estimates were produced for the full run in each year by including all four quartiles of data. </w:t>
      </w:r>
    </w:p>
    <w:p w14:paraId="1D4060B3" w14:textId="0F5F2829" w:rsidR="003442B4" w:rsidRDefault="009F3E36" w:rsidP="003442B4">
      <w:pPr>
        <w:spacing w:line="480" w:lineRule="auto"/>
        <w:ind w:firstLine="720"/>
        <w:rPr>
          <w:rFonts w:ascii="Garamond" w:hAnsi="Garamond"/>
          <w:sz w:val="22"/>
          <w:szCs w:val="22"/>
        </w:rPr>
      </w:pPr>
      <w:r w:rsidRPr="009F3E36">
        <w:rPr>
          <w:rFonts w:ascii="Garamond" w:hAnsi="Garamond"/>
          <w:sz w:val="22"/>
          <w:szCs w:val="22"/>
        </w:rPr>
        <w:t>Twenty-one management units were defined to aggregate tributary-level estimates into units relevant to current management practices (Figure 2). Management units of interest to the Alaska Department of Fish and Game were identified by</w:t>
      </w:r>
      <w:r w:rsidR="003442B4">
        <w:rPr>
          <w:rFonts w:ascii="Garamond" w:hAnsi="Garamond"/>
          <w:sz w:val="22"/>
          <w:szCs w:val="22"/>
        </w:rPr>
        <w:t xml:space="preserve"> ____</w:t>
      </w:r>
      <w:r w:rsidRPr="009F3E36">
        <w:rPr>
          <w:rFonts w:ascii="Garamond" w:hAnsi="Garamond"/>
          <w:sz w:val="22"/>
          <w:szCs w:val="22"/>
        </w:rPr>
        <w:t xml:space="preserve">], with all upstream segments from the most downstream point of each tributary assigned to common management identifiers. </w:t>
      </w:r>
      <w:proofErr w:type="gramStart"/>
      <w:r w:rsidRPr="009F3E36">
        <w:rPr>
          <w:rFonts w:ascii="Garamond" w:hAnsi="Garamond"/>
          <w:sz w:val="22"/>
          <w:szCs w:val="22"/>
        </w:rPr>
        <w:t>Remaining</w:t>
      </w:r>
      <w:proofErr w:type="gramEnd"/>
      <w:r w:rsidRPr="009F3E36">
        <w:rPr>
          <w:rFonts w:ascii="Garamond" w:hAnsi="Garamond"/>
          <w:sz w:val="22"/>
          <w:szCs w:val="22"/>
        </w:rPr>
        <w:t xml:space="preserve"> basin areas were manually grouped into units of comparable size to ensure complete basin coverage.</w:t>
      </w:r>
    </w:p>
    <w:p w14:paraId="4802BE4A" w14:textId="3946C557" w:rsidR="003442B4" w:rsidRPr="003442B4" w:rsidRDefault="003442B4" w:rsidP="003442B4">
      <w:pPr>
        <w:spacing w:line="480" w:lineRule="auto"/>
        <w:rPr>
          <w:rFonts w:ascii="Garamond" w:hAnsi="Garamond"/>
          <w:b/>
          <w:bCs/>
          <w:sz w:val="22"/>
          <w:szCs w:val="22"/>
        </w:rPr>
      </w:pPr>
      <w:r w:rsidRPr="003442B4">
        <w:rPr>
          <w:rFonts w:ascii="Garamond" w:hAnsi="Garamond"/>
          <w:b/>
          <w:bCs/>
          <w:sz w:val="22"/>
          <w:szCs w:val="22"/>
        </w:rPr>
        <w:t>Spatial and Temporal pattern</w:t>
      </w:r>
      <w:r w:rsidR="00312FC9">
        <w:rPr>
          <w:rFonts w:ascii="Garamond" w:hAnsi="Garamond"/>
          <w:b/>
          <w:bCs/>
          <w:sz w:val="22"/>
          <w:szCs w:val="22"/>
        </w:rPr>
        <w:t>s</w:t>
      </w:r>
      <w:r w:rsidRPr="003442B4">
        <w:rPr>
          <w:rFonts w:ascii="Garamond" w:hAnsi="Garamond"/>
          <w:b/>
          <w:bCs/>
          <w:sz w:val="22"/>
          <w:szCs w:val="22"/>
        </w:rPr>
        <w:t xml:space="preserve"> </w:t>
      </w:r>
    </w:p>
    <w:p w14:paraId="561F6AA5" w14:textId="010D7FF7" w:rsidR="00617B67" w:rsidRDefault="00C97C2C" w:rsidP="00312FC9">
      <w:pPr>
        <w:spacing w:line="480" w:lineRule="auto"/>
        <w:ind w:firstLine="720"/>
        <w:rPr>
          <w:rFonts w:ascii="Garamond" w:hAnsi="Garamond"/>
          <w:sz w:val="22"/>
          <w:szCs w:val="22"/>
        </w:rPr>
      </w:pPr>
      <w:r>
        <w:rPr>
          <w:rFonts w:ascii="Garamond" w:hAnsi="Garamond"/>
          <w:b/>
          <w:bCs/>
          <w:sz w:val="22"/>
          <w:szCs w:val="22"/>
        </w:rPr>
        <w:tab/>
      </w:r>
      <w:r w:rsidR="003442B4" w:rsidRPr="003442B4">
        <w:rPr>
          <w:rFonts w:ascii="Garamond" w:hAnsi="Garamond"/>
          <w:sz w:val="22"/>
          <w:szCs w:val="22"/>
        </w:rPr>
        <w:t>For each quartile, return estimates were normalized to sum to one across the watershed, displaying proportional contribution patterns independent of among-quartile abundance differences. Mean contributions across all years were calculated for each management unit and quartile</w:t>
      </w:r>
      <w:r w:rsidR="003442B4">
        <w:rPr>
          <w:rFonts w:ascii="Garamond" w:hAnsi="Garamond"/>
          <w:sz w:val="22"/>
          <w:szCs w:val="22"/>
        </w:rPr>
        <w:t xml:space="preserve"> and visualized by </w:t>
      </w:r>
      <w:r w:rsidR="003442B4">
        <w:rPr>
          <w:rFonts w:ascii="Garamond" w:hAnsi="Garamond"/>
          <w:sz w:val="22"/>
          <w:szCs w:val="22"/>
        </w:rPr>
        <w:lastRenderedPageBreak/>
        <w:t>coloring all tributaries assigned to the same unit by their relative contribution (Figure x). Corresponding b</w:t>
      </w:r>
      <w:r w:rsidR="003442B4" w:rsidRPr="003442B4">
        <w:rPr>
          <w:rFonts w:ascii="Garamond" w:hAnsi="Garamond"/>
          <w:sz w:val="22"/>
          <w:szCs w:val="22"/>
        </w:rPr>
        <w:t xml:space="preserve">oxplots </w:t>
      </w:r>
      <w:r w:rsidR="003442B4">
        <w:rPr>
          <w:rFonts w:ascii="Garamond" w:hAnsi="Garamond"/>
          <w:sz w:val="22"/>
          <w:szCs w:val="22"/>
        </w:rPr>
        <w:t xml:space="preserve">for each quartile </w:t>
      </w:r>
      <w:r w:rsidR="003442B4" w:rsidRPr="003442B4">
        <w:rPr>
          <w:rFonts w:ascii="Garamond" w:hAnsi="Garamond"/>
          <w:sz w:val="22"/>
          <w:szCs w:val="22"/>
        </w:rPr>
        <w:t>illustrat</w:t>
      </w:r>
      <w:r w:rsidR="003442B4">
        <w:rPr>
          <w:rFonts w:ascii="Garamond" w:hAnsi="Garamond"/>
          <w:sz w:val="22"/>
          <w:szCs w:val="22"/>
        </w:rPr>
        <w:t>e</w:t>
      </w:r>
      <w:r w:rsidR="003442B4" w:rsidRPr="003442B4">
        <w:rPr>
          <w:rFonts w:ascii="Garamond" w:hAnsi="Garamond"/>
          <w:sz w:val="22"/>
          <w:szCs w:val="22"/>
        </w:rPr>
        <w:t xml:space="preserve"> temporal variability in contribution patterns, ordered from upstream to downstream locations.</w:t>
      </w:r>
      <w:r w:rsidR="003442B4">
        <w:rPr>
          <w:rFonts w:ascii="Garamond" w:hAnsi="Garamond"/>
          <w:sz w:val="22"/>
          <w:szCs w:val="22"/>
        </w:rPr>
        <w:t xml:space="preserve"> </w:t>
      </w:r>
      <w:r w:rsidR="00B13E93">
        <w:rPr>
          <w:rFonts w:ascii="Garamond" w:hAnsi="Garamond"/>
          <w:sz w:val="22"/>
          <w:szCs w:val="22"/>
        </w:rPr>
        <w:t xml:space="preserve">Cumulative distribution functions were produced by </w:t>
      </w:r>
      <w:proofErr w:type="spellStart"/>
      <w:r w:rsidR="00B13E93">
        <w:rPr>
          <w:rFonts w:ascii="Garamond" w:hAnsi="Garamond"/>
          <w:sz w:val="22"/>
          <w:szCs w:val="22"/>
        </w:rPr>
        <w:t>subsetting</w:t>
      </w:r>
      <w:proofErr w:type="spellEnd"/>
      <w:r w:rsidR="00B13E93">
        <w:rPr>
          <w:rFonts w:ascii="Garamond" w:hAnsi="Garamond"/>
          <w:sz w:val="22"/>
          <w:szCs w:val="22"/>
        </w:rPr>
        <w:t xml:space="preserve"> the full dataset into every third day</w:t>
      </w:r>
      <w:r w:rsidR="009F3E36">
        <w:rPr>
          <w:rFonts w:ascii="Garamond" w:hAnsi="Garamond"/>
          <w:sz w:val="22"/>
          <w:szCs w:val="22"/>
        </w:rPr>
        <w:t xml:space="preserve">. From each subset total summed estimates of production for each tributary </w:t>
      </w:r>
      <w:proofErr w:type="gramStart"/>
      <w:r w:rsidR="009F3E36">
        <w:rPr>
          <w:rFonts w:ascii="Garamond" w:hAnsi="Garamond"/>
          <w:sz w:val="22"/>
          <w:szCs w:val="22"/>
        </w:rPr>
        <w:t>was</w:t>
      </w:r>
      <w:proofErr w:type="gramEnd"/>
      <w:r w:rsidR="009F3E36">
        <w:rPr>
          <w:rFonts w:ascii="Garamond" w:hAnsi="Garamond"/>
          <w:sz w:val="22"/>
          <w:szCs w:val="22"/>
        </w:rPr>
        <w:t xml:space="preserve"> produced and aggregated into management units. These values were then compared against the raw values for the entire dataset. </w:t>
      </w:r>
      <w:r w:rsidR="00B13E93">
        <w:rPr>
          <w:rFonts w:ascii="Garamond" w:hAnsi="Garamond"/>
          <w:sz w:val="22"/>
          <w:szCs w:val="22"/>
        </w:rPr>
        <w:t xml:space="preserve">Lines are colored in order of distance up the watershed with deeper red values displaying the furthest upstream populations and deep blue illustrating the furthest downstream populations. </w:t>
      </w:r>
      <w:r w:rsidR="003442B4" w:rsidRPr="003442B4">
        <w:rPr>
          <w:rFonts w:ascii="Garamond" w:hAnsi="Garamond"/>
          <w:sz w:val="22"/>
          <w:szCs w:val="22"/>
        </w:rPr>
        <w:t>Cumulative distribution functions were constructed using 3-day intervals throughout each run. For each interval, tributary-level production estimates were aggregated into management units and compared against full-season totals. Management units were color-coded by watershed position, with upstream populations in red transitioning to downstream populations in blue, providing a visual representation of the temporal progression of returns across the basin.</w:t>
      </w:r>
    </w:p>
    <w:p w14:paraId="153B5A2B" w14:textId="5D2C0B5F" w:rsidR="00312FC9" w:rsidRPr="003442B4" w:rsidRDefault="00312FC9" w:rsidP="00312FC9">
      <w:pPr>
        <w:spacing w:line="480" w:lineRule="auto"/>
        <w:ind w:firstLine="720"/>
        <w:rPr>
          <w:rFonts w:ascii="Garamond" w:hAnsi="Garamond"/>
          <w:sz w:val="22"/>
          <w:szCs w:val="22"/>
        </w:rPr>
      </w:pPr>
      <w:r w:rsidRPr="00312FC9">
        <w:rPr>
          <w:rFonts w:ascii="Garamond" w:hAnsi="Garamond"/>
          <w:sz w:val="22"/>
          <w:szCs w:val="22"/>
        </w:rPr>
        <w:t>To assess the protective effectiveness of front-end closure strategies on upstream stock components, we quantified the proportion of each management unit's annual production that occurs within the current closure window. We calculated the ratio of estimated returns during Q1 (run start through June 11) to the total annual returns for each management unit and year. This metric represents the fraction of each stock's production that would be protected by implementing a front-end closure, independent of that unit's overall contribution to basin-wide returns.</w:t>
      </w:r>
    </w:p>
    <w:p w14:paraId="7DFC6139" w14:textId="77777777" w:rsidR="00B50583" w:rsidRDefault="0019169F" w:rsidP="009833DB">
      <w:pPr>
        <w:spacing w:line="480" w:lineRule="auto"/>
        <w:rPr>
          <w:rFonts w:ascii="Garamond" w:hAnsi="Garamond"/>
          <w:b/>
          <w:bCs/>
          <w:sz w:val="28"/>
          <w:szCs w:val="28"/>
        </w:rPr>
      </w:pPr>
      <w:r w:rsidRPr="0019169F">
        <w:rPr>
          <w:rFonts w:ascii="Garamond" w:hAnsi="Garamond"/>
          <w:b/>
          <w:bCs/>
          <w:sz w:val="28"/>
          <w:szCs w:val="28"/>
        </w:rPr>
        <w:t>Results</w:t>
      </w:r>
    </w:p>
    <w:p w14:paraId="29D9B048" w14:textId="341753F3" w:rsidR="0019169F" w:rsidRPr="00F552CD" w:rsidRDefault="0019169F" w:rsidP="009833DB">
      <w:pPr>
        <w:spacing w:line="480" w:lineRule="auto"/>
        <w:rPr>
          <w:rFonts w:ascii="Garamond" w:hAnsi="Garamond"/>
          <w:b/>
          <w:bCs/>
          <w:sz w:val="22"/>
          <w:szCs w:val="22"/>
          <w:rPrChange w:id="4" w:author="Benjamin J. Makhlouf" w:date="2025-06-30T11:20:00Z" w16du:dateUtc="2025-06-30T18:20:00Z">
            <w:rPr>
              <w:rFonts w:ascii="Garamond" w:hAnsi="Garamond"/>
              <w:b/>
              <w:bCs/>
              <w:sz w:val="28"/>
              <w:szCs w:val="28"/>
            </w:rPr>
          </w:rPrChange>
        </w:rPr>
      </w:pPr>
      <w:proofErr w:type="spellStart"/>
      <w:r w:rsidRPr="00F552CD">
        <w:rPr>
          <w:rFonts w:ascii="Garamond" w:hAnsi="Garamond"/>
          <w:b/>
          <w:bCs/>
          <w:sz w:val="22"/>
          <w:szCs w:val="22"/>
          <w:rPrChange w:id="5" w:author="Benjamin J. Makhlouf" w:date="2025-06-30T11:20:00Z" w16du:dateUtc="2025-06-30T18:20:00Z">
            <w:rPr>
              <w:rFonts w:ascii="Garamond" w:hAnsi="Garamond"/>
              <w:b/>
              <w:bCs/>
              <w:sz w:val="28"/>
              <w:szCs w:val="28"/>
            </w:rPr>
          </w:rPrChange>
        </w:rPr>
        <w:t>Isoscape</w:t>
      </w:r>
      <w:proofErr w:type="spellEnd"/>
      <w:r w:rsidRPr="00F552CD">
        <w:rPr>
          <w:rFonts w:ascii="Garamond" w:hAnsi="Garamond"/>
          <w:b/>
          <w:bCs/>
          <w:sz w:val="22"/>
          <w:szCs w:val="22"/>
          <w:rPrChange w:id="6" w:author="Benjamin J. Makhlouf" w:date="2025-06-30T11:20:00Z" w16du:dateUtc="2025-06-30T18:20:00Z">
            <w:rPr>
              <w:rFonts w:ascii="Garamond" w:hAnsi="Garamond"/>
              <w:b/>
              <w:bCs/>
              <w:sz w:val="28"/>
              <w:szCs w:val="28"/>
            </w:rPr>
          </w:rPrChange>
        </w:rPr>
        <w:t xml:space="preserve"> variation </w:t>
      </w:r>
    </w:p>
    <w:p w14:paraId="043DEDC3" w14:textId="7A08C413" w:rsidR="00B50583" w:rsidRPr="00F552CD" w:rsidRDefault="00B50583" w:rsidP="009833DB">
      <w:pPr>
        <w:spacing w:line="480" w:lineRule="auto"/>
        <w:rPr>
          <w:rFonts w:ascii="Garamond" w:hAnsi="Garamond"/>
          <w:sz w:val="22"/>
          <w:szCs w:val="22"/>
          <w:rPrChange w:id="7" w:author="Benjamin J. Makhlouf" w:date="2025-06-30T11:20:00Z" w16du:dateUtc="2025-06-30T18:20:00Z">
            <w:rPr>
              <w:rFonts w:ascii="Garamond" w:hAnsi="Garamond"/>
              <w:sz w:val="28"/>
              <w:szCs w:val="28"/>
            </w:rPr>
          </w:rPrChange>
        </w:rPr>
      </w:pPr>
      <w:r w:rsidRPr="00F552CD">
        <w:rPr>
          <w:rFonts w:ascii="Garamond" w:hAnsi="Garamond"/>
          <w:sz w:val="22"/>
          <w:szCs w:val="22"/>
          <w:rPrChange w:id="8" w:author="Benjamin J. Makhlouf" w:date="2025-06-30T11:20:00Z" w16du:dateUtc="2025-06-30T18:20:00Z">
            <w:rPr>
              <w:rFonts w:ascii="Garamond" w:hAnsi="Garamond"/>
              <w:sz w:val="28"/>
              <w:szCs w:val="28"/>
            </w:rPr>
          </w:rPrChange>
        </w:rPr>
        <w:t xml:space="preserve">Sr87/Sr86 values in the </w:t>
      </w:r>
      <w:proofErr w:type="spellStart"/>
      <w:r w:rsidRPr="00F552CD">
        <w:rPr>
          <w:rFonts w:ascii="Garamond" w:hAnsi="Garamond"/>
          <w:sz w:val="22"/>
          <w:szCs w:val="22"/>
          <w:rPrChange w:id="9" w:author="Benjamin J. Makhlouf" w:date="2025-06-30T11:20:00Z" w16du:dateUtc="2025-06-30T18:20:00Z">
            <w:rPr>
              <w:rFonts w:ascii="Garamond" w:hAnsi="Garamond"/>
              <w:sz w:val="28"/>
              <w:szCs w:val="28"/>
            </w:rPr>
          </w:rPrChange>
        </w:rPr>
        <w:t>isoscape</w:t>
      </w:r>
      <w:proofErr w:type="spellEnd"/>
      <w:r w:rsidRPr="00F552CD">
        <w:rPr>
          <w:rFonts w:ascii="Garamond" w:hAnsi="Garamond"/>
          <w:sz w:val="22"/>
          <w:szCs w:val="22"/>
          <w:rPrChange w:id="10" w:author="Benjamin J. Makhlouf" w:date="2025-06-30T11:20:00Z" w16du:dateUtc="2025-06-30T18:20:00Z">
            <w:rPr>
              <w:rFonts w:ascii="Garamond" w:hAnsi="Garamond"/>
              <w:sz w:val="28"/>
              <w:szCs w:val="28"/>
            </w:rPr>
          </w:rPrChange>
        </w:rPr>
        <w:t xml:space="preserve"> ranged from ___ </w:t>
      </w:r>
      <w:proofErr w:type="spellStart"/>
      <w:r w:rsidRPr="00F552CD">
        <w:rPr>
          <w:rFonts w:ascii="Garamond" w:hAnsi="Garamond"/>
          <w:sz w:val="22"/>
          <w:szCs w:val="22"/>
          <w:rPrChange w:id="11" w:author="Benjamin J. Makhlouf" w:date="2025-06-30T11:20:00Z" w16du:dateUtc="2025-06-30T18:20:00Z">
            <w:rPr>
              <w:rFonts w:ascii="Garamond" w:hAnsi="Garamond"/>
              <w:sz w:val="28"/>
              <w:szCs w:val="28"/>
            </w:rPr>
          </w:rPrChange>
        </w:rPr>
        <w:t>to</w:t>
      </w:r>
      <w:proofErr w:type="spellEnd"/>
      <w:r w:rsidRPr="00F552CD">
        <w:rPr>
          <w:rFonts w:ascii="Garamond" w:hAnsi="Garamond"/>
          <w:sz w:val="22"/>
          <w:szCs w:val="22"/>
          <w:rPrChange w:id="12" w:author="Benjamin J. Makhlouf" w:date="2025-06-30T11:20:00Z" w16du:dateUtc="2025-06-30T18:20:00Z">
            <w:rPr>
              <w:rFonts w:ascii="Garamond" w:hAnsi="Garamond"/>
              <w:sz w:val="28"/>
              <w:szCs w:val="28"/>
            </w:rPr>
          </w:rPrChange>
        </w:rPr>
        <w:t xml:space="preserve"> ___, with relatively enriched values in the upper reaches of the watershed and progressively lower values towards the downstream terminus. </w:t>
      </w:r>
      <w:proofErr w:type="spellStart"/>
      <w:r w:rsidRPr="00F552CD">
        <w:rPr>
          <w:rFonts w:ascii="Garamond" w:hAnsi="Garamond"/>
          <w:sz w:val="22"/>
          <w:szCs w:val="22"/>
          <w:rPrChange w:id="13" w:author="Benjamin J. Makhlouf" w:date="2025-06-30T11:20:00Z" w16du:dateUtc="2025-06-30T18:20:00Z">
            <w:rPr>
              <w:rFonts w:ascii="Garamond" w:hAnsi="Garamond"/>
              <w:sz w:val="28"/>
              <w:szCs w:val="28"/>
            </w:rPr>
          </w:rPrChange>
        </w:rPr>
        <w:t>Isoscape</w:t>
      </w:r>
      <w:proofErr w:type="spellEnd"/>
      <w:r w:rsidRPr="00F552CD">
        <w:rPr>
          <w:rFonts w:ascii="Garamond" w:hAnsi="Garamond"/>
          <w:sz w:val="22"/>
          <w:szCs w:val="22"/>
          <w:rPrChange w:id="14" w:author="Benjamin J. Makhlouf" w:date="2025-06-30T11:20:00Z" w16du:dateUtc="2025-06-30T18:20:00Z">
            <w:rPr>
              <w:rFonts w:ascii="Garamond" w:hAnsi="Garamond"/>
              <w:sz w:val="28"/>
              <w:szCs w:val="28"/>
            </w:rPr>
          </w:rPrChange>
        </w:rPr>
        <w:t xml:space="preserve"> </w:t>
      </w:r>
      <w:proofErr w:type="gramStart"/>
      <w:r w:rsidRPr="00F552CD">
        <w:rPr>
          <w:rFonts w:ascii="Garamond" w:hAnsi="Garamond"/>
          <w:sz w:val="22"/>
          <w:szCs w:val="22"/>
          <w:rPrChange w:id="15" w:author="Benjamin J. Makhlouf" w:date="2025-06-30T11:20:00Z" w16du:dateUtc="2025-06-30T18:20:00Z">
            <w:rPr>
              <w:rFonts w:ascii="Garamond" w:hAnsi="Garamond"/>
              <w:sz w:val="28"/>
              <w:szCs w:val="28"/>
            </w:rPr>
          </w:rPrChange>
        </w:rPr>
        <w:t>error</w:t>
      </w:r>
      <w:proofErr w:type="gramEnd"/>
      <w:r w:rsidRPr="00F552CD">
        <w:rPr>
          <w:rFonts w:ascii="Garamond" w:hAnsi="Garamond"/>
          <w:sz w:val="22"/>
          <w:szCs w:val="22"/>
          <w:rPrChange w:id="16" w:author="Benjamin J. Makhlouf" w:date="2025-06-30T11:20:00Z" w16du:dateUtc="2025-06-30T18:20:00Z">
            <w:rPr>
              <w:rFonts w:ascii="Garamond" w:hAnsi="Garamond"/>
              <w:sz w:val="28"/>
              <w:szCs w:val="28"/>
            </w:rPr>
          </w:rPrChange>
        </w:rPr>
        <w:t xml:space="preserve"> varied from ____ to ___</w:t>
      </w:r>
      <w:proofErr w:type="gramStart"/>
      <w:r w:rsidRPr="00F552CD">
        <w:rPr>
          <w:rFonts w:ascii="Garamond" w:hAnsi="Garamond"/>
          <w:sz w:val="22"/>
          <w:szCs w:val="22"/>
          <w:rPrChange w:id="17" w:author="Benjamin J. Makhlouf" w:date="2025-06-30T11:20:00Z" w16du:dateUtc="2025-06-30T18:20:00Z">
            <w:rPr>
              <w:rFonts w:ascii="Garamond" w:hAnsi="Garamond"/>
              <w:sz w:val="28"/>
              <w:szCs w:val="28"/>
            </w:rPr>
          </w:rPrChange>
        </w:rPr>
        <w:t>_ .</w:t>
      </w:r>
      <w:proofErr w:type="gramEnd"/>
      <w:r w:rsidRPr="00F552CD">
        <w:rPr>
          <w:rFonts w:ascii="Garamond" w:hAnsi="Garamond"/>
          <w:sz w:val="22"/>
          <w:szCs w:val="22"/>
          <w:rPrChange w:id="18" w:author="Benjamin J. Makhlouf" w:date="2025-06-30T11:20:00Z" w16du:dateUtc="2025-06-30T18:20:00Z">
            <w:rPr>
              <w:rFonts w:ascii="Garamond" w:hAnsi="Garamond"/>
              <w:sz w:val="28"/>
              <w:szCs w:val="28"/>
            </w:rPr>
          </w:rPrChange>
        </w:rPr>
        <w:t xml:space="preserve"> etc. etc. </w:t>
      </w:r>
      <w:r w:rsidRPr="00F552CD">
        <w:rPr>
          <w:rFonts w:ascii="Garamond" w:hAnsi="Garamond"/>
          <w:sz w:val="22"/>
          <w:szCs w:val="22"/>
          <w:rPrChange w:id="19" w:author="Benjamin J. Makhlouf" w:date="2025-06-30T11:20:00Z" w16du:dateUtc="2025-06-30T18:20:00Z">
            <w:rPr>
              <w:rFonts w:ascii="Garamond" w:hAnsi="Garamond"/>
              <w:sz w:val="28"/>
              <w:szCs w:val="28"/>
            </w:rPr>
          </w:rPrChange>
        </w:rPr>
        <w:br/>
      </w:r>
    </w:p>
    <w:p w14:paraId="3727F793" w14:textId="047A3790" w:rsidR="00B50583" w:rsidRPr="00F552CD" w:rsidRDefault="00B50583" w:rsidP="009833DB">
      <w:pPr>
        <w:spacing w:line="480" w:lineRule="auto"/>
        <w:rPr>
          <w:rFonts w:ascii="Garamond" w:hAnsi="Garamond"/>
          <w:sz w:val="22"/>
          <w:szCs w:val="22"/>
          <w:rPrChange w:id="20" w:author="Benjamin J. Makhlouf" w:date="2025-06-30T11:20:00Z" w16du:dateUtc="2025-06-30T18:20:00Z">
            <w:rPr>
              <w:rFonts w:ascii="Garamond" w:hAnsi="Garamond"/>
              <w:sz w:val="28"/>
              <w:szCs w:val="28"/>
            </w:rPr>
          </w:rPrChange>
        </w:rPr>
      </w:pPr>
      <w:r w:rsidRPr="00F552CD">
        <w:rPr>
          <w:rFonts w:ascii="Garamond" w:hAnsi="Garamond"/>
          <w:sz w:val="22"/>
          <w:szCs w:val="22"/>
          <w:rPrChange w:id="21" w:author="Benjamin J. Makhlouf" w:date="2025-06-30T11:20:00Z" w16du:dateUtc="2025-06-30T18:20:00Z">
            <w:rPr>
              <w:rFonts w:ascii="Garamond" w:hAnsi="Garamond"/>
              <w:sz w:val="28"/>
              <w:szCs w:val="28"/>
            </w:rPr>
          </w:rPrChange>
        </w:rPr>
        <w:lastRenderedPageBreak/>
        <w:t>Spatiotemporal trends</w:t>
      </w:r>
    </w:p>
    <w:p w14:paraId="6C633395" w14:textId="2CCCE40D" w:rsidR="00967DC4" w:rsidRPr="00F552CD" w:rsidRDefault="00967DC4" w:rsidP="00967DC4">
      <w:pPr>
        <w:pStyle w:val="ListParagraph"/>
        <w:numPr>
          <w:ilvl w:val="0"/>
          <w:numId w:val="2"/>
        </w:numPr>
        <w:spacing w:line="480" w:lineRule="auto"/>
        <w:rPr>
          <w:rFonts w:ascii="Garamond" w:hAnsi="Garamond"/>
          <w:sz w:val="22"/>
          <w:szCs w:val="22"/>
          <w:rPrChange w:id="22" w:author="Benjamin J. Makhlouf" w:date="2025-06-30T11:20:00Z" w16du:dateUtc="2025-06-30T18:20:00Z">
            <w:rPr>
              <w:rFonts w:ascii="Garamond" w:hAnsi="Garamond"/>
              <w:sz w:val="28"/>
              <w:szCs w:val="28"/>
            </w:rPr>
          </w:rPrChange>
        </w:rPr>
      </w:pPr>
      <w:r w:rsidRPr="00F552CD">
        <w:rPr>
          <w:rFonts w:ascii="Garamond" w:hAnsi="Garamond"/>
          <w:sz w:val="22"/>
          <w:szCs w:val="22"/>
          <w:rPrChange w:id="23" w:author="Benjamin J. Makhlouf" w:date="2025-06-30T11:20:00Z" w16du:dateUtc="2025-06-30T18:20:00Z">
            <w:rPr>
              <w:rFonts w:ascii="Garamond" w:hAnsi="Garamond"/>
              <w:sz w:val="28"/>
              <w:szCs w:val="28"/>
            </w:rPr>
          </w:rPrChange>
        </w:rPr>
        <w:t>Q1 high production in __</w:t>
      </w:r>
      <w:proofErr w:type="gramStart"/>
      <w:r w:rsidRPr="00F552CD">
        <w:rPr>
          <w:rFonts w:ascii="Garamond" w:hAnsi="Garamond"/>
          <w:sz w:val="22"/>
          <w:szCs w:val="22"/>
          <w:rPrChange w:id="24" w:author="Benjamin J. Makhlouf" w:date="2025-06-30T11:20:00Z" w16du:dateUtc="2025-06-30T18:20:00Z">
            <w:rPr>
              <w:rFonts w:ascii="Garamond" w:hAnsi="Garamond"/>
              <w:sz w:val="28"/>
              <w:szCs w:val="28"/>
            </w:rPr>
          </w:rPrChange>
        </w:rPr>
        <w:t>_ ,</w:t>
      </w:r>
      <w:proofErr w:type="gramEnd"/>
      <w:r w:rsidRPr="00F552CD">
        <w:rPr>
          <w:rFonts w:ascii="Garamond" w:hAnsi="Garamond"/>
          <w:sz w:val="22"/>
          <w:szCs w:val="22"/>
          <w:rPrChange w:id="25" w:author="Benjamin J. Makhlouf" w:date="2025-06-30T11:20:00Z" w16du:dateUtc="2025-06-30T18:20:00Z">
            <w:rPr>
              <w:rFonts w:ascii="Garamond" w:hAnsi="Garamond"/>
              <w:sz w:val="28"/>
              <w:szCs w:val="28"/>
            </w:rPr>
          </w:rPrChange>
        </w:rPr>
        <w:t xml:space="preserve"> ___, and ___. </w:t>
      </w:r>
    </w:p>
    <w:p w14:paraId="441EB1AD" w14:textId="77777777" w:rsidR="00B50583" w:rsidRDefault="00B50583" w:rsidP="009833DB">
      <w:pPr>
        <w:spacing w:line="480" w:lineRule="auto"/>
        <w:rPr>
          <w:rFonts w:ascii="Garamond" w:hAnsi="Garamond"/>
          <w:sz w:val="28"/>
          <w:szCs w:val="28"/>
        </w:rPr>
      </w:pPr>
    </w:p>
    <w:p w14:paraId="0D086A22" w14:textId="77777777" w:rsidR="00B50583" w:rsidRDefault="00B50583" w:rsidP="009833DB">
      <w:pPr>
        <w:spacing w:line="480" w:lineRule="auto"/>
        <w:rPr>
          <w:rFonts w:ascii="Garamond" w:hAnsi="Garamond"/>
          <w:sz w:val="28"/>
          <w:szCs w:val="28"/>
        </w:rPr>
      </w:pPr>
    </w:p>
    <w:p w14:paraId="470C7BBF" w14:textId="19EF5123" w:rsidR="00B50583" w:rsidRPr="00B50583" w:rsidRDefault="00B50583" w:rsidP="009833DB">
      <w:pPr>
        <w:spacing w:line="480" w:lineRule="auto"/>
        <w:rPr>
          <w:rFonts w:ascii="Garamond" w:hAnsi="Garamond"/>
          <w:sz w:val="28"/>
          <w:szCs w:val="28"/>
        </w:rPr>
      </w:pPr>
      <w:r>
        <w:rPr>
          <w:rFonts w:ascii="Garamond" w:hAnsi="Garamond"/>
          <w:sz w:val="28"/>
          <w:szCs w:val="28"/>
        </w:rPr>
        <w:t xml:space="preserve"> </w:t>
      </w:r>
    </w:p>
    <w:p w14:paraId="549CB29E" w14:textId="2D1B0109" w:rsidR="0019169F" w:rsidRPr="0019169F" w:rsidRDefault="00B50583" w:rsidP="00B50583">
      <w:pPr>
        <w:tabs>
          <w:tab w:val="left" w:pos="6199"/>
        </w:tabs>
        <w:spacing w:line="480" w:lineRule="auto"/>
        <w:rPr>
          <w:rFonts w:ascii="Garamond" w:hAnsi="Garamond"/>
          <w:b/>
          <w:bCs/>
          <w:sz w:val="28"/>
          <w:szCs w:val="28"/>
        </w:rPr>
      </w:pPr>
      <w:r>
        <w:rPr>
          <w:rFonts w:ascii="Garamond" w:hAnsi="Garamond"/>
          <w:b/>
          <w:bCs/>
          <w:sz w:val="28"/>
          <w:szCs w:val="28"/>
        </w:rPr>
        <w:tab/>
      </w:r>
    </w:p>
    <w:p w14:paraId="23686816" w14:textId="77777777" w:rsidR="009833DB" w:rsidRDefault="009833DB" w:rsidP="00EF5ED9">
      <w:pPr>
        <w:spacing w:line="480" w:lineRule="auto"/>
        <w:ind w:firstLine="720"/>
        <w:rPr>
          <w:rFonts w:ascii="Garamond" w:hAnsi="Garamond"/>
          <w:sz w:val="22"/>
          <w:szCs w:val="22"/>
        </w:rPr>
      </w:pPr>
    </w:p>
    <w:p w14:paraId="193DCBEE" w14:textId="77777777" w:rsidR="009833DB" w:rsidRPr="00617050" w:rsidRDefault="009833DB" w:rsidP="00EF5ED9">
      <w:pPr>
        <w:spacing w:line="480" w:lineRule="auto"/>
        <w:ind w:firstLine="720"/>
        <w:rPr>
          <w:rFonts w:ascii="Garamond" w:hAnsi="Garamond"/>
          <w:sz w:val="22"/>
          <w:szCs w:val="22"/>
        </w:rPr>
      </w:pPr>
    </w:p>
    <w:sectPr w:rsidR="009833DB" w:rsidRPr="00617050" w:rsidSect="004712C9">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 Schindler" w:date="2025-06-27T11:54:00Z" w:initials="DS">
    <w:p w14:paraId="75633029" w14:textId="77777777" w:rsidR="00F552CD" w:rsidRDefault="00F552CD" w:rsidP="00F552CD">
      <w:pPr>
        <w:pStyle w:val="CommentText"/>
      </w:pPr>
      <w:r>
        <w:rPr>
          <w:rStyle w:val="CommentReference"/>
        </w:rPr>
        <w:annotationRef/>
      </w:r>
      <w:r>
        <w:t>We should try to track down that ADF&amp;G tech report that described their telemetry results. Jordan Head was a co-author. Zach Liller would have been as well, I think.</w:t>
      </w:r>
    </w:p>
  </w:comment>
  <w:comment w:id="1" w:author="Benjamin J. Makhlouf" w:date="2025-06-27T17:34:00Z" w:initials="BM">
    <w:p w14:paraId="57D69624" w14:textId="77777777" w:rsidR="002A3FE3" w:rsidRDefault="002A3FE3" w:rsidP="002A3FE3">
      <w:pPr>
        <w:pStyle w:val="CommentText"/>
      </w:pPr>
      <w:r>
        <w:rPr>
          <w:rStyle w:val="CommentReference"/>
        </w:rPr>
        <w:annotationRef/>
      </w:r>
      <w:r>
        <w:t xml:space="preserve">Do you think these all need to be defined? </w:t>
      </w:r>
    </w:p>
  </w:comment>
  <w:comment w:id="2" w:author="Benjamin J. Makhlouf" w:date="2025-06-27T17:37:00Z" w:initials="BM">
    <w:p w14:paraId="5F979FDB" w14:textId="77777777" w:rsidR="002A3FE3" w:rsidRDefault="002A3FE3" w:rsidP="002A3FE3">
      <w:pPr>
        <w:pStyle w:val="CommentText"/>
      </w:pPr>
      <w:r>
        <w:rPr>
          <w:rStyle w:val="CommentReference"/>
        </w:rPr>
        <w:annotationRef/>
      </w:r>
      <w:r>
        <w:t xml:space="preserve">Quinn paper? </w:t>
      </w:r>
    </w:p>
  </w:comment>
  <w:comment w:id="3" w:author="Benjamin J. Makhlouf" w:date="2025-06-27T17:39:00Z" w:initials="BM">
    <w:p w14:paraId="22BD8311" w14:textId="77777777" w:rsidR="002A3FE3" w:rsidRDefault="002A3FE3" w:rsidP="002A3FE3">
      <w:pPr>
        <w:pStyle w:val="CommentText"/>
      </w:pPr>
      <w:r>
        <w:rPr>
          <w:rStyle w:val="CommentReference"/>
        </w:rPr>
        <w:annotationRef/>
      </w:r>
      <w:r>
        <w:t xml:space="preserve">Add more detail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633029" w15:done="0"/>
  <w15:commentEx w15:paraId="57D69624" w15:done="0"/>
  <w15:commentEx w15:paraId="5F979FDB" w15:done="0"/>
  <w15:commentEx w15:paraId="22BD83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B9BEA6" w16cex:dateUtc="2025-06-27T19:54:00Z"/>
  <w16cex:commentExtensible w16cex:durableId="58735DA5" w16cex:dateUtc="2025-06-28T00:34:00Z"/>
  <w16cex:commentExtensible w16cex:durableId="2B7C7B73" w16cex:dateUtc="2025-06-28T00:37:00Z"/>
  <w16cex:commentExtensible w16cex:durableId="550C5D78" w16cex:dateUtc="2025-06-28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633029" w16cid:durableId="08B9BEA6"/>
  <w16cid:commentId w16cid:paraId="57D69624" w16cid:durableId="58735DA5"/>
  <w16cid:commentId w16cid:paraId="5F979FDB" w16cid:durableId="2B7C7B73"/>
  <w16cid:commentId w16cid:paraId="22BD8311" w16cid:durableId="550C5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2116A" w14:textId="77777777" w:rsidR="007F4A77" w:rsidRDefault="007F4A77">
      <w:pPr>
        <w:spacing w:after="0" w:line="240" w:lineRule="auto"/>
      </w:pPr>
      <w:r>
        <w:separator/>
      </w:r>
    </w:p>
  </w:endnote>
  <w:endnote w:type="continuationSeparator" w:id="0">
    <w:p w14:paraId="33D652C0" w14:textId="77777777" w:rsidR="007F4A77" w:rsidRDefault="007F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1923762"/>
      <w:docPartObj>
        <w:docPartGallery w:val="Page Numbers (Bottom of Page)"/>
        <w:docPartUnique/>
      </w:docPartObj>
    </w:sdtPr>
    <w:sdtContent>
      <w:p w14:paraId="0C958265" w14:textId="77777777" w:rsidR="007C2267" w:rsidRDefault="00000000"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EB824FF" w14:textId="77777777" w:rsidR="007C2267" w:rsidRDefault="007C2267" w:rsidP="005C36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0426579"/>
      <w:docPartObj>
        <w:docPartGallery w:val="Page Numbers (Bottom of Page)"/>
        <w:docPartUnique/>
      </w:docPartObj>
    </w:sdtPr>
    <w:sdtContent>
      <w:p w14:paraId="3FD4FB3E" w14:textId="77777777" w:rsidR="007C2267" w:rsidRDefault="00000000"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B73CCF" w14:textId="77777777" w:rsidR="007C2267" w:rsidRDefault="007C2267" w:rsidP="005C36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7AF8F" w14:textId="77777777" w:rsidR="007F4A77" w:rsidRDefault="007F4A77">
      <w:pPr>
        <w:spacing w:after="0" w:line="240" w:lineRule="auto"/>
      </w:pPr>
      <w:r>
        <w:separator/>
      </w:r>
    </w:p>
  </w:footnote>
  <w:footnote w:type="continuationSeparator" w:id="0">
    <w:p w14:paraId="4BDEB092" w14:textId="77777777" w:rsidR="007F4A77" w:rsidRDefault="007F4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94DD3"/>
    <w:multiLevelType w:val="hybridMultilevel"/>
    <w:tmpl w:val="C694996A"/>
    <w:lvl w:ilvl="0" w:tplc="72709C6E">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1"/>
  </w:num>
  <w:num w:numId="2" w16cid:durableId="13537275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Schindler">
    <w15:presenceInfo w15:providerId="AD" w15:userId="S::deschind@uw.edu::638f7977-a89c-40df-b85e-dc804ddb30d9"/>
  </w15:person>
  <w15:person w15:author="Benjamin J. Makhlouf">
    <w15:presenceInfo w15:providerId="AD" w15:userId="S::bmak29@uw.edu::e2d819b1-db99-41fc-888c-ad60b4d561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85380"/>
    <w:rsid w:val="000941AF"/>
    <w:rsid w:val="000979CB"/>
    <w:rsid w:val="000B5639"/>
    <w:rsid w:val="000C384D"/>
    <w:rsid w:val="00103582"/>
    <w:rsid w:val="00120202"/>
    <w:rsid w:val="00131432"/>
    <w:rsid w:val="00162958"/>
    <w:rsid w:val="001844EB"/>
    <w:rsid w:val="0019169F"/>
    <w:rsid w:val="00206F6C"/>
    <w:rsid w:val="002323C1"/>
    <w:rsid w:val="002A3FE3"/>
    <w:rsid w:val="002C21B7"/>
    <w:rsid w:val="00312FC9"/>
    <w:rsid w:val="003442B4"/>
    <w:rsid w:val="003508BF"/>
    <w:rsid w:val="003642FE"/>
    <w:rsid w:val="00374558"/>
    <w:rsid w:val="0039598A"/>
    <w:rsid w:val="003A58F7"/>
    <w:rsid w:val="003B0A46"/>
    <w:rsid w:val="003D0402"/>
    <w:rsid w:val="004025DD"/>
    <w:rsid w:val="00416B2E"/>
    <w:rsid w:val="004261EE"/>
    <w:rsid w:val="00464971"/>
    <w:rsid w:val="004712C9"/>
    <w:rsid w:val="00481088"/>
    <w:rsid w:val="004A072A"/>
    <w:rsid w:val="004F04C2"/>
    <w:rsid w:val="00530411"/>
    <w:rsid w:val="00537343"/>
    <w:rsid w:val="005416E6"/>
    <w:rsid w:val="005805EB"/>
    <w:rsid w:val="005F3448"/>
    <w:rsid w:val="00617B67"/>
    <w:rsid w:val="00631AAA"/>
    <w:rsid w:val="0063694A"/>
    <w:rsid w:val="006617C0"/>
    <w:rsid w:val="00682611"/>
    <w:rsid w:val="006B418B"/>
    <w:rsid w:val="007266BC"/>
    <w:rsid w:val="007561E4"/>
    <w:rsid w:val="0076034D"/>
    <w:rsid w:val="00780305"/>
    <w:rsid w:val="007C2267"/>
    <w:rsid w:val="007F4A77"/>
    <w:rsid w:val="00807290"/>
    <w:rsid w:val="00811477"/>
    <w:rsid w:val="00856168"/>
    <w:rsid w:val="00863C27"/>
    <w:rsid w:val="0088327B"/>
    <w:rsid w:val="008872F5"/>
    <w:rsid w:val="008C378F"/>
    <w:rsid w:val="00907410"/>
    <w:rsid w:val="009076B8"/>
    <w:rsid w:val="00967DC4"/>
    <w:rsid w:val="009833DB"/>
    <w:rsid w:val="00986BAC"/>
    <w:rsid w:val="009C308C"/>
    <w:rsid w:val="009D66DA"/>
    <w:rsid w:val="009F3E36"/>
    <w:rsid w:val="00A06CC6"/>
    <w:rsid w:val="00A13EDE"/>
    <w:rsid w:val="00A44879"/>
    <w:rsid w:val="00A4712A"/>
    <w:rsid w:val="00B13E93"/>
    <w:rsid w:val="00B30111"/>
    <w:rsid w:val="00B50583"/>
    <w:rsid w:val="00B74D8D"/>
    <w:rsid w:val="00BB27C2"/>
    <w:rsid w:val="00C31CB4"/>
    <w:rsid w:val="00C32D99"/>
    <w:rsid w:val="00C9741A"/>
    <w:rsid w:val="00C97C2C"/>
    <w:rsid w:val="00CA262D"/>
    <w:rsid w:val="00CA7EEC"/>
    <w:rsid w:val="00CF45A1"/>
    <w:rsid w:val="00DA7E79"/>
    <w:rsid w:val="00E212FE"/>
    <w:rsid w:val="00E454BB"/>
    <w:rsid w:val="00E94ABC"/>
    <w:rsid w:val="00EB2EDF"/>
    <w:rsid w:val="00EE55A4"/>
    <w:rsid w:val="00EF5ED9"/>
    <w:rsid w:val="00F06D5A"/>
    <w:rsid w:val="00F51DB9"/>
    <w:rsid w:val="00F552CD"/>
    <w:rsid w:val="00FC42A0"/>
    <w:rsid w:val="00FD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C9"/>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4712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12C9"/>
    <w:rPr>
      <w:b/>
      <w:bCs/>
    </w:rPr>
  </w:style>
  <w:style w:type="character" w:customStyle="1" w:styleId="katex-mathml">
    <w:name w:val="katex-mathml"/>
    <w:basedOn w:val="DefaultParagraphFont"/>
    <w:rsid w:val="004712C9"/>
  </w:style>
  <w:style w:type="character" w:customStyle="1" w:styleId="mord">
    <w:name w:val="mord"/>
    <w:basedOn w:val="DefaultParagraphFont"/>
    <w:rsid w:val="004712C9"/>
  </w:style>
  <w:style w:type="paragraph" w:styleId="Bibliography">
    <w:name w:val="Bibliography"/>
    <w:basedOn w:val="Normal"/>
    <w:next w:val="Normal"/>
    <w:uiPriority w:val="37"/>
    <w:unhideWhenUsed/>
    <w:rsid w:val="004712C9"/>
    <w:pPr>
      <w:spacing w:after="0" w:line="480" w:lineRule="auto"/>
      <w:ind w:left="720" w:hanging="720"/>
    </w:pPr>
  </w:style>
  <w:style w:type="paragraph" w:styleId="Footer">
    <w:name w:val="footer"/>
    <w:basedOn w:val="Normal"/>
    <w:link w:val="FooterChar"/>
    <w:uiPriority w:val="99"/>
    <w:unhideWhenUsed/>
    <w:rsid w:val="0047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2C9"/>
  </w:style>
  <w:style w:type="character" w:styleId="PageNumber">
    <w:name w:val="page number"/>
    <w:basedOn w:val="DefaultParagraphFont"/>
    <w:uiPriority w:val="99"/>
    <w:semiHidden/>
    <w:unhideWhenUsed/>
    <w:rsid w:val="004712C9"/>
  </w:style>
  <w:style w:type="character" w:styleId="LineNumber">
    <w:name w:val="line number"/>
    <w:basedOn w:val="DefaultParagraphFont"/>
    <w:uiPriority w:val="99"/>
    <w:semiHidden/>
    <w:unhideWhenUsed/>
    <w:rsid w:val="004712C9"/>
  </w:style>
  <w:style w:type="character" w:styleId="CommentReference">
    <w:name w:val="annotation reference"/>
    <w:basedOn w:val="DefaultParagraphFont"/>
    <w:uiPriority w:val="99"/>
    <w:semiHidden/>
    <w:unhideWhenUsed/>
    <w:rsid w:val="002A3FE3"/>
    <w:rPr>
      <w:sz w:val="16"/>
      <w:szCs w:val="16"/>
    </w:rPr>
  </w:style>
  <w:style w:type="paragraph" w:styleId="CommentText">
    <w:name w:val="annotation text"/>
    <w:basedOn w:val="Normal"/>
    <w:link w:val="CommentTextChar"/>
    <w:uiPriority w:val="99"/>
    <w:unhideWhenUsed/>
    <w:rsid w:val="002A3FE3"/>
    <w:pPr>
      <w:spacing w:line="240" w:lineRule="auto"/>
    </w:pPr>
    <w:rPr>
      <w:sz w:val="20"/>
      <w:szCs w:val="20"/>
    </w:rPr>
  </w:style>
  <w:style w:type="character" w:customStyle="1" w:styleId="CommentTextChar">
    <w:name w:val="Comment Text Char"/>
    <w:basedOn w:val="DefaultParagraphFont"/>
    <w:link w:val="CommentText"/>
    <w:uiPriority w:val="99"/>
    <w:rsid w:val="002A3FE3"/>
    <w:rPr>
      <w:sz w:val="20"/>
      <w:szCs w:val="20"/>
    </w:rPr>
  </w:style>
  <w:style w:type="paragraph" w:styleId="CommentSubject">
    <w:name w:val="annotation subject"/>
    <w:basedOn w:val="CommentText"/>
    <w:next w:val="CommentText"/>
    <w:link w:val="CommentSubjectChar"/>
    <w:uiPriority w:val="99"/>
    <w:semiHidden/>
    <w:unhideWhenUsed/>
    <w:rsid w:val="002A3FE3"/>
    <w:rPr>
      <w:b/>
      <w:bCs/>
    </w:rPr>
  </w:style>
  <w:style w:type="character" w:customStyle="1" w:styleId="CommentSubjectChar">
    <w:name w:val="Comment Subject Char"/>
    <w:basedOn w:val="CommentTextChar"/>
    <w:link w:val="CommentSubject"/>
    <w:uiPriority w:val="99"/>
    <w:semiHidden/>
    <w:rsid w:val="002A3FE3"/>
    <w:rPr>
      <w:b/>
      <w:bCs/>
      <w:sz w:val="20"/>
      <w:szCs w:val="20"/>
    </w:rPr>
  </w:style>
  <w:style w:type="paragraph" w:styleId="Revision">
    <w:name w:val="Revision"/>
    <w:hidden/>
    <w:uiPriority w:val="99"/>
    <w:semiHidden/>
    <w:rsid w:val="00F552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2156</TotalTime>
  <Pages>8</Pages>
  <Words>14582</Words>
  <Characters>83119</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Makhlouf</dc:creator>
  <cp:keywords/>
  <dc:description/>
  <cp:lastModifiedBy>Benjamin J. Makhlouf</cp:lastModifiedBy>
  <cp:revision>12</cp:revision>
  <dcterms:created xsi:type="dcterms:W3CDTF">2025-05-22T16:24:00Z</dcterms:created>
  <dcterms:modified xsi:type="dcterms:W3CDTF">2025-07-02T02:53:00Z</dcterms:modified>
</cp:coreProperties>
</file>