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B498B" w14:textId="707744C3" w:rsidR="005A0F4E" w:rsidRDefault="00DA52E2" w:rsidP="00F621F7">
      <w:pPr>
        <w:suppressLineNumbers/>
        <w:jc w:val="center"/>
        <w:rPr>
          <w:rFonts w:ascii="Garamond" w:hAnsi="Garamond"/>
          <w:b/>
          <w:bCs/>
          <w:sz w:val="32"/>
          <w:szCs w:val="32"/>
        </w:rPr>
      </w:pPr>
      <w:r w:rsidRPr="00DA52E2">
        <w:rPr>
          <w:rFonts w:ascii="Garamond" w:hAnsi="Garamond"/>
          <w:b/>
          <w:bCs/>
          <w:sz w:val="32"/>
          <w:szCs w:val="32"/>
        </w:rPr>
        <w:t>Spatiotemporal trends in salmon metapopulation contributions to portfolio effects in Western Alaska</w:t>
      </w:r>
    </w:p>
    <w:p w14:paraId="55C4BEFD" w14:textId="77777777" w:rsidR="00EB7BFF" w:rsidRDefault="00EB7BFF" w:rsidP="00F621F7">
      <w:pPr>
        <w:suppressLineNumbers/>
        <w:jc w:val="center"/>
        <w:rPr>
          <w:rFonts w:ascii="Garamond" w:hAnsi="Garamond"/>
          <w:b/>
          <w:bCs/>
          <w:sz w:val="20"/>
          <w:szCs w:val="20"/>
        </w:rPr>
      </w:pPr>
    </w:p>
    <w:p w14:paraId="033ED441" w14:textId="0909BDD8" w:rsidR="00EB7BFF" w:rsidRDefault="00EB7BFF" w:rsidP="00F621F7">
      <w:pPr>
        <w:suppressLineNumbers/>
        <w:jc w:val="center"/>
        <w:rPr>
          <w:rFonts w:ascii="Garamond" w:hAnsi="Garamond"/>
          <w:b/>
          <w:bCs/>
          <w:sz w:val="20"/>
          <w:szCs w:val="20"/>
        </w:rPr>
      </w:pPr>
      <w:r w:rsidRPr="00EB7BFF">
        <w:rPr>
          <w:rFonts w:ascii="Garamond" w:hAnsi="Garamond"/>
          <w:b/>
          <w:bCs/>
          <w:sz w:val="20"/>
          <w:szCs w:val="20"/>
        </w:rPr>
        <w:t>Ben Makhlouf, Daniel Schindler, Tim Cline, Mark Scheuerell</w:t>
      </w:r>
    </w:p>
    <w:p w14:paraId="54A51F5E" w14:textId="77777777" w:rsidR="00B34846" w:rsidRDefault="00B34846" w:rsidP="00F621F7">
      <w:pPr>
        <w:suppressLineNumbers/>
        <w:jc w:val="center"/>
        <w:rPr>
          <w:rFonts w:ascii="Garamond" w:hAnsi="Garamond"/>
          <w:b/>
          <w:bCs/>
          <w:sz w:val="20"/>
          <w:szCs w:val="20"/>
        </w:rPr>
      </w:pPr>
    </w:p>
    <w:p w14:paraId="73CB2326" w14:textId="003B66C8" w:rsidR="00B34846" w:rsidRPr="00A052F8" w:rsidRDefault="00B34846" w:rsidP="00F621F7">
      <w:pPr>
        <w:suppressLineNumbers/>
        <w:jc w:val="center"/>
        <w:rPr>
          <w:rFonts w:ascii="Garamond" w:hAnsi="Garamond"/>
          <w:sz w:val="20"/>
          <w:szCs w:val="20"/>
        </w:rPr>
      </w:pPr>
      <w:r w:rsidRPr="00A052F8">
        <w:rPr>
          <w:rFonts w:ascii="Garamond" w:hAnsi="Garamond"/>
          <w:sz w:val="20"/>
          <w:szCs w:val="20"/>
        </w:rPr>
        <w:t xml:space="preserve">Tweetable Abstract: </w:t>
      </w:r>
    </w:p>
    <w:p w14:paraId="23CFF4DF" w14:textId="439D2CBD" w:rsidR="00A052F8" w:rsidRPr="00A052F8" w:rsidRDefault="00A052F8" w:rsidP="00F621F7">
      <w:pPr>
        <w:suppressLineNumbers/>
        <w:jc w:val="center"/>
        <w:rPr>
          <w:rFonts w:ascii="Garamond" w:hAnsi="Garamond"/>
          <w:sz w:val="20"/>
          <w:szCs w:val="20"/>
        </w:rPr>
      </w:pPr>
      <w:r w:rsidRPr="00A052F8">
        <w:rPr>
          <w:rFonts w:ascii="Garamond" w:hAnsi="Garamond"/>
          <w:sz w:val="20"/>
          <w:szCs w:val="20"/>
        </w:rPr>
        <w:t xml:space="preserve">Diversity in life history in space and time is critical for salmon fisheries, but we know almost nothing about how these change over time in some of the largest river basins in Alaska. Here, we use otolith-based techniques and Dynamic factor analysis to examine how these trends change over time. We found distinct run timing between several portions of the watershed, as well as changing patterns over time which could threaten this diversity. Upper Kuskokwim fish seem to be returning earlier, protecting them from harvest but homogenizing run dynamics into fewer stock. </w:t>
      </w:r>
    </w:p>
    <w:p w14:paraId="12C8BB39" w14:textId="77777777" w:rsidR="00B34846" w:rsidRDefault="00B34846" w:rsidP="00F621F7">
      <w:pPr>
        <w:suppressLineNumbers/>
        <w:jc w:val="center"/>
        <w:rPr>
          <w:rFonts w:ascii="Garamond" w:hAnsi="Garamond"/>
          <w:b/>
          <w:bCs/>
          <w:sz w:val="20"/>
          <w:szCs w:val="20"/>
        </w:rPr>
      </w:pPr>
    </w:p>
    <w:p w14:paraId="5E238F0A" w14:textId="77777777" w:rsidR="00B34846" w:rsidRDefault="00B34846" w:rsidP="00F621F7">
      <w:pPr>
        <w:suppressLineNumbers/>
        <w:jc w:val="center"/>
        <w:rPr>
          <w:rFonts w:ascii="Garamond" w:hAnsi="Garamond"/>
          <w:b/>
          <w:bCs/>
          <w:sz w:val="20"/>
          <w:szCs w:val="20"/>
        </w:rPr>
      </w:pPr>
    </w:p>
    <w:p w14:paraId="2067AF27" w14:textId="77777777" w:rsidR="00B34846" w:rsidRDefault="00B34846" w:rsidP="00F621F7">
      <w:pPr>
        <w:suppressLineNumbers/>
        <w:jc w:val="center"/>
        <w:rPr>
          <w:rFonts w:ascii="Garamond" w:hAnsi="Garamond"/>
          <w:b/>
          <w:bCs/>
          <w:sz w:val="20"/>
          <w:szCs w:val="20"/>
        </w:rPr>
      </w:pPr>
    </w:p>
    <w:p w14:paraId="74DB5782" w14:textId="77777777" w:rsidR="00B34846" w:rsidRDefault="00B34846" w:rsidP="00F621F7">
      <w:pPr>
        <w:suppressLineNumbers/>
        <w:jc w:val="center"/>
        <w:rPr>
          <w:rFonts w:ascii="Garamond" w:hAnsi="Garamond"/>
          <w:b/>
          <w:bCs/>
          <w:sz w:val="20"/>
          <w:szCs w:val="20"/>
        </w:rPr>
      </w:pPr>
    </w:p>
    <w:p w14:paraId="09A0A4B5" w14:textId="77777777" w:rsidR="00B34846" w:rsidRDefault="00B34846" w:rsidP="00F621F7">
      <w:pPr>
        <w:suppressLineNumbers/>
        <w:jc w:val="center"/>
        <w:rPr>
          <w:rFonts w:ascii="Garamond" w:hAnsi="Garamond"/>
          <w:b/>
          <w:bCs/>
          <w:sz w:val="20"/>
          <w:szCs w:val="20"/>
        </w:rPr>
      </w:pPr>
    </w:p>
    <w:p w14:paraId="4B107308" w14:textId="77777777" w:rsidR="00B34846" w:rsidRDefault="00B34846" w:rsidP="00F621F7">
      <w:pPr>
        <w:suppressLineNumbers/>
        <w:jc w:val="center"/>
        <w:rPr>
          <w:rFonts w:ascii="Garamond" w:hAnsi="Garamond"/>
          <w:b/>
          <w:bCs/>
          <w:sz w:val="20"/>
          <w:szCs w:val="20"/>
        </w:rPr>
      </w:pPr>
    </w:p>
    <w:p w14:paraId="72EF9E6C" w14:textId="77777777" w:rsidR="00B34846" w:rsidRDefault="00B34846" w:rsidP="00F621F7">
      <w:pPr>
        <w:suppressLineNumbers/>
        <w:jc w:val="center"/>
        <w:rPr>
          <w:rFonts w:ascii="Garamond" w:hAnsi="Garamond"/>
          <w:b/>
          <w:bCs/>
          <w:sz w:val="20"/>
          <w:szCs w:val="20"/>
        </w:rPr>
      </w:pPr>
    </w:p>
    <w:p w14:paraId="7DFF7827" w14:textId="77777777" w:rsidR="00B34846" w:rsidRDefault="00B34846" w:rsidP="00F621F7">
      <w:pPr>
        <w:suppressLineNumbers/>
        <w:jc w:val="center"/>
        <w:rPr>
          <w:rFonts w:ascii="Garamond" w:hAnsi="Garamond"/>
          <w:b/>
          <w:bCs/>
          <w:sz w:val="20"/>
          <w:szCs w:val="20"/>
        </w:rPr>
      </w:pPr>
    </w:p>
    <w:p w14:paraId="0625C35D" w14:textId="77777777" w:rsidR="00B34846" w:rsidRDefault="00B34846" w:rsidP="00F621F7">
      <w:pPr>
        <w:suppressLineNumbers/>
        <w:jc w:val="center"/>
        <w:rPr>
          <w:rFonts w:ascii="Garamond" w:hAnsi="Garamond"/>
          <w:b/>
          <w:bCs/>
          <w:sz w:val="20"/>
          <w:szCs w:val="20"/>
        </w:rPr>
      </w:pPr>
    </w:p>
    <w:p w14:paraId="3600452F" w14:textId="77777777" w:rsidR="00B34846" w:rsidRDefault="00B34846" w:rsidP="00F621F7">
      <w:pPr>
        <w:suppressLineNumbers/>
        <w:jc w:val="center"/>
        <w:rPr>
          <w:rFonts w:ascii="Garamond" w:hAnsi="Garamond"/>
          <w:b/>
          <w:bCs/>
          <w:sz w:val="20"/>
          <w:szCs w:val="20"/>
        </w:rPr>
      </w:pPr>
    </w:p>
    <w:p w14:paraId="7067F89A" w14:textId="77777777" w:rsidR="00B34846" w:rsidRDefault="00B34846" w:rsidP="00F621F7">
      <w:pPr>
        <w:suppressLineNumbers/>
        <w:jc w:val="center"/>
        <w:rPr>
          <w:rFonts w:ascii="Garamond" w:hAnsi="Garamond"/>
          <w:b/>
          <w:bCs/>
          <w:sz w:val="20"/>
          <w:szCs w:val="20"/>
        </w:rPr>
      </w:pPr>
    </w:p>
    <w:p w14:paraId="6CD960FB" w14:textId="77777777" w:rsidR="00B34846" w:rsidRDefault="00B34846" w:rsidP="00F621F7">
      <w:pPr>
        <w:suppressLineNumbers/>
        <w:jc w:val="center"/>
        <w:rPr>
          <w:rFonts w:ascii="Garamond" w:hAnsi="Garamond"/>
          <w:b/>
          <w:bCs/>
          <w:sz w:val="20"/>
          <w:szCs w:val="20"/>
        </w:rPr>
      </w:pPr>
    </w:p>
    <w:p w14:paraId="63C1B2E7" w14:textId="77777777" w:rsidR="00B34846" w:rsidRDefault="00B34846" w:rsidP="00F621F7">
      <w:pPr>
        <w:suppressLineNumbers/>
        <w:jc w:val="center"/>
        <w:rPr>
          <w:rFonts w:ascii="Garamond" w:hAnsi="Garamond"/>
          <w:b/>
          <w:bCs/>
          <w:sz w:val="20"/>
          <w:szCs w:val="20"/>
        </w:rPr>
      </w:pPr>
    </w:p>
    <w:p w14:paraId="5A4DCDDD" w14:textId="77777777" w:rsidR="00B34846" w:rsidRDefault="00B34846" w:rsidP="00F621F7">
      <w:pPr>
        <w:suppressLineNumbers/>
        <w:jc w:val="center"/>
        <w:rPr>
          <w:rFonts w:ascii="Garamond" w:hAnsi="Garamond"/>
          <w:b/>
          <w:bCs/>
          <w:sz w:val="20"/>
          <w:szCs w:val="20"/>
        </w:rPr>
      </w:pPr>
    </w:p>
    <w:p w14:paraId="55669E9F" w14:textId="77777777" w:rsidR="00B34846" w:rsidRDefault="00B34846" w:rsidP="00F621F7">
      <w:pPr>
        <w:suppressLineNumbers/>
        <w:jc w:val="center"/>
        <w:rPr>
          <w:rFonts w:ascii="Garamond" w:hAnsi="Garamond"/>
          <w:b/>
          <w:bCs/>
          <w:sz w:val="20"/>
          <w:szCs w:val="20"/>
        </w:rPr>
      </w:pPr>
    </w:p>
    <w:p w14:paraId="5BEDB647" w14:textId="77777777" w:rsidR="00B34846" w:rsidRDefault="00B34846" w:rsidP="00F621F7">
      <w:pPr>
        <w:suppressLineNumbers/>
        <w:jc w:val="center"/>
        <w:rPr>
          <w:rFonts w:ascii="Garamond" w:hAnsi="Garamond"/>
          <w:b/>
          <w:bCs/>
          <w:sz w:val="20"/>
          <w:szCs w:val="20"/>
        </w:rPr>
      </w:pPr>
    </w:p>
    <w:p w14:paraId="15EE1702" w14:textId="77777777" w:rsidR="00B34846" w:rsidRDefault="00B34846" w:rsidP="00F621F7">
      <w:pPr>
        <w:suppressLineNumbers/>
        <w:jc w:val="center"/>
        <w:rPr>
          <w:rFonts w:ascii="Garamond" w:hAnsi="Garamond"/>
          <w:b/>
          <w:bCs/>
          <w:sz w:val="20"/>
          <w:szCs w:val="20"/>
        </w:rPr>
      </w:pPr>
    </w:p>
    <w:p w14:paraId="5D820CB5" w14:textId="77777777" w:rsidR="00B34846" w:rsidRDefault="00B34846" w:rsidP="00F621F7">
      <w:pPr>
        <w:suppressLineNumbers/>
        <w:jc w:val="center"/>
        <w:rPr>
          <w:rFonts w:ascii="Garamond" w:hAnsi="Garamond"/>
          <w:b/>
          <w:bCs/>
          <w:sz w:val="20"/>
          <w:szCs w:val="20"/>
        </w:rPr>
      </w:pPr>
    </w:p>
    <w:p w14:paraId="32394D4D" w14:textId="77777777" w:rsidR="00B34846" w:rsidRDefault="00B34846" w:rsidP="00F621F7">
      <w:pPr>
        <w:suppressLineNumbers/>
        <w:jc w:val="center"/>
        <w:rPr>
          <w:rFonts w:ascii="Garamond" w:hAnsi="Garamond"/>
          <w:b/>
          <w:bCs/>
          <w:sz w:val="20"/>
          <w:szCs w:val="20"/>
        </w:rPr>
      </w:pPr>
    </w:p>
    <w:p w14:paraId="3CEF8E1E" w14:textId="77777777" w:rsidR="00B34846" w:rsidRDefault="00B34846" w:rsidP="00F621F7">
      <w:pPr>
        <w:suppressLineNumbers/>
        <w:jc w:val="center"/>
        <w:rPr>
          <w:rFonts w:ascii="Garamond" w:hAnsi="Garamond"/>
          <w:b/>
          <w:bCs/>
          <w:sz w:val="20"/>
          <w:szCs w:val="20"/>
        </w:rPr>
      </w:pPr>
    </w:p>
    <w:p w14:paraId="4B81ABFD" w14:textId="77777777" w:rsidR="00B34846" w:rsidRDefault="00B34846" w:rsidP="00F621F7">
      <w:pPr>
        <w:suppressLineNumbers/>
        <w:jc w:val="center"/>
        <w:rPr>
          <w:rFonts w:ascii="Garamond" w:hAnsi="Garamond"/>
          <w:b/>
          <w:bCs/>
          <w:sz w:val="20"/>
          <w:szCs w:val="20"/>
        </w:rPr>
      </w:pPr>
    </w:p>
    <w:p w14:paraId="02CC4D87" w14:textId="77777777" w:rsidR="00B34846" w:rsidRDefault="00B34846" w:rsidP="00F621F7">
      <w:pPr>
        <w:suppressLineNumbers/>
        <w:rPr>
          <w:rFonts w:ascii="Garamond" w:hAnsi="Garamond"/>
          <w:b/>
          <w:bCs/>
          <w:sz w:val="20"/>
          <w:szCs w:val="20"/>
        </w:rPr>
      </w:pPr>
    </w:p>
    <w:p w14:paraId="62543C0B" w14:textId="07A2DEB7" w:rsidR="00B34846" w:rsidRPr="00F621F7" w:rsidRDefault="00B34846" w:rsidP="00F621F7">
      <w:pPr>
        <w:suppressLineNumbers/>
        <w:rPr>
          <w:rFonts w:ascii="Garamond" w:hAnsi="Garamond"/>
          <w:b/>
          <w:bCs/>
        </w:rPr>
      </w:pPr>
      <w:r w:rsidRPr="00F621F7">
        <w:rPr>
          <w:rFonts w:ascii="Garamond" w:hAnsi="Garamond"/>
          <w:b/>
          <w:bCs/>
        </w:rPr>
        <w:t xml:space="preserve">Abstract: </w:t>
      </w:r>
    </w:p>
    <w:p w14:paraId="3F6E30C6" w14:textId="0DB88807" w:rsidR="00A052F8" w:rsidRPr="00F621F7" w:rsidRDefault="00A052F8" w:rsidP="00F621F7">
      <w:pPr>
        <w:pStyle w:val="whitespace-normal"/>
        <w:suppressLineNumbers/>
        <w:spacing w:line="480" w:lineRule="auto"/>
        <w:ind w:firstLine="720"/>
        <w:rPr>
          <w:rFonts w:ascii="Garamond" w:hAnsi="Garamond"/>
          <w:sz w:val="22"/>
          <w:szCs w:val="22"/>
        </w:rPr>
      </w:pPr>
      <w:r w:rsidRPr="00F621F7">
        <w:rPr>
          <w:rFonts w:ascii="Garamond" w:hAnsi="Garamond"/>
          <w:sz w:val="22"/>
          <w:szCs w:val="22"/>
        </w:rPr>
        <w:t>Chinook salmon populations in Western Alaska have experienced severe declines, yet management strategies largely ignore the spatiotemporal complexity that provides resilience through portfolio effects. We used otolith-based methods to examine spatiotemporal patterns in Chinook salmon contributions across the Kuskokwim River basin from 2017-2021</w:t>
      </w:r>
      <w:r w:rsidR="00DA10B0">
        <w:rPr>
          <w:rFonts w:ascii="Garamond" w:hAnsi="Garamond"/>
          <w:sz w:val="22"/>
          <w:szCs w:val="22"/>
        </w:rPr>
        <w:t xml:space="preserve"> through</w:t>
      </w:r>
      <w:r w:rsidRPr="00F621F7">
        <w:rPr>
          <w:rFonts w:ascii="Garamond" w:hAnsi="Garamond"/>
          <w:sz w:val="22"/>
          <w:szCs w:val="22"/>
        </w:rPr>
        <w:t xml:space="preserve"> time series of proportional contributions across 20 management units grouped into seasonal quartiles. Dynamic Factor Analysis identified two underlying trends explaining 89% of variance in spatiotemporal patterns. Trend 1 revealed </w:t>
      </w:r>
      <w:r w:rsidR="00DA10B0">
        <w:rPr>
          <w:rFonts w:ascii="Garamond" w:hAnsi="Garamond"/>
          <w:sz w:val="22"/>
          <w:szCs w:val="22"/>
        </w:rPr>
        <w:t>both shifting timing and location of proportional contribution among northcentral and southcentral stocks, whereas t</w:t>
      </w:r>
      <w:r w:rsidRPr="00F621F7">
        <w:rPr>
          <w:rFonts w:ascii="Garamond" w:hAnsi="Garamond"/>
          <w:sz w:val="22"/>
          <w:szCs w:val="22"/>
        </w:rPr>
        <w:t xml:space="preserve">rend 2 indicated progressive consolidation of Upper Kuskokwim stocks into the first quartile (early season), particularly pronounced in 2020-2021. This temporal shift has management implications, as the first quartile corresponds to the current front-end closure period (June 1-11), potentially creating differential protection favoring </w:t>
      </w:r>
      <w:proofErr w:type="gramStart"/>
      <w:r w:rsidRPr="00F621F7">
        <w:rPr>
          <w:rFonts w:ascii="Garamond" w:hAnsi="Garamond"/>
          <w:sz w:val="22"/>
          <w:szCs w:val="22"/>
        </w:rPr>
        <w:t>early-arriving</w:t>
      </w:r>
      <w:proofErr w:type="gramEnd"/>
      <w:r w:rsidRPr="00F621F7">
        <w:rPr>
          <w:rFonts w:ascii="Garamond" w:hAnsi="Garamond"/>
          <w:sz w:val="22"/>
          <w:szCs w:val="22"/>
        </w:rPr>
        <w:t xml:space="preserve"> upper basin stocks over later-arriving downstream </w:t>
      </w:r>
      <w:r w:rsidR="00F621F7" w:rsidRPr="00F621F7">
        <w:rPr>
          <w:rFonts w:ascii="Garamond" w:hAnsi="Garamond"/>
          <w:sz w:val="22"/>
          <w:szCs w:val="22"/>
        </w:rPr>
        <w:t>stocks. These</w:t>
      </w:r>
      <w:r w:rsidRPr="00F621F7">
        <w:rPr>
          <w:rFonts w:ascii="Garamond" w:hAnsi="Garamond"/>
          <w:sz w:val="22"/>
          <w:szCs w:val="22"/>
        </w:rPr>
        <w:t xml:space="preserve"> findings suggest that current management approaches may inadvertently reduce run timing diversity through differential harvest pressure. The spatial redistribution combined with temporal consolidation indicates potential changes in metapopulation structure that warrant monitoring. Our results emphasize the importance of studying sub-basin scale spatiotemporal patterns and designing management strategies that maintain the diversity essential for metapopulation resilience in Western Alaska salmon systems.</w:t>
      </w:r>
    </w:p>
    <w:p w14:paraId="3C177001" w14:textId="77777777" w:rsidR="00B34846" w:rsidRDefault="00B34846" w:rsidP="00F621F7">
      <w:pPr>
        <w:suppressLineNumbers/>
        <w:jc w:val="center"/>
        <w:rPr>
          <w:rFonts w:ascii="Garamond" w:hAnsi="Garamond"/>
          <w:b/>
          <w:bCs/>
          <w:sz w:val="20"/>
          <w:szCs w:val="20"/>
        </w:rPr>
      </w:pPr>
    </w:p>
    <w:p w14:paraId="1CE6FCD2" w14:textId="77777777" w:rsidR="00B34846" w:rsidRDefault="00B34846" w:rsidP="00F621F7">
      <w:pPr>
        <w:suppressLineNumbers/>
        <w:jc w:val="center"/>
        <w:rPr>
          <w:rFonts w:ascii="Garamond" w:hAnsi="Garamond"/>
          <w:b/>
          <w:bCs/>
          <w:sz w:val="20"/>
          <w:szCs w:val="20"/>
        </w:rPr>
      </w:pPr>
    </w:p>
    <w:p w14:paraId="343D3C0D" w14:textId="77777777" w:rsidR="00B34846" w:rsidRDefault="00B34846" w:rsidP="00F621F7">
      <w:pPr>
        <w:suppressLineNumbers/>
        <w:jc w:val="center"/>
        <w:rPr>
          <w:rFonts w:ascii="Garamond" w:hAnsi="Garamond"/>
          <w:b/>
          <w:bCs/>
          <w:sz w:val="20"/>
          <w:szCs w:val="20"/>
        </w:rPr>
      </w:pPr>
    </w:p>
    <w:p w14:paraId="1E5ABDC7" w14:textId="77777777" w:rsidR="00B34846" w:rsidRDefault="00B34846" w:rsidP="00F621F7">
      <w:pPr>
        <w:suppressLineNumbers/>
        <w:jc w:val="center"/>
        <w:rPr>
          <w:rFonts w:ascii="Garamond" w:hAnsi="Garamond"/>
          <w:b/>
          <w:bCs/>
          <w:sz w:val="20"/>
          <w:szCs w:val="20"/>
        </w:rPr>
      </w:pPr>
    </w:p>
    <w:p w14:paraId="1960806B" w14:textId="77777777" w:rsidR="00B34846" w:rsidRDefault="00B34846" w:rsidP="00F621F7">
      <w:pPr>
        <w:suppressLineNumbers/>
        <w:jc w:val="center"/>
        <w:rPr>
          <w:rFonts w:ascii="Garamond" w:hAnsi="Garamond"/>
          <w:b/>
          <w:bCs/>
          <w:sz w:val="20"/>
          <w:szCs w:val="20"/>
        </w:rPr>
      </w:pPr>
    </w:p>
    <w:p w14:paraId="40CB546A" w14:textId="77777777" w:rsidR="00B34846" w:rsidRDefault="00B34846" w:rsidP="00F621F7">
      <w:pPr>
        <w:suppressLineNumbers/>
        <w:jc w:val="center"/>
        <w:rPr>
          <w:rFonts w:ascii="Garamond" w:hAnsi="Garamond"/>
          <w:b/>
          <w:bCs/>
          <w:sz w:val="20"/>
          <w:szCs w:val="20"/>
        </w:rPr>
      </w:pPr>
    </w:p>
    <w:p w14:paraId="49C5A535" w14:textId="77777777" w:rsidR="00B34846" w:rsidRDefault="00B34846" w:rsidP="00F621F7">
      <w:pPr>
        <w:suppressLineNumbers/>
        <w:jc w:val="center"/>
        <w:rPr>
          <w:rFonts w:ascii="Garamond" w:hAnsi="Garamond"/>
          <w:b/>
          <w:bCs/>
          <w:sz w:val="20"/>
          <w:szCs w:val="20"/>
        </w:rPr>
      </w:pPr>
    </w:p>
    <w:p w14:paraId="66F9D978" w14:textId="77777777" w:rsidR="00DA52E2" w:rsidRDefault="00DA52E2" w:rsidP="00E81268">
      <w:pPr>
        <w:suppressLineNumbers/>
        <w:rPr>
          <w:rFonts w:ascii="Garamond" w:hAnsi="Garamond"/>
          <w:b/>
          <w:bCs/>
          <w:sz w:val="22"/>
          <w:szCs w:val="22"/>
          <w:u w:val="single"/>
        </w:rPr>
      </w:pPr>
    </w:p>
    <w:p w14:paraId="699142D9" w14:textId="43B62C38" w:rsidR="005416E6" w:rsidRPr="006D1917" w:rsidRDefault="005F3448" w:rsidP="006D1917">
      <w:pPr>
        <w:spacing w:line="480" w:lineRule="auto"/>
        <w:rPr>
          <w:rFonts w:ascii="Garamond" w:hAnsi="Garamond"/>
          <w:b/>
          <w:bCs/>
          <w:sz w:val="22"/>
          <w:szCs w:val="22"/>
          <w:u w:val="single"/>
        </w:rPr>
      </w:pPr>
      <w:r w:rsidRPr="006D1917">
        <w:rPr>
          <w:rFonts w:ascii="Garamond" w:hAnsi="Garamond"/>
          <w:b/>
          <w:bCs/>
          <w:sz w:val="22"/>
          <w:szCs w:val="22"/>
          <w:u w:val="single"/>
        </w:rPr>
        <w:t xml:space="preserve">Introduction: </w:t>
      </w:r>
      <w:r w:rsidR="00856168" w:rsidRPr="006D1917">
        <w:rPr>
          <w:rFonts w:ascii="Garamond" w:hAnsi="Garamond"/>
          <w:sz w:val="22"/>
          <w:szCs w:val="22"/>
        </w:rPr>
        <w:t xml:space="preserve"> </w:t>
      </w:r>
    </w:p>
    <w:p w14:paraId="4DABCB9A" w14:textId="56C89668" w:rsidR="00DA7E79" w:rsidRPr="006D1917" w:rsidRDefault="00FC42A0" w:rsidP="006D1917">
      <w:pPr>
        <w:spacing w:line="480" w:lineRule="auto"/>
        <w:ind w:firstLine="720"/>
        <w:rPr>
          <w:rFonts w:ascii="Garamond" w:hAnsi="Garamond"/>
          <w:sz w:val="22"/>
          <w:szCs w:val="22"/>
        </w:rPr>
      </w:pPr>
      <w:r w:rsidRPr="006D1917">
        <w:rPr>
          <w:rFonts w:ascii="Garamond" w:hAnsi="Garamond"/>
          <w:sz w:val="22"/>
          <w:szCs w:val="22"/>
        </w:rPr>
        <w:lastRenderedPageBreak/>
        <w:t>Chinook salmon populations are experiencing unprecedented declines across much of their range</w:t>
      </w:r>
      <w:r w:rsidR="002438CB">
        <w:rPr>
          <w:rFonts w:ascii="Garamond" w:hAnsi="Garamond"/>
          <w:sz w:val="22"/>
          <w:szCs w:val="22"/>
        </w:rPr>
        <w:t xml:space="preserve"> </w:t>
      </w:r>
      <w:r w:rsidR="002438CB">
        <w:rPr>
          <w:rFonts w:ascii="Garamond" w:hAnsi="Garamond"/>
          <w:sz w:val="22"/>
          <w:szCs w:val="22"/>
        </w:rPr>
        <w:fldChar w:fldCharType="begin"/>
      </w:r>
      <w:r w:rsidR="00413B87">
        <w:rPr>
          <w:rFonts w:ascii="Garamond" w:hAnsi="Garamond"/>
          <w:sz w:val="22"/>
          <w:szCs w:val="22"/>
        </w:rPr>
        <w:instrText xml:space="preserve"> ADDIN ZOTERO_ITEM CSL_CITATION {"citationID":"lr8eoJO9","properties":{"formattedCitation":"(Atlas et al., 2023; Ohlberger et al., 2018)","plainCitation":"(Atlas et al., 2023; Ohlberger et al., 2018)","noteIndex":0},"citationItems":[{"id":5384,"uris":["http://zotero.org/users/8421274/items/YYBUBGXV"],"itemData":{"id":5384,"type":"article-journal","abstract":"Chinook salmon (Oncorhynchus tshawytscha, Salmonidae) are foundational to social-ecological systems of the Northeast Pacific Rim and exhibit a rich diversity of life histories including in their adult migration timing, age at critical life-history transitions and marine feeding distributions. In recent decades Chinook have experienced declines across much of their native range; however, changes in productivity and abundance have rarely been evaluated in relation to life-history variation. To understand trends in Chinook salmon production, and how they are related to life history, we compiled time series data from the Fraser River to the Sacramento River on total run size (pre-fishery abundance) and escapement (post-fishery spawner abundance) and fit time series models to estimate trends across this bioregion. Our analysis revealed that most Chinook populations are declining, with negative trends in escapement (57 of 79) and total run (16 of 23) size. Trends were most acutely negative for interior spring Chinook in the Fraser, Columbia and Snake Rivers and most populations in California. Summer and fall Chinook had mixed trends, with several summer and fall upriver bright populations in the interior Columbia and Fraser exhibiting increases in abundance from the 1990s to 2019. Our research reveals widespread declines of this important species, but local complexity in trends that are mediated by population-level life history, migratory behaviours and watershed-scale restoration actions. Understanding linkages between life histories and resilience should inform rebuilding efforts for Chinook salmon and highlight the need to conserve intraspecific biodiversity.","container-title":"Fish and Fisheries","DOI":"10.1111/faf.12750","ISSN":"1467-2979","issue":"4","language":"en","license":"© 2023 The Authors. Fish and Fisheries published by John Wiley &amp; Sons Ltd.","note":"_eprint: https://onlinelibrary.wiley.com/doi/pdf/10.1111/faf.12750","page":"595-617","source":"Wiley Online Library","title":"Trends in Chinook salmon spawner abundance and total run size highlight linkages between life history, geography and decline","volume":"24","author":[{"family":"Atlas","given":"William I."},{"family":"Sloat","given":"Matthew R."},{"family":"Satterthwaite","given":"William H."},{"family":"Buehrens","given":"Thomas W."},{"family":"Parken","given":"Charles K."},{"family":"Moore","given":"Jonathan W."},{"family":"Mantua","given":"Nathan J."},{"family":"Hart","given":"Jon"},{"family":"Potapova","given":"Anna"}],"issued":{"date-parts":[["2023"]]}}},{"id":4421,"uris":["http://zotero.org/users/8421274/items/PUA9GF7A"],"itemData":{"id":4421,"type":"article-journal","abstract":"The demographic structure of populations is affected by life history strategies and how these interact with natural and anthropogenic factors such as exploitation, climate change, and biotic interactions. Previous work suggests that the mean size and age of some North American populations of Chinook salmon (Oncorhynchus tshawytscha, Salmonidae) are declining. These trends are of concern because Chinook salmon are highly valued commercially for their exceptional size and because the loss of the largest and oldest individuals may lead to reduced population productivity. Using long-term data from wild and hatchery populations, we quantified changes in the demographic structure of Chinook salmon populations over the past four decades across the Northeast Pacific Ocean, from California through western Alaska. Our results show that wild and hatchery fish are becoming smaller and younger throughout most of the Pacific coast. Proportions of older age classes have decreased over time in most regions. Simultaneously, the length-at-age of older fish has declined while the length-at-age of younger fish has typically increased. However, negative size trends of older ages were weak or non-existent at the southern end of the range. While it remains to be explored whether these trends are caused by changes in climate, fishing practices or species interactions such as predation, our qualitative review of the potential causes of demographic change suggests that selective removal of large fish has likely contributed to the apparent widespread declines in average body sizes.","container-title":"Fish and Fisheries","DOI":"10.1111/faf.12272","ISSN":"1467-2979","issue":"3","language":"en","license":"© 2018 The Authors. Fish and Fisheries published by John Wiley &amp; Sons Ltd.","note":"_eprint: https://onlinelibrary.wiley.com/doi/pdf/10.1111/faf.12272","page":"533-546","source":"Wiley Online Library","title":"Demographic changes in Chinook salmon across the Northeast Pacific Ocean","volume":"19","author":[{"family":"Ohlberger","given":"Jan"},{"family":"Ward","given":"Eric J"},{"family":"Schindler","given":"Daniel E"},{"family":"Lewis","given":"Bert"}],"issued":{"date-parts":[["2018"]]}}}],"schema":"https://github.com/citation-style-language/schema/raw/master/csl-citation.json"} </w:instrText>
      </w:r>
      <w:r w:rsidR="002438CB">
        <w:rPr>
          <w:rFonts w:ascii="Garamond" w:hAnsi="Garamond"/>
          <w:sz w:val="22"/>
          <w:szCs w:val="22"/>
        </w:rPr>
        <w:fldChar w:fldCharType="separate"/>
      </w:r>
      <w:r w:rsidR="00413B87">
        <w:rPr>
          <w:rFonts w:ascii="Garamond" w:hAnsi="Garamond"/>
          <w:noProof/>
          <w:sz w:val="22"/>
          <w:szCs w:val="22"/>
        </w:rPr>
        <w:t>(Atlas et al., 2023; Ohlberger et al., 2018)</w:t>
      </w:r>
      <w:r w:rsidR="002438CB">
        <w:rPr>
          <w:rFonts w:ascii="Garamond" w:hAnsi="Garamond"/>
          <w:sz w:val="22"/>
          <w:szCs w:val="22"/>
        </w:rPr>
        <w:fldChar w:fldCharType="end"/>
      </w:r>
      <w:r w:rsidRPr="006D1917">
        <w:rPr>
          <w:rFonts w:ascii="Garamond" w:hAnsi="Garamond"/>
          <w:sz w:val="22"/>
          <w:szCs w:val="22"/>
        </w:rPr>
        <w:t>. This trend is especially severe in Western Alaska watersheds, which contain some of the world's last pristine Chinook habitat but have seen steep declines in returning Chinook and Chum salmon in recent years</w:t>
      </w:r>
      <w:r w:rsidR="002438CB">
        <w:rPr>
          <w:rFonts w:ascii="Garamond" w:hAnsi="Garamond"/>
          <w:sz w:val="22"/>
          <w:szCs w:val="22"/>
        </w:rPr>
        <w:t xml:space="preserve"> </w:t>
      </w:r>
      <w:r w:rsidR="002438CB">
        <w:rPr>
          <w:rFonts w:ascii="Garamond" w:hAnsi="Garamond"/>
          <w:sz w:val="22"/>
          <w:szCs w:val="22"/>
        </w:rPr>
        <w:fldChar w:fldCharType="begin"/>
      </w:r>
      <w:r w:rsidR="00413B87">
        <w:rPr>
          <w:rFonts w:ascii="Garamond" w:hAnsi="Garamond"/>
          <w:sz w:val="22"/>
          <w:szCs w:val="22"/>
        </w:rPr>
        <w:instrText xml:space="preserve"> ADDIN ZOTERO_ITEM CSL_CITATION {"citationID":"MP9B29WU","properties":{"formattedCitation":"(Lamborn et al., 2025; Murdoch et al., 2024)","plainCitation":"(Lamborn et al., 2025; Murdoch et al., 2024)","noteIndex":0},"citationItems":[{"id":5379,"uris":["http://zotero.org/users/8421274/items/6TRPLVW4"],"itemData":{"id":5379,"type":"article-journal","abstract":"Across Alaska, there have been synchronous declines in the abundance, mean age, and size of Chinook salmon (Oncorhynchus tshawytscha, Salmonidae), a species with immense social and ecological importance. The decline of Chinook salmon, and regulations addressing declines, have drastically impacted people who rely on Alaska's fisheries. Despite their importance, the drivers causing Chinook salmon declines are still not well understood. Therefore, to improve our understanding of the likely drivers of these large-scale synchronous declines, we synthesised the peer-reviewed Chinook salmon literature published between 2010 and 2024 using a weight-of-evidence approach. We identified 94 variables used to explain the trends in abundance and demographics of Chinook salmon. Each variable's association with trends in Chinook salmon was individually assessed and integrated using a standardised method. Results of this synthesis suggest the drivers for large-scale synchronous declines have occurred in the North Pacific Ocean. Specifically, we found marine predation, size selective harvest, and pink salmon (Oncorhynchus gorbuscha) abundance are the factors most strongly associated with reduced size and age. Results also suggest ocean productivity–specifically winter sea surface temperature and the North Pacific Gyre Oscillation–are the most frequently identified predictors of regional Chinook salmon abundance. In addition to addressing freshwater factors like adult heat stress and juvenile predation, we suggest research, policy, and management focus on how to better understand and address the interactions between ocean productivity, marine predation, size selective harvest, and pink salmon abundance to improve the condition of Chinook salmon, and the people and ecosystems benefiting from them.","container-title":"Fish and Fisheries","DOI":"10.1111/faf.12895","ISSN":"1467-2979","issue":"n/a","language":"en","license":"© 2025 The Author(s). Fish and Fisheries published by John Wiley &amp; Sons Ltd.","note":"_eprint: https://onlinelibrary.wiley.com/doi/pdf/10.1111/faf.12895","source":"Wiley Online Library","title":"A Synthesis of Factors Related to Trends in Abundance and Demography of Alaska Chinook Salmon (Oncorhynchus tshawytscha, Salmonidae): Implications for Research, Management, and Policy","title-short":"A Synthesis of Factors Related to Trends in Abundance and Demography of Alaska Chinook Salmon (Oncorhynchus tshawytscha, Salmonidae)","URL":"https://onlinelibrary.wiley.com/doi/abs/10.1111/faf.12895","volume":"n/a","author":[{"family":"Lamborn","given":"Chase C."},{"family":"Ohlberger","given":"Jan"},{"family":"Walsworth","given":"Timothy E."},{"family":"Westley","given":"Peter A. H."},{"family":"Cunningham","given":"Curry J."},{"family":"Wynsma","given":"Sam"},{"family":"Smith","given":"Jordan W."}],"accessed":{"date-parts":[["2025",6,4]]},"issued":{"date-parts":[["2025"]]}}},{"id":5327,"uris":["http://zotero.org/users/8421274/items/QJJ96GUP"],"itemData":{"id":5327,"type":"article-journal","abstract":"Recent declines of Yukon River Chinook salmon (Oncorhynchus tshawytscha) populations have severely impacted people residing in the Yukon and Alaska. Evidence-based conservation strategies focused on stock recovery and adaptation are urgently needed but are limited by our understanding of what is driving declines, particularly in Canadian portions of the Yukon River basin. We examined how multiple environmental drivers may be influencing Canadian-origin Yukon River Chinook salmon productivity for eight populations over a 28-year period. We found that productivity was related to various environmental and ecosystem processes acting cumulatively over multiple life stages and across broad geographic scales. Productivity decreased in association with warmer upriver migration temperatures, wetter freshwater juvenile rearing habitats, and increasing abundances of potential marine competitors. In contrast, productivity increased in years with warmer and snowier winters and earlier spring onset. We found that different populations had similar relationships with environmental drivers, with potentially negative implications for regional fisheries stability. Our findings provide insight into how Chinook salmon are responding to rapid environmental change and can help inform salmon conservation initiatives and sustainable harvest strategies.","container-title":"CANADIAN JOURNAL OF FISHERIES AND AQUATIC SCIENCES","DOI":"10.1139/cjfas-2022-0254","ISSN":"0706-652X, 1205-7533","issue":"1","journalAbbreviation":"Can. J. Fish. Aquat. Sci.","language":"English","note":"number-of-pages: 18\npublisher-place: Ottawa\npublisher: Canadian Science Publishing\nWeb of Science ID: WOS:001129796500001","page":"97-114","source":"Clarivate Analytics Web of Science","title":"Multiple environmental drivers across life stages influence Yukon River Chinook salmon productivity","volume":"81","author":[{"family":"Murdoch","given":"A."},{"family":"Connors","given":"B. M."},{"family":"Lapointe","given":"N. W. R."},{"family":"Flemming","given":"J. Mills"},{"family":"Cooke","given":"S. J."},{"family":"Mantyka-Pringle","given":"C."}],"issued":{"date-parts":[["2024",1]]}}}],"schema":"https://github.com/citation-style-language/schema/raw/master/csl-citation.json"} </w:instrText>
      </w:r>
      <w:r w:rsidR="002438CB">
        <w:rPr>
          <w:rFonts w:ascii="Garamond" w:hAnsi="Garamond"/>
          <w:sz w:val="22"/>
          <w:szCs w:val="22"/>
        </w:rPr>
        <w:fldChar w:fldCharType="separate"/>
      </w:r>
      <w:r w:rsidR="00413B87">
        <w:rPr>
          <w:rFonts w:ascii="Garamond" w:hAnsi="Garamond"/>
          <w:noProof/>
          <w:sz w:val="22"/>
          <w:szCs w:val="22"/>
        </w:rPr>
        <w:t>(Lamborn et al., 2025; Murdoch et al., 2024)</w:t>
      </w:r>
      <w:r w:rsidR="002438CB">
        <w:rPr>
          <w:rFonts w:ascii="Garamond" w:hAnsi="Garamond"/>
          <w:sz w:val="22"/>
          <w:szCs w:val="22"/>
        </w:rPr>
        <w:fldChar w:fldCharType="end"/>
      </w:r>
      <w:r w:rsidRPr="006D1917">
        <w:rPr>
          <w:rFonts w:ascii="Garamond" w:hAnsi="Garamond"/>
          <w:sz w:val="22"/>
          <w:szCs w:val="22"/>
        </w:rPr>
        <w:t xml:space="preserve">. Salmon from this region support lucrative commercial </w:t>
      </w:r>
      <w:r w:rsidR="00040237" w:rsidRPr="006D1917">
        <w:rPr>
          <w:rFonts w:ascii="Garamond" w:hAnsi="Garamond"/>
          <w:sz w:val="22"/>
          <w:szCs w:val="22"/>
        </w:rPr>
        <w:t>fisheries, contribute</w:t>
      </w:r>
      <w:r w:rsidRPr="006D1917">
        <w:rPr>
          <w:rFonts w:ascii="Garamond" w:hAnsi="Garamond"/>
          <w:sz w:val="22"/>
          <w:szCs w:val="22"/>
        </w:rPr>
        <w:t xml:space="preserve"> </w:t>
      </w:r>
      <w:r w:rsidR="006B418B" w:rsidRPr="006D1917">
        <w:rPr>
          <w:rFonts w:ascii="Garamond" w:hAnsi="Garamond"/>
          <w:sz w:val="22"/>
          <w:szCs w:val="22"/>
        </w:rPr>
        <w:t>billions of dollars to regional and global economies</w:t>
      </w:r>
      <w:r w:rsidR="00040237" w:rsidRPr="006D1917">
        <w:rPr>
          <w:rFonts w:ascii="Garamond" w:hAnsi="Garamond"/>
          <w:sz w:val="22"/>
          <w:szCs w:val="22"/>
        </w:rPr>
        <w:t xml:space="preserve">, and </w:t>
      </w:r>
      <w:r w:rsidR="006B418B" w:rsidRPr="006D1917">
        <w:rPr>
          <w:rFonts w:ascii="Garamond" w:hAnsi="Garamond"/>
          <w:sz w:val="22"/>
          <w:szCs w:val="22"/>
        </w:rPr>
        <w:t xml:space="preserve">have historically supported </w:t>
      </w:r>
      <w:r w:rsidRPr="006D1917">
        <w:rPr>
          <w:rFonts w:ascii="Garamond" w:hAnsi="Garamond"/>
          <w:sz w:val="22"/>
          <w:szCs w:val="22"/>
        </w:rPr>
        <w:t xml:space="preserve">subsistence harvests </w:t>
      </w:r>
      <w:r w:rsidR="006B418B" w:rsidRPr="006D1917">
        <w:rPr>
          <w:rFonts w:ascii="Garamond" w:hAnsi="Garamond"/>
          <w:sz w:val="22"/>
          <w:szCs w:val="22"/>
        </w:rPr>
        <w:t>for dozens of communities in the region</w:t>
      </w:r>
      <w:r w:rsidR="00040237" w:rsidRPr="006D1917">
        <w:rPr>
          <w:rFonts w:ascii="Garamond" w:hAnsi="Garamond"/>
          <w:sz w:val="22"/>
          <w:szCs w:val="22"/>
        </w:rPr>
        <w:t xml:space="preserve">. As runs have collapsed, however, many upstream communities have </w:t>
      </w:r>
      <w:r w:rsidRPr="006D1917">
        <w:rPr>
          <w:rFonts w:ascii="Garamond" w:hAnsi="Garamond"/>
          <w:sz w:val="22"/>
          <w:szCs w:val="22"/>
        </w:rPr>
        <w:t>voluntarily reduced or ceased subsistence fishing</w:t>
      </w:r>
      <w:r w:rsidR="00040237" w:rsidRPr="006D1917">
        <w:rPr>
          <w:rFonts w:ascii="Garamond" w:hAnsi="Garamond"/>
          <w:sz w:val="22"/>
          <w:szCs w:val="22"/>
        </w:rPr>
        <w:t xml:space="preserve"> altogether, triggering </w:t>
      </w:r>
      <w:r w:rsidR="007266BC" w:rsidRPr="006D1917">
        <w:rPr>
          <w:rFonts w:ascii="Garamond" w:hAnsi="Garamond"/>
          <w:sz w:val="22"/>
          <w:szCs w:val="22"/>
        </w:rPr>
        <w:t>a region-wide crisis</w:t>
      </w:r>
      <w:r w:rsidR="00530411" w:rsidRPr="006D1917">
        <w:rPr>
          <w:rFonts w:ascii="Garamond" w:hAnsi="Garamond"/>
          <w:sz w:val="22"/>
          <w:szCs w:val="22"/>
        </w:rPr>
        <w:t xml:space="preserve"> of </w:t>
      </w:r>
      <w:r w:rsidR="007266BC" w:rsidRPr="006D1917">
        <w:rPr>
          <w:rFonts w:ascii="Garamond" w:hAnsi="Garamond"/>
          <w:sz w:val="22"/>
          <w:szCs w:val="22"/>
        </w:rPr>
        <w:t>food insecurity, cultural loss, and the potential disappearance of a critical economic resource</w:t>
      </w:r>
      <w:r w:rsidR="00413B87">
        <w:rPr>
          <w:rFonts w:ascii="Garamond" w:hAnsi="Garamond"/>
          <w:sz w:val="22"/>
          <w:szCs w:val="22"/>
        </w:rPr>
        <w:t xml:space="preserve"> </w:t>
      </w:r>
      <w:r w:rsidR="00413B87">
        <w:rPr>
          <w:rFonts w:ascii="Garamond" w:hAnsi="Garamond"/>
          <w:sz w:val="22"/>
          <w:szCs w:val="22"/>
        </w:rPr>
        <w:fldChar w:fldCharType="begin"/>
      </w:r>
      <w:r w:rsidR="00AF6E03">
        <w:rPr>
          <w:rFonts w:ascii="Garamond" w:hAnsi="Garamond"/>
          <w:sz w:val="22"/>
          <w:szCs w:val="22"/>
        </w:rPr>
        <w:instrText xml:space="preserve"> ADDIN ZOTERO_ITEM CSL_CITATION {"citationID":"pEObtCaz","properties":{"formattedCitation":"(Brown &amp; Godduhn, 2015)","plainCitation":"(Brown &amp; Godduhn, 2015)","noteIndex":0},"citationItems":[{"id":4428,"uris":["http://zotero.org/users/8421274/items/2WA8NCRM"],"itemData":{"id":4428,"type":"article-journal","language":"en","source":"Zotero","title":"Socioeconomic effects of declining salmon runs on the Yukon River","author":[{"family":"Brown","given":"Caroline L"},{"family":"Godduhn","given":"Anna"}],"issued":{"date-parts":[["2015"]]}}}],"schema":"https://github.com/citation-style-language/schema/raw/master/csl-citation.json"} </w:instrText>
      </w:r>
      <w:r w:rsidR="00413B87">
        <w:rPr>
          <w:rFonts w:ascii="Garamond" w:hAnsi="Garamond"/>
          <w:sz w:val="22"/>
          <w:szCs w:val="22"/>
        </w:rPr>
        <w:fldChar w:fldCharType="separate"/>
      </w:r>
      <w:r w:rsidR="00AF6E03">
        <w:rPr>
          <w:rFonts w:ascii="Garamond" w:hAnsi="Garamond"/>
          <w:noProof/>
          <w:sz w:val="22"/>
          <w:szCs w:val="22"/>
        </w:rPr>
        <w:t>(Brown &amp; Godduhn, 2015)</w:t>
      </w:r>
      <w:r w:rsidR="00413B87">
        <w:rPr>
          <w:rFonts w:ascii="Garamond" w:hAnsi="Garamond"/>
          <w:sz w:val="22"/>
          <w:szCs w:val="22"/>
        </w:rPr>
        <w:fldChar w:fldCharType="end"/>
      </w:r>
      <w:r w:rsidR="007266BC" w:rsidRPr="006D1917">
        <w:rPr>
          <w:rFonts w:ascii="Garamond" w:hAnsi="Garamond"/>
          <w:sz w:val="22"/>
          <w:szCs w:val="22"/>
        </w:rPr>
        <w:t>.</w:t>
      </w:r>
      <w:r w:rsidR="008872F5" w:rsidRPr="006D1917">
        <w:rPr>
          <w:rFonts w:ascii="Garamond" w:hAnsi="Garamond"/>
          <w:sz w:val="22"/>
          <w:szCs w:val="22"/>
        </w:rPr>
        <w:t xml:space="preserve"> </w:t>
      </w:r>
      <w:r w:rsidR="00CA262D" w:rsidRPr="006D1917">
        <w:rPr>
          <w:rFonts w:ascii="Garamond" w:hAnsi="Garamond"/>
          <w:sz w:val="22"/>
          <w:szCs w:val="22"/>
        </w:rPr>
        <w:t>As a result, resource</w:t>
      </w:r>
      <w:r w:rsidR="00DA7E79" w:rsidRPr="006D1917">
        <w:rPr>
          <w:rFonts w:ascii="Garamond" w:hAnsi="Garamond"/>
          <w:sz w:val="22"/>
          <w:szCs w:val="22"/>
        </w:rPr>
        <w:t xml:space="preserve"> managers </w:t>
      </w:r>
      <w:r w:rsidR="008872F5" w:rsidRPr="006D1917">
        <w:rPr>
          <w:rFonts w:ascii="Garamond" w:hAnsi="Garamond"/>
          <w:sz w:val="22"/>
          <w:szCs w:val="22"/>
        </w:rPr>
        <w:t xml:space="preserve">face the difficult task of </w:t>
      </w:r>
      <w:r w:rsidR="00040237" w:rsidRPr="006D1917">
        <w:rPr>
          <w:rFonts w:ascii="Garamond" w:hAnsi="Garamond"/>
          <w:sz w:val="22"/>
          <w:szCs w:val="22"/>
        </w:rPr>
        <w:t xml:space="preserve">designing management strategies which </w:t>
      </w:r>
      <w:r w:rsidR="008872F5" w:rsidRPr="006D1917">
        <w:rPr>
          <w:rFonts w:ascii="Garamond" w:hAnsi="Garamond"/>
          <w:sz w:val="22"/>
          <w:szCs w:val="22"/>
        </w:rPr>
        <w:t>balancing ongoing harvest opportunities with the urgent need to rebuild salmon populations and strengthen their resilience to future perturbations.</w:t>
      </w:r>
      <w:r w:rsidR="00DA7E79" w:rsidRPr="006D1917">
        <w:rPr>
          <w:rFonts w:ascii="Garamond" w:hAnsi="Garamond"/>
          <w:sz w:val="22"/>
          <w:szCs w:val="22"/>
        </w:rPr>
        <w:t xml:space="preserve"> </w:t>
      </w:r>
    </w:p>
    <w:p w14:paraId="71E5B8FD" w14:textId="3E0E59FE" w:rsidR="00C3570A" w:rsidRDefault="00033E6D" w:rsidP="00617050">
      <w:pPr>
        <w:pStyle w:val="NormalWeb"/>
        <w:spacing w:line="480" w:lineRule="auto"/>
        <w:ind w:firstLine="720"/>
        <w:rPr>
          <w:rFonts w:ascii="Garamond" w:hAnsi="Garamond"/>
          <w:sz w:val="22"/>
          <w:szCs w:val="22"/>
        </w:rPr>
      </w:pPr>
      <w:r w:rsidRPr="006D1917">
        <w:rPr>
          <w:rFonts w:ascii="Garamond" w:hAnsi="Garamond"/>
          <w:sz w:val="22"/>
          <w:szCs w:val="22"/>
        </w:rPr>
        <w:t>There is growing recognition of the critical role that intrapopulation variability plays in fostering resilience at the ecosystem scale</w:t>
      </w:r>
      <w:r w:rsidR="00040237" w:rsidRPr="006D1917">
        <w:rPr>
          <w:rFonts w:ascii="Garamond" w:hAnsi="Garamond"/>
          <w:sz w:val="22"/>
          <w:szCs w:val="22"/>
        </w:rPr>
        <w:t xml:space="preserve"> in both terrestrial and aquatic ecosystems</w:t>
      </w:r>
      <w:r w:rsidR="00AF6E03">
        <w:rPr>
          <w:rFonts w:ascii="Garamond" w:hAnsi="Garamond"/>
          <w:sz w:val="22"/>
          <w:szCs w:val="22"/>
        </w:rPr>
        <w:t xml:space="preserve"> </w:t>
      </w:r>
      <w:r w:rsidR="00AF6E03">
        <w:rPr>
          <w:rFonts w:ascii="Garamond" w:hAnsi="Garamond"/>
          <w:sz w:val="22"/>
          <w:szCs w:val="22"/>
        </w:rPr>
        <w:fldChar w:fldCharType="begin"/>
      </w:r>
      <w:r w:rsidR="00AF6E03">
        <w:rPr>
          <w:rFonts w:ascii="Garamond" w:hAnsi="Garamond"/>
          <w:sz w:val="22"/>
          <w:szCs w:val="22"/>
        </w:rPr>
        <w:instrText xml:space="preserve"> ADDIN ZOTERO_ITEM CSL_CITATION {"citationID":"R6hBXmsY","properties":{"formattedCitation":"(Bolnick et al., 2011)","plainCitation":"(Bolnick et al., 2011)","noteIndex":0},"citationItems":[{"id":5318,"uris":["http://zotero.org/users/8421274/items/R2ZYTKMR"],"itemData":{"id":5318,"type":"article-journal","container-title":"Trends in Ecology &amp; Evolution","DOI":"10.1016/j.tree.2011.01.009","ISSN":"0169-5347","issue":"4","journalAbbreviation":"Trends in Ecology &amp; Evolution","language":"English","note":"publisher: Elsevier\nPMID: 21367482","page":"183-192","source":"www.cell.com","title":"Why intraspecific trait variation matters in community ecology","volume":"26","author":[{"family":"Bolnick","given":"Daniel I."},{"family":"Amarasekare","given":"Priyanga"},{"family":"Araújo","given":"Márcio S."},{"family":"Bürger","given":"Reinhard"},{"family":"Levine","given":"Jonathan M."},{"family":"Novak","given":"Mark"},{"family":"Rudolf","given":"Volker H. W."},{"family":"Schreiber","given":"Sebastian J."},{"family":"Urban","given":"Mark C."},{"family":"Vasseur","given":"David A."}],"issued":{"date-parts":[["2011",4,1]]}}}],"schema":"https://github.com/citation-style-language/schema/raw/master/csl-citation.json"} </w:instrText>
      </w:r>
      <w:r w:rsidR="00AF6E03">
        <w:rPr>
          <w:rFonts w:ascii="Garamond" w:hAnsi="Garamond"/>
          <w:sz w:val="22"/>
          <w:szCs w:val="22"/>
        </w:rPr>
        <w:fldChar w:fldCharType="separate"/>
      </w:r>
      <w:r w:rsidR="00AF6E03">
        <w:rPr>
          <w:rFonts w:ascii="Garamond" w:hAnsi="Garamond"/>
          <w:noProof/>
          <w:sz w:val="22"/>
          <w:szCs w:val="22"/>
        </w:rPr>
        <w:t>(Bolnick et al., 2011)</w:t>
      </w:r>
      <w:r w:rsidR="00AF6E03">
        <w:rPr>
          <w:rFonts w:ascii="Garamond" w:hAnsi="Garamond"/>
          <w:sz w:val="22"/>
          <w:szCs w:val="22"/>
        </w:rPr>
        <w:fldChar w:fldCharType="end"/>
      </w:r>
      <w:r w:rsidRPr="006D1917">
        <w:rPr>
          <w:rFonts w:ascii="Garamond" w:hAnsi="Garamond"/>
          <w:sz w:val="22"/>
          <w:szCs w:val="22"/>
        </w:rPr>
        <w:t xml:space="preserve">. In salmon populations, substantial variation in </w:t>
      </w:r>
      <w:r w:rsidR="00040237" w:rsidRPr="006D1917">
        <w:rPr>
          <w:rFonts w:ascii="Garamond" w:hAnsi="Garamond"/>
          <w:sz w:val="22"/>
          <w:szCs w:val="22"/>
        </w:rPr>
        <w:t>both</w:t>
      </w:r>
      <w:r w:rsidRPr="006D1917">
        <w:rPr>
          <w:rFonts w:ascii="Garamond" w:hAnsi="Garamond"/>
          <w:sz w:val="22"/>
          <w:szCs w:val="22"/>
        </w:rPr>
        <w:t xml:space="preserve"> return timing and spatial distribution</w:t>
      </w:r>
      <w:r w:rsidR="00040237" w:rsidRPr="006D1917">
        <w:rPr>
          <w:rFonts w:ascii="Garamond" w:hAnsi="Garamond"/>
          <w:sz w:val="22"/>
          <w:szCs w:val="22"/>
        </w:rPr>
        <w:t xml:space="preserve"> of habitat use produces significant complexity in life history strategies within and among populations. Overall population performance in salmon ecosystems is</w:t>
      </w:r>
      <w:r w:rsidR="00AF6E03">
        <w:rPr>
          <w:rFonts w:ascii="Garamond" w:hAnsi="Garamond"/>
          <w:sz w:val="22"/>
          <w:szCs w:val="22"/>
        </w:rPr>
        <w:t xml:space="preserve"> therefore</w:t>
      </w:r>
      <w:r w:rsidR="00040237" w:rsidRPr="006D1917">
        <w:rPr>
          <w:rFonts w:ascii="Garamond" w:hAnsi="Garamond"/>
          <w:sz w:val="22"/>
          <w:szCs w:val="22"/>
        </w:rPr>
        <w:t xml:space="preserve"> shaped by the statistical averaging of multiple distinct, semi-independent sub-units distributed across space and time</w:t>
      </w:r>
      <w:r w:rsidR="00AF6E03">
        <w:rPr>
          <w:rFonts w:ascii="Garamond" w:hAnsi="Garamond"/>
          <w:sz w:val="22"/>
          <w:szCs w:val="22"/>
        </w:rPr>
        <w:t xml:space="preserve"> </w:t>
      </w:r>
      <w:r w:rsidR="00AF6E03">
        <w:rPr>
          <w:rFonts w:ascii="Garamond" w:hAnsi="Garamond"/>
          <w:sz w:val="22"/>
          <w:szCs w:val="22"/>
        </w:rPr>
        <w:fldChar w:fldCharType="begin"/>
      </w:r>
      <w:r w:rsidR="00F626FB">
        <w:rPr>
          <w:rFonts w:ascii="Garamond" w:hAnsi="Garamond"/>
          <w:sz w:val="22"/>
          <w:szCs w:val="22"/>
        </w:rPr>
        <w:instrText xml:space="preserve"> ADDIN ZOTERO_ITEM CSL_CITATION {"citationID":"4R3sEUmP","properties":{"formattedCitation":"(Connors et al., 2022; Ohlberger et al., 2016)","plainCitation":"(Connors et al., 2022; Ohlberger et al., 2016)","noteIndex":0},"citationItems":[{"id":4144,"uris":["http://zotero.org/users/8421274/items/M4DUIZ82"],"itemData":{"id":4144,"type":"article-journal","abstract":"Variation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G."}],"issued":{"date-parts":[["2022"]]}}},{"id":5321,"uris":["http://zotero.org/users/8421274/items/PJWLDI6C"],"itemData":{"id":5321,"type":"article-journal","abstract":"A central problem in understanding how species respond to global change is in parsing the effects of local drivers of population dynamics from regional and global drivers that are shared among populations. Management and conservation efforts that typically focus on a particular population would benefit greatly from being able to separate the effects of environmental processes at local, regional, and global scales. One way of addressing this challenge is to integrate data across multiple populations and use multivariate time series approaches to estimate shared and independent components of dynamics among neighboring populations. Here, we use a data set of 15 populations of Chinook salmon (Oncorhynchus tshawytscha) covering a broad geographical range in the eastern North Pacific Ocean to show how Dynamic Factor Analysis (DFA) can be used to estimate temporal coherence in population dynamics and to detect environmental drivers across spatial scales. Our results show that productivity dynamics of Chinook salmon populations strongly covary at the regional scale, but to a lesser degree at larger spatial scales. The timing of river ice break-up in spring was identified as an important driver of regional productivity dynamics. In addition, broad-scale variability in population productivity was linked to the North Pacific Gyre Oscillation, a dominant pattern of sea surface height variability. These broad-scale patterns in productivity dynamics may be associated with recent regime shifts in the Northeast Pacific Ocean. However, our results also demonstrate that populations within regions do not always respond consistently to the same environmental drivers, thus suggesting location-specific impacts. Overall, this study illustrates the use of DFA for quantifying the spatial and temporal complexity of multiple population responses to environmental change, thereby providing insights to processes that affect populations across large geographic areas, but that might be filtered by local habitat conditions.","container-title":"Ecosphere","DOI":"10.1002/ecs2.1333","ISSN":"2150-8925","issue":"4","language":"en","license":"© 2016 Ohlberger et al.","note":"_eprint: https://esajournals.onlinelibrary.wiley.com/doi/pdf/10.1002/ecs2.1333","page":"e01333","source":"Wiley Online Library","title":"Population coherence and environmental impacts across spatial scales: a case study of Chinook salmon","title-short":"Population coherence and environmental impacts across spatial scales","volume":"7","author":[{"family":"Ohlberger","given":"Jan"},{"family":"Scheuerell","given":"Mark D."},{"family":"Schindler","given":"Daniel E."}],"issued":{"date-parts":[["2016"]]}}}],"schema":"https://github.com/citation-style-language/schema/raw/master/csl-citation.json"} </w:instrText>
      </w:r>
      <w:r w:rsidR="00AF6E03">
        <w:rPr>
          <w:rFonts w:ascii="Garamond" w:hAnsi="Garamond"/>
          <w:sz w:val="22"/>
          <w:szCs w:val="22"/>
        </w:rPr>
        <w:fldChar w:fldCharType="separate"/>
      </w:r>
      <w:r w:rsidR="00F626FB">
        <w:rPr>
          <w:rFonts w:ascii="Garamond" w:hAnsi="Garamond"/>
          <w:noProof/>
          <w:sz w:val="22"/>
          <w:szCs w:val="22"/>
        </w:rPr>
        <w:t>(Connors et al., 2022; Ohlberger et al., 2016)</w:t>
      </w:r>
      <w:r w:rsidR="00AF6E03">
        <w:rPr>
          <w:rFonts w:ascii="Garamond" w:hAnsi="Garamond"/>
          <w:sz w:val="22"/>
          <w:szCs w:val="22"/>
        </w:rPr>
        <w:fldChar w:fldCharType="end"/>
      </w:r>
      <w:r w:rsidR="00AF6E03">
        <w:rPr>
          <w:rFonts w:ascii="Garamond" w:hAnsi="Garamond"/>
          <w:sz w:val="22"/>
          <w:szCs w:val="22"/>
        </w:rPr>
        <w:t xml:space="preserve">. </w:t>
      </w:r>
      <w:r w:rsidR="00040237" w:rsidRPr="006D1917">
        <w:rPr>
          <w:rFonts w:ascii="Garamond" w:hAnsi="Garamond"/>
          <w:sz w:val="22"/>
          <w:szCs w:val="22"/>
        </w:rPr>
        <w:t>Weak or negative covariance among these stocks helps buffer the broader population against the poor performance of any individual subunit, whose success may fluctuate in response to a dynamic mosaic of multi-dimensional environmental conditions</w:t>
      </w:r>
      <w:r w:rsidR="00F626FB">
        <w:rPr>
          <w:rFonts w:ascii="Garamond" w:hAnsi="Garamond"/>
          <w:sz w:val="22"/>
          <w:szCs w:val="22"/>
        </w:rPr>
        <w:t xml:space="preserve"> </w:t>
      </w:r>
      <w:r w:rsidR="00AF6E03">
        <w:rPr>
          <w:rFonts w:ascii="Garamond" w:hAnsi="Garamond"/>
          <w:sz w:val="22"/>
          <w:szCs w:val="22"/>
        </w:rPr>
        <w:fldChar w:fldCharType="begin"/>
      </w:r>
      <w:r w:rsidR="005E64F6">
        <w:rPr>
          <w:rFonts w:ascii="Garamond" w:hAnsi="Garamond"/>
          <w:sz w:val="22"/>
          <w:szCs w:val="22"/>
        </w:rPr>
        <w:instrText xml:space="preserve"> ADDIN ZOTERO_ITEM CSL_CITATION {"citationID":"m5A16NUn","properties":{"formattedCitation":"(Brennan, Schindler, et al., 2019; Schindler et al., 2010)","plainCitation":"(Brennan, Schindler, et al., 2019; Schindler et al., 2010)","noteIndex":0},"citationItems":[{"id":3844,"uris":["http://zotero.org/users/8421274/items/RXD5IA9D"],"itemData":{"id":3844,"type":"article-journal","abstract":"Watersheds are complex mosaics of habitats whose conditions vary across space and time as landscape features filter overriding climate forcing, yet the extent to which the reliability of ecosystem services depends on these dynamics remains unknown. We quantified how shifting habitat mosaics are expressed across a range of spatial scales within a large, free-flowing river, and how they stabilize the production of Pacific salmon that support valuable fisheries. The strontium isotope records of ear stones (otoliths) show that the relative productivity of locations across the river network, as both natal- and juvenile-rearing habitat, varies widely among years and that this variability is expressed across a broad range of spatial scales, ultimately stabilizing the interannual production of fish at the scale of the entire basin.","container-title":"Science","DOI":"10.1126/science.aav4313","issue":"6442","note":"publisher: American Association for the Advancement of Science","page":"783-786","source":"science.org (Atypon)","title":"Shifting habitat mosaics and fish production across river basins","volume":"364","author":[{"family":"Brennan","given":"Sean R."},{"family":"Schindler","given":"Daniel E."},{"family":"Cline","given":"Timothy J."},{"family":"Walsworth","given":"Timothy E."},{"family":"Buck","given":"Greg"},{"family":"Fernandez","given":"Diego P."}],"issued":{"date-parts":[["2019"]]}},"label":"page"},{"id":272,"uris":["http://zotero.org/users/8421274/items/24NDGS7V"],"itemData":{"id":272,"type":"article-journal","abstract":"One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sidR="00AF6E03">
        <w:rPr>
          <w:rFonts w:ascii="Garamond" w:hAnsi="Garamond"/>
          <w:sz w:val="22"/>
          <w:szCs w:val="22"/>
        </w:rPr>
        <w:fldChar w:fldCharType="separate"/>
      </w:r>
      <w:r w:rsidR="005E64F6">
        <w:rPr>
          <w:rFonts w:ascii="Garamond" w:hAnsi="Garamond"/>
          <w:noProof/>
          <w:sz w:val="22"/>
          <w:szCs w:val="22"/>
        </w:rPr>
        <w:t>(Brennan, Schindler, et al., 2019; Schindler et al., 2010)</w:t>
      </w:r>
      <w:r w:rsidR="00AF6E03">
        <w:rPr>
          <w:rFonts w:ascii="Garamond" w:hAnsi="Garamond"/>
          <w:sz w:val="22"/>
          <w:szCs w:val="22"/>
        </w:rPr>
        <w:fldChar w:fldCharType="end"/>
      </w:r>
      <w:r w:rsidR="00040237" w:rsidRPr="006D1917">
        <w:rPr>
          <w:rFonts w:ascii="Garamond" w:hAnsi="Garamond"/>
          <w:sz w:val="22"/>
          <w:szCs w:val="22"/>
        </w:rPr>
        <w:t xml:space="preserve">. </w:t>
      </w:r>
      <w:r w:rsidRPr="006D1917">
        <w:rPr>
          <w:rFonts w:ascii="Garamond" w:hAnsi="Garamond"/>
          <w:sz w:val="22"/>
          <w:szCs w:val="22"/>
        </w:rPr>
        <w:t>This “portfolio effect” dampens ecosystem variability by distributing risk</w:t>
      </w:r>
      <w:r w:rsidR="00040237" w:rsidRPr="006D1917">
        <w:rPr>
          <w:rFonts w:ascii="Garamond" w:hAnsi="Garamond"/>
          <w:sz w:val="22"/>
          <w:szCs w:val="22"/>
        </w:rPr>
        <w:t xml:space="preserve"> across its components</w:t>
      </w:r>
      <w:r w:rsidRPr="006D1917">
        <w:rPr>
          <w:rFonts w:ascii="Garamond" w:hAnsi="Garamond"/>
          <w:sz w:val="22"/>
          <w:szCs w:val="22"/>
        </w:rPr>
        <w:t xml:space="preserve">, much </w:t>
      </w:r>
      <w:r w:rsidR="00040237" w:rsidRPr="006D1917">
        <w:rPr>
          <w:rFonts w:ascii="Garamond" w:hAnsi="Garamond"/>
          <w:sz w:val="22"/>
          <w:szCs w:val="22"/>
        </w:rPr>
        <w:t xml:space="preserve">in the same way that </w:t>
      </w:r>
      <w:r w:rsidRPr="006D1917">
        <w:rPr>
          <w:rFonts w:ascii="Garamond" w:hAnsi="Garamond"/>
          <w:sz w:val="22"/>
          <w:szCs w:val="22"/>
        </w:rPr>
        <w:t>financial diversification</w:t>
      </w:r>
      <w:r w:rsidR="00040237" w:rsidRPr="006D1917">
        <w:rPr>
          <w:rFonts w:ascii="Garamond" w:hAnsi="Garamond"/>
          <w:sz w:val="22"/>
          <w:szCs w:val="22"/>
        </w:rPr>
        <w:t xml:space="preserve"> of a portfolio</w:t>
      </w:r>
      <w:r w:rsidRPr="006D1917">
        <w:rPr>
          <w:rFonts w:ascii="Garamond" w:hAnsi="Garamond"/>
          <w:sz w:val="22"/>
          <w:szCs w:val="22"/>
        </w:rPr>
        <w:t xml:space="preserve"> spreads investment risk across sectors to reduce overall volatility</w:t>
      </w:r>
      <w:r w:rsidR="00AF6E03">
        <w:rPr>
          <w:rFonts w:ascii="Garamond" w:hAnsi="Garamond"/>
          <w:sz w:val="22"/>
          <w:szCs w:val="22"/>
        </w:rPr>
        <w:t xml:space="preserve"> </w:t>
      </w:r>
      <w:r w:rsidR="00AF6E03">
        <w:rPr>
          <w:rFonts w:ascii="Garamond" w:hAnsi="Garamond"/>
          <w:sz w:val="22"/>
          <w:szCs w:val="22"/>
        </w:rPr>
        <w:fldChar w:fldCharType="begin"/>
      </w:r>
      <w:r w:rsidR="00F626FB">
        <w:rPr>
          <w:rFonts w:ascii="Garamond" w:hAnsi="Garamond"/>
          <w:sz w:val="22"/>
          <w:szCs w:val="22"/>
        </w:rPr>
        <w:instrText xml:space="preserve"> ADDIN ZOTERO_ITEM CSL_CITATION {"citationID":"ropzGQtb","properties":{"formattedCitation":"(Cline et al., 2017; Griffiths et al., 2014; Markowitz, 1952; Schindler et al., 2015)","plainCitation":"(Cline et al., 2017; Griffiths et al., 2014; Markowitz, 1952; Schindler et al., 2015)","noteIndex":0},"citationItems":[{"id":1181,"uris":["http://zotero.org/users/8421274/items/B23FV4AJ"],"itemData":{"id":1181,"type":"article-journal","abstract":"Abrupt shifts in natural resources and their markets are a ubiquitous challenge to human communities. Building resilient social-ecological systems requires approaches that are robust to uncertainty and to regime shifts. Harvesting diverse portfolios of natural resources and adapting portfolios in response to change could stabilize economies reliant on natural resources and their markets, both of which are prone to unpredictable shifts. Here we use fisheries catch and revenue data from Alaskan fishing communities over 34 years to test whether diversification and turnover in the composition of fishing opportunities increased economic stability during major ocean and market regime shifts in 1989. More than 85% of communities show reduced fishing revenues following these regime shifts. However, communities with the highest portfolio diversity and those that could opportunistically shift the composition of resources they harvest, experienced negligible or even positive changes in revenue. Maintaining diversity in economic opportunities and enabling turnover facilitates sustainability of communities reliant on renewable resources facing uncertain futures.","container-title":"Nature Communications","DOI":"10.1038/ncomms14042","ISSN":"2041-1723","issue":"1","journalAbbreviation":"Nat Commun","language":"en","license":"2017 The Author(s)","note":"number: 1\npublisher: Nature Publishing Group","page":"14042","source":"www-nature-com.offcampus.lib.washington.edu","title":"Fisheries portfolio diversification and turnover buffer Alaskan fishing communities from abrupt resource and market changes","volume":"8","author":[{"family":"Cline","given":"Timothy J."},{"family":"Schindler","given":"Daniel E."},{"family":"Hilborn","given":"Ray"}],"issued":{"date-parts":[["2017",1,16]]}}},{"id":4217,"uris":["http://zotero.org/users/8421274/items/8XTQF7BZ"],"itemData":{"id":4217,"type":"article-journal","abstract":"&lt;list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w:instrText>
      </w:r>
      <w:r w:rsidR="00F626FB" w:rsidRPr="000D2FD1">
        <w:rPr>
          <w:rFonts w:ascii="Garamond" w:hAnsi="Garamond"/>
          <w:sz w:val="22"/>
          <w:szCs w:val="22"/>
          <w:lang w:val="fr-FR"/>
        </w:rPr>
        <w:instrText xml:space="preserve">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C."}],"issued":{"date-parts":[["2014",12]]}}},{"id":5389,"uris":["http://zotero.org/users/8421274/items/4NQQUH9L"],"itemData":{"id":5389,"type":"article-journal","container-title":"The Journal of Finance","DOI":"10.2307/2975974","ISSN":"0022-1082","issue":"1","note":"publisher: [American Finance Association, Wiley]","page":"77-91","source":"JSTOR","title":"Portfolio Selection","volume":"7","author":[{"family":"Markowitz","given":"Harry"}],"issued":{"date-parts":[["1952"]]}}},{"id":68,"uris":["http://zotero.org/users/8421274/items/DIRY8NHC"],"itemData":{"id":68,"type":"article-journal","container-title":"Frontiers in Ecology and the Environment","issue":"5","note":"publisher: Wiley Online Library","page":"257–263","source":"Google Scholar","title":"The portfolio concept in ecology and evolution","volume":"13","author":[{"family":"Schindler","given":"Daniel E."},{"family":"Armstrong","given":"Jonathan B."},{"family":"Reed","given":"Thomas E."}],"issued":{"date-parts":[["2015"]]}}}],"schema":"https://github.com/citation-style-language/schema/raw/master/csl-citation.json"} </w:instrText>
      </w:r>
      <w:r w:rsidR="00AF6E03">
        <w:rPr>
          <w:rFonts w:ascii="Garamond" w:hAnsi="Garamond"/>
          <w:sz w:val="22"/>
          <w:szCs w:val="22"/>
        </w:rPr>
        <w:fldChar w:fldCharType="separate"/>
      </w:r>
      <w:r w:rsidR="00F626FB" w:rsidRPr="000D2FD1">
        <w:rPr>
          <w:rFonts w:ascii="Garamond" w:hAnsi="Garamond"/>
          <w:noProof/>
          <w:sz w:val="22"/>
          <w:szCs w:val="22"/>
          <w:lang w:val="fr-FR"/>
        </w:rPr>
        <w:t>(Cline et al., 2017; Griffiths et al., 2014; Markowitz, 1952; Schindler et al., 2015)</w:t>
      </w:r>
      <w:r w:rsidR="00AF6E03">
        <w:rPr>
          <w:rFonts w:ascii="Garamond" w:hAnsi="Garamond"/>
          <w:sz w:val="22"/>
          <w:szCs w:val="22"/>
        </w:rPr>
        <w:fldChar w:fldCharType="end"/>
      </w:r>
      <w:r w:rsidRPr="000D2FD1">
        <w:rPr>
          <w:rFonts w:ascii="Garamond" w:hAnsi="Garamond"/>
          <w:sz w:val="22"/>
          <w:szCs w:val="22"/>
          <w:lang w:val="fr-FR"/>
        </w:rPr>
        <w:t>.</w:t>
      </w:r>
      <w:r w:rsidR="00040237" w:rsidRPr="000D2FD1">
        <w:rPr>
          <w:rFonts w:ascii="Garamond" w:hAnsi="Garamond"/>
          <w:sz w:val="22"/>
          <w:szCs w:val="22"/>
          <w:lang w:val="fr-FR"/>
        </w:rPr>
        <w:t xml:space="preserve"> </w:t>
      </w:r>
      <w:r w:rsidRPr="006D1917">
        <w:rPr>
          <w:rFonts w:ascii="Garamond" w:hAnsi="Garamond"/>
          <w:sz w:val="22"/>
          <w:szCs w:val="22"/>
        </w:rPr>
        <w:t>Ecosystems composed of numerous negatively or weakly correlated “assets” are therefore better equipped to withstand both localized and system-wide disturbances, as such events may favor some components while disadvantaging others.</w:t>
      </w:r>
      <w:r w:rsidR="005549AA">
        <w:rPr>
          <w:rFonts w:ascii="Garamond" w:hAnsi="Garamond"/>
          <w:sz w:val="22"/>
          <w:szCs w:val="22"/>
        </w:rPr>
        <w:t xml:space="preserve"> </w:t>
      </w:r>
      <w:r w:rsidR="00617050">
        <w:rPr>
          <w:rFonts w:ascii="Garamond" w:hAnsi="Garamond"/>
          <w:sz w:val="22"/>
          <w:szCs w:val="22"/>
        </w:rPr>
        <w:t>B</w:t>
      </w:r>
      <w:r w:rsidR="00C3570A" w:rsidRPr="00C3570A">
        <w:rPr>
          <w:rFonts w:ascii="Garamond" w:hAnsi="Garamond"/>
          <w:sz w:val="22"/>
          <w:szCs w:val="22"/>
        </w:rPr>
        <w:t xml:space="preserve">oth the duration and magnitude of resources available to communities depend on </w:t>
      </w:r>
      <w:r w:rsidR="00617050">
        <w:rPr>
          <w:rFonts w:ascii="Garamond" w:hAnsi="Garamond"/>
          <w:sz w:val="22"/>
          <w:szCs w:val="22"/>
        </w:rPr>
        <w:t xml:space="preserve">the systemwide stability that this </w:t>
      </w:r>
      <w:r w:rsidR="00617050">
        <w:rPr>
          <w:rFonts w:ascii="Garamond" w:hAnsi="Garamond"/>
          <w:sz w:val="22"/>
          <w:szCs w:val="22"/>
        </w:rPr>
        <w:lastRenderedPageBreak/>
        <w:t xml:space="preserve">intraspecies variation provides. </w:t>
      </w:r>
      <w:r w:rsidR="00C3570A" w:rsidRPr="00C3570A">
        <w:rPr>
          <w:rFonts w:ascii="Garamond" w:hAnsi="Garamond"/>
          <w:sz w:val="22"/>
          <w:szCs w:val="22"/>
        </w:rPr>
        <w:t>For example, fisheries that harvest downstream stocks during their upstream migration</w:t>
      </w:r>
      <w:r w:rsidR="00C3570A">
        <w:rPr>
          <w:rFonts w:ascii="Garamond" w:hAnsi="Garamond"/>
          <w:sz w:val="22"/>
          <w:szCs w:val="22"/>
        </w:rPr>
        <w:t xml:space="preserve">, </w:t>
      </w:r>
      <w:r w:rsidR="00C3570A" w:rsidRPr="00C3570A">
        <w:rPr>
          <w:rFonts w:ascii="Garamond" w:hAnsi="Garamond"/>
          <w:sz w:val="22"/>
          <w:szCs w:val="22"/>
        </w:rPr>
        <w:t>such as commercial Pacific salmon fisheries</w:t>
      </w:r>
      <w:r w:rsidR="00C3570A">
        <w:rPr>
          <w:rFonts w:ascii="Garamond" w:hAnsi="Garamond"/>
          <w:sz w:val="22"/>
          <w:szCs w:val="22"/>
        </w:rPr>
        <w:t xml:space="preserve">, </w:t>
      </w:r>
      <w:r w:rsidR="00C3570A" w:rsidRPr="00C3570A">
        <w:rPr>
          <w:rFonts w:ascii="Garamond" w:hAnsi="Garamond"/>
          <w:sz w:val="22"/>
          <w:szCs w:val="22"/>
        </w:rPr>
        <w:t xml:space="preserve">rely on the aggregate dynamics of multiple upstream populations. The stability of downstream harvests, therefore, hinges on preserving response diversity across these upstream metapopulations, which in turn enhances both the accessibility and reliability of harvest </w:t>
      </w:r>
      <w:r w:rsidR="005560A6" w:rsidRPr="00C3570A">
        <w:rPr>
          <w:rFonts w:ascii="Garamond" w:hAnsi="Garamond"/>
          <w:sz w:val="22"/>
          <w:szCs w:val="22"/>
        </w:rPr>
        <w:t>opportunities</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{"citationID":"bdM2yxbf","properties":{"formattedCitation":"(Nesbitt &amp; Moore, 2016)","plainCitation":"(Nesbitt &amp; Moore, 2016)","noteIndex":0},"citationItems":[{"id":3361,"uris":["http://zotero.org/users/8421274/items/U6M4JZTI"],"itemData":{"id":3361,"type":"article-journal","abstract":"Indigenous people are considered to be among the most vulnerable to food insecurity and biodiversity loss. Biodiversity is cited as a key component of indigenous food security; however, quantitative examples of this linkage are limited. We examined how species and population diversity influence the food security of indigenous fisheries for Pacific salmon (Oncorhynchus species). We compared two dimensions of food security – catch stability (interannual variability) and access (season length) – across a salmon diversity gradient for 21 fisheries on the Fraser River, Canada, over 30 years, using linear regression models. We used population diversity proxies derived from a range of existing measures because population-specific data were unavailable. While both population and species diversity were generally associated with higher catch stability and temporal access, population diversity had a stronger signal. Fisheries with access to high species diversity had up to 1·4 times more stable catch than predicted by the portfolio effect and up to 1·2 times longer fishing seasons than fisheries with access to fewer species. Fisheries with access to high population diversity had up to 3·8 times more stable catch and three times longer seasons than fisheries with access to fewer populations. Catch stability of Chinook Oncorhynchus tshawytscha and sockeye Oncorhynchus nerka fisheries was best explained by the number of populations and conservation units, respectively, that migrate past a fishery en route to spawning grounds. Similar population diversity metrics were important explanatory variables for season length of sockeye, pink Oncorhynchus gorbuscha, coho Oncorhynchus kisutch and chum Oncorhynchus keta fisheries. Synthesis and applications. We show an empirical example of how multiple scales of biodiversity support food security across a large watershed and suggest that protecting fine-scale salmon diversity will help promote food security for indigenous people. The scales of environmental assessments need to match the scales of the socio-ecological processes that will be affected by development. We illustrate that upstream projects that damage salmon habitat could degrade the food security of downstream indigenous fisheries, with implications to Canadian indigenous people and to watersheds around the world where migratory fishes support local fisheries.","container-title":"Journal of Applied Ecology","DOI":"10.1111/1365-2664.12717","ISSN":"1365-2664","issue":"5","language":"en","note":"_eprint: https://onlinelibrary.wiley.com/doi/pdf/10.1111/1365-2664.12717","page":"1489-1499","source":"Wiley Online Library","title":"Species and population diversity in Pacific salmon fisheries underpin indigenous food security","volume":"53","author":[{"family":"Nesbitt","given":"Holly K."},{"family":"Moore","given":"Jonathan W."}],"issued":{"date-parts":[["2016"]]}}}],"schema":"https://github.com/citation-style-language/schema/raw/master/csl-citation.json"}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(Nesbitt &amp; Moore, 2016)</w:t>
      </w:r>
      <w:r w:rsidR="00F626FB">
        <w:rPr>
          <w:rFonts w:ascii="Garamond" w:hAnsi="Garamond"/>
          <w:sz w:val="22"/>
          <w:szCs w:val="22"/>
        </w:rPr>
        <w:fldChar w:fldCharType="end"/>
      </w:r>
      <w:r w:rsidR="00F626FB">
        <w:rPr>
          <w:rFonts w:ascii="Garamond" w:hAnsi="Garamond"/>
          <w:sz w:val="22"/>
          <w:szCs w:val="22"/>
        </w:rPr>
        <w:t xml:space="preserve">. </w:t>
      </w:r>
    </w:p>
    <w:p w14:paraId="146363ED" w14:textId="069145E4" w:rsidR="009076B8" w:rsidRPr="006D1917" w:rsidRDefault="00033E6D" w:rsidP="005560A6">
      <w:pPr>
        <w:pStyle w:val="NormalWeb"/>
        <w:spacing w:line="480" w:lineRule="auto"/>
        <w:ind w:firstLine="720"/>
        <w:rPr>
          <w:rFonts w:ascii="Garamond" w:hAnsi="Garamond"/>
          <w:sz w:val="22"/>
          <w:szCs w:val="22"/>
        </w:rPr>
      </w:pPr>
      <w:r w:rsidRPr="006D1917">
        <w:rPr>
          <w:rFonts w:ascii="Garamond" w:hAnsi="Garamond"/>
          <w:sz w:val="22"/>
          <w:szCs w:val="22"/>
        </w:rPr>
        <w:t xml:space="preserve"> </w:t>
      </w:r>
      <w:r w:rsidR="00040237" w:rsidRPr="006D1917">
        <w:rPr>
          <w:rFonts w:ascii="Garamond" w:hAnsi="Garamond"/>
          <w:sz w:val="22"/>
          <w:szCs w:val="22"/>
        </w:rPr>
        <w:t>I</w:t>
      </w:r>
      <w:r w:rsidRPr="006D1917">
        <w:rPr>
          <w:rFonts w:ascii="Garamond" w:hAnsi="Garamond"/>
          <w:sz w:val="22"/>
          <w:szCs w:val="22"/>
        </w:rPr>
        <w:t>n many salmon populations</w:t>
      </w:r>
      <w:r w:rsidR="00040237" w:rsidRPr="006D1917">
        <w:rPr>
          <w:rFonts w:ascii="Garamond" w:hAnsi="Garamond"/>
          <w:sz w:val="22"/>
          <w:szCs w:val="22"/>
        </w:rPr>
        <w:t xml:space="preserve">, </w:t>
      </w:r>
      <w:r w:rsidRPr="006D1917">
        <w:rPr>
          <w:rFonts w:ascii="Garamond" w:hAnsi="Garamond"/>
          <w:sz w:val="22"/>
          <w:szCs w:val="22"/>
        </w:rPr>
        <w:t>particularly those at lower latitudes</w:t>
      </w:r>
      <w:r w:rsidR="00040237" w:rsidRPr="006D1917">
        <w:rPr>
          <w:rFonts w:ascii="Garamond" w:hAnsi="Garamond"/>
          <w:sz w:val="22"/>
          <w:szCs w:val="22"/>
        </w:rPr>
        <w:t xml:space="preserve">, </w:t>
      </w:r>
      <w:r w:rsidRPr="006D1917">
        <w:rPr>
          <w:rFonts w:ascii="Garamond" w:hAnsi="Garamond"/>
          <w:sz w:val="22"/>
          <w:szCs w:val="22"/>
        </w:rPr>
        <w:t xml:space="preserve">this natural complexity has been eroded due to poor management and anthropogenic impacts on salmon ecosystems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{"citationID":"QngDQRRW","properties":{"formattedCitation":"(Griffiths et al., 2014)","plainCitation":"(Griffiths et al., 2014)","noteIndex":0},"citationItems":[{"id":4217,"uris":["http://zotero.org/users/8421274/items/8XTQF7BZ"],"itemData":{"id":4217,"type":"article-journal","abstract":"&lt;list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(Griffiths et al., 2014)</w:t>
      </w:r>
      <w:r w:rsidR="00F626FB">
        <w:rPr>
          <w:rFonts w:ascii="Garamond" w:hAnsi="Garamond"/>
          <w:sz w:val="22"/>
          <w:szCs w:val="22"/>
        </w:rPr>
        <w:fldChar w:fldCharType="end"/>
      </w:r>
      <w:r w:rsidR="00F626FB">
        <w:rPr>
          <w:rFonts w:ascii="Garamond" w:hAnsi="Garamond"/>
          <w:sz w:val="22"/>
          <w:szCs w:val="22"/>
        </w:rPr>
        <w:t>.</w:t>
      </w:r>
      <w:r w:rsidRPr="006D1917">
        <w:rPr>
          <w:rFonts w:ascii="Garamond" w:hAnsi="Garamond"/>
          <w:sz w:val="22"/>
          <w:szCs w:val="22"/>
        </w:rPr>
        <w:t xml:space="preserve"> As a result, many systems now exhibit increased synchrony across subunits, leading to greater covariance in performance and generating “boom-or-bust” cycles in ecosystem productivity. This homogenization increases </w:t>
      </w:r>
      <w:r w:rsidR="00040237" w:rsidRPr="006D1917">
        <w:rPr>
          <w:rFonts w:ascii="Garamond" w:hAnsi="Garamond"/>
          <w:sz w:val="22"/>
          <w:szCs w:val="22"/>
        </w:rPr>
        <w:t xml:space="preserve">ecosystem </w:t>
      </w:r>
      <w:r w:rsidRPr="006D1917">
        <w:rPr>
          <w:rFonts w:ascii="Garamond" w:hAnsi="Garamond"/>
          <w:sz w:val="22"/>
          <w:szCs w:val="22"/>
        </w:rPr>
        <w:t>vulnerability</w:t>
      </w:r>
      <w:r w:rsidR="00040237" w:rsidRPr="006D1917">
        <w:rPr>
          <w:rFonts w:ascii="Garamond" w:hAnsi="Garamond"/>
          <w:sz w:val="22"/>
          <w:szCs w:val="22"/>
        </w:rPr>
        <w:t xml:space="preserve">, even if </w:t>
      </w:r>
      <w:r w:rsidRPr="006D1917">
        <w:rPr>
          <w:rFonts w:ascii="Garamond" w:hAnsi="Garamond"/>
          <w:sz w:val="22"/>
          <w:szCs w:val="22"/>
        </w:rPr>
        <w:t>aggregate return numbers appear stable</w:t>
      </w:r>
      <w:r w:rsidR="00040237" w:rsidRPr="006D1917">
        <w:rPr>
          <w:rFonts w:ascii="Garamond" w:hAnsi="Garamond"/>
          <w:sz w:val="22"/>
          <w:szCs w:val="22"/>
        </w:rPr>
        <w:t xml:space="preserve"> or even more productive than more diversified ecosystems in the short term</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{"citationID":"3JTTD5nr","properties":{"formattedCitation":"(Schindler et al., 2010)","plainCitation":"(Schindler et al., 2010)","noteIndex":0},"citationItems":[{"id":272,"uris":["http://zotero.org/users/8421274/items/24NDGS7V"],"itemData":{"id":272,"type":"article-journal","abstract":"One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(Schindler et al., 2010)</w:t>
      </w:r>
      <w:r w:rsidR="00F626FB">
        <w:rPr>
          <w:rFonts w:ascii="Garamond" w:hAnsi="Garamond"/>
          <w:sz w:val="22"/>
          <w:szCs w:val="22"/>
        </w:rPr>
        <w:fldChar w:fldCharType="end"/>
      </w:r>
      <w:r w:rsidR="00040237" w:rsidRPr="006D1917">
        <w:rPr>
          <w:rFonts w:ascii="Garamond" w:hAnsi="Garamond"/>
          <w:sz w:val="22"/>
          <w:szCs w:val="22"/>
        </w:rPr>
        <w:t xml:space="preserve">. </w:t>
      </w:r>
      <w:r w:rsidRPr="006D1917">
        <w:rPr>
          <w:rFonts w:ascii="Garamond" w:hAnsi="Garamond"/>
          <w:sz w:val="22"/>
          <w:szCs w:val="22"/>
        </w:rPr>
        <w:t xml:space="preserve">Consequently, </w:t>
      </w:r>
      <w:r w:rsidR="00742E6F">
        <w:rPr>
          <w:rFonts w:ascii="Garamond" w:hAnsi="Garamond"/>
          <w:sz w:val="22"/>
          <w:szCs w:val="22"/>
        </w:rPr>
        <w:t xml:space="preserve">the health of salmon populations at the riven-basin scale </w:t>
      </w:r>
      <w:r w:rsidR="005560A6">
        <w:rPr>
          <w:rFonts w:ascii="Garamond" w:hAnsi="Garamond"/>
          <w:sz w:val="22"/>
          <w:szCs w:val="22"/>
        </w:rPr>
        <w:t xml:space="preserve">in terms of </w:t>
      </w:r>
      <w:r w:rsidRPr="006D1917">
        <w:rPr>
          <w:rFonts w:ascii="Garamond" w:hAnsi="Garamond"/>
          <w:sz w:val="22"/>
          <w:szCs w:val="22"/>
        </w:rPr>
        <w:t>long-term resilience is better assessed by the health and viability of contributing subunits rather than by total run size alone</w:t>
      </w:r>
      <w:r w:rsidR="00F626FB">
        <w:rPr>
          <w:rFonts w:ascii="Garamond" w:hAnsi="Garamond"/>
          <w:sz w:val="22"/>
          <w:szCs w:val="22"/>
        </w:rPr>
        <w:t xml:space="preserve"> </w:t>
      </w:r>
      <w:r w:rsidR="00F626FB">
        <w:rPr>
          <w:rFonts w:ascii="Garamond" w:hAnsi="Garamond"/>
          <w:sz w:val="22"/>
          <w:szCs w:val="22"/>
        </w:rPr>
        <w:fldChar w:fldCharType="begin"/>
      </w:r>
      <w:r w:rsidR="00F626FB">
        <w:rPr>
          <w:rFonts w:ascii="Garamond" w:hAnsi="Garamond"/>
          <w:sz w:val="22"/>
          <w:szCs w:val="22"/>
        </w:rPr>
        <w:instrText xml:space="preserve"> ADDIN ZOTERO_ITEM CSL_CITATION {"citationID":"XiDspMSN","properties":{"formattedCitation":"(Connors et al., 2022)","plainCitation":"(Connors et al., 2022)","noteIndex":0},"citationItems":[{"id":4144,"uris":["http://zotero.org/users/8421274/items/M4DUIZ82"],"itemData":{"id":4144,"type":"article-journal","abstract":"Variation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sidR="00F626FB">
        <w:rPr>
          <w:rFonts w:ascii="Garamond" w:hAnsi="Garamond"/>
          <w:sz w:val="22"/>
          <w:szCs w:val="22"/>
        </w:rPr>
        <w:fldChar w:fldCharType="separate"/>
      </w:r>
      <w:r w:rsidR="00F626FB">
        <w:rPr>
          <w:rFonts w:ascii="Garamond" w:hAnsi="Garamond"/>
          <w:noProof/>
          <w:sz w:val="22"/>
          <w:szCs w:val="22"/>
        </w:rPr>
        <w:t>(Connors et al., 2022)</w:t>
      </w:r>
      <w:r w:rsidR="00F626FB">
        <w:rPr>
          <w:rFonts w:ascii="Garamond" w:hAnsi="Garamond"/>
          <w:sz w:val="22"/>
          <w:szCs w:val="22"/>
        </w:rPr>
        <w:fldChar w:fldCharType="end"/>
      </w:r>
      <w:r w:rsidRPr="006D1917">
        <w:rPr>
          <w:rFonts w:ascii="Garamond" w:hAnsi="Garamond"/>
          <w:sz w:val="22"/>
          <w:szCs w:val="22"/>
        </w:rPr>
        <w:t>.</w:t>
      </w:r>
      <w:r w:rsidR="005560A6">
        <w:rPr>
          <w:rFonts w:ascii="Garamond" w:hAnsi="Garamond"/>
          <w:sz w:val="22"/>
          <w:szCs w:val="22"/>
        </w:rPr>
        <w:t xml:space="preserve"> </w:t>
      </w:r>
      <w:r w:rsidR="00162958" w:rsidRPr="006D1917">
        <w:rPr>
          <w:rFonts w:ascii="Garamond" w:hAnsi="Garamond"/>
          <w:sz w:val="22"/>
          <w:szCs w:val="22"/>
        </w:rPr>
        <w:t xml:space="preserve">Efforts to </w:t>
      </w:r>
      <w:r w:rsidR="00B74D8D" w:rsidRPr="006D1917">
        <w:rPr>
          <w:rFonts w:ascii="Garamond" w:hAnsi="Garamond"/>
          <w:sz w:val="22"/>
          <w:szCs w:val="22"/>
        </w:rPr>
        <w:t xml:space="preserve">rebuild and </w:t>
      </w:r>
      <w:r w:rsidR="00162958" w:rsidRPr="006D1917">
        <w:rPr>
          <w:rFonts w:ascii="Garamond" w:hAnsi="Garamond"/>
          <w:sz w:val="22"/>
          <w:szCs w:val="22"/>
        </w:rPr>
        <w:t>conserve the long-term resilience</w:t>
      </w:r>
      <w:r w:rsidR="00B74D8D" w:rsidRPr="006D1917">
        <w:rPr>
          <w:rFonts w:ascii="Garamond" w:hAnsi="Garamond"/>
          <w:sz w:val="22"/>
          <w:szCs w:val="22"/>
        </w:rPr>
        <w:t xml:space="preserve"> of</w:t>
      </w:r>
      <w:r w:rsidR="00162958" w:rsidRPr="006D1917">
        <w:rPr>
          <w:rFonts w:ascii="Garamond" w:hAnsi="Garamond"/>
          <w:sz w:val="22"/>
          <w:szCs w:val="22"/>
        </w:rPr>
        <w:t xml:space="preserve"> </w:t>
      </w:r>
      <w:r w:rsidRPr="006D1917">
        <w:rPr>
          <w:rFonts w:ascii="Garamond" w:hAnsi="Garamond"/>
          <w:sz w:val="22"/>
          <w:szCs w:val="22"/>
        </w:rPr>
        <w:t xml:space="preserve">Western Alaska Chinook </w:t>
      </w:r>
      <w:r w:rsidR="00162958" w:rsidRPr="006D1917">
        <w:rPr>
          <w:rFonts w:ascii="Garamond" w:hAnsi="Garamond"/>
          <w:sz w:val="22"/>
          <w:szCs w:val="22"/>
        </w:rPr>
        <w:t xml:space="preserve">salmon must </w:t>
      </w:r>
      <w:r w:rsidR="000979CB" w:rsidRPr="006D1917">
        <w:rPr>
          <w:rFonts w:ascii="Garamond" w:hAnsi="Garamond"/>
          <w:sz w:val="22"/>
          <w:szCs w:val="22"/>
        </w:rPr>
        <w:t xml:space="preserve">therefore </w:t>
      </w:r>
      <w:r w:rsidR="00162958" w:rsidRPr="006D1917">
        <w:rPr>
          <w:rFonts w:ascii="Garamond" w:hAnsi="Garamond"/>
          <w:sz w:val="22"/>
          <w:szCs w:val="22"/>
        </w:rPr>
        <w:t>account for t</w:t>
      </w:r>
      <w:r w:rsidR="000979CB" w:rsidRPr="006D1917">
        <w:rPr>
          <w:rFonts w:ascii="Garamond" w:hAnsi="Garamond"/>
          <w:sz w:val="22"/>
          <w:szCs w:val="22"/>
        </w:rPr>
        <w:t>his spatiotemporal complexity</w:t>
      </w:r>
      <w:r w:rsidR="009076B8" w:rsidRPr="006D1917">
        <w:rPr>
          <w:rFonts w:ascii="Garamond" w:hAnsi="Garamond"/>
          <w:sz w:val="22"/>
          <w:szCs w:val="22"/>
        </w:rPr>
        <w:t xml:space="preserve"> and design management strategies which maintain it in the long term. Th</w:t>
      </w:r>
      <w:r w:rsidR="00617050">
        <w:rPr>
          <w:rFonts w:ascii="Garamond" w:hAnsi="Garamond"/>
          <w:sz w:val="22"/>
          <w:szCs w:val="22"/>
        </w:rPr>
        <w:t xml:space="preserve">is </w:t>
      </w:r>
      <w:proofErr w:type="gramStart"/>
      <w:r w:rsidR="009076B8" w:rsidRPr="006D1917">
        <w:rPr>
          <w:rFonts w:ascii="Garamond" w:hAnsi="Garamond"/>
          <w:sz w:val="22"/>
          <w:szCs w:val="22"/>
        </w:rPr>
        <w:t>include</w:t>
      </w:r>
      <w:proofErr w:type="gramEnd"/>
      <w:r w:rsidR="009076B8" w:rsidRPr="006D1917">
        <w:rPr>
          <w:rFonts w:ascii="Garamond" w:hAnsi="Garamond"/>
          <w:sz w:val="22"/>
          <w:szCs w:val="22"/>
        </w:rPr>
        <w:t xml:space="preserve"> designing harvest methods which consider both </w:t>
      </w:r>
      <w:proofErr w:type="gramStart"/>
      <w:r w:rsidR="009076B8" w:rsidRPr="006D1917">
        <w:rPr>
          <w:rFonts w:ascii="Garamond" w:hAnsi="Garamond"/>
          <w:sz w:val="22"/>
          <w:szCs w:val="22"/>
        </w:rPr>
        <w:t>overall</w:t>
      </w:r>
      <w:proofErr w:type="gramEnd"/>
      <w:r w:rsidR="009076B8" w:rsidRPr="006D1917">
        <w:rPr>
          <w:rFonts w:ascii="Garamond" w:hAnsi="Garamond"/>
          <w:sz w:val="22"/>
          <w:szCs w:val="22"/>
        </w:rPr>
        <w:t xml:space="preserve"> </w:t>
      </w:r>
      <w:r w:rsidR="00162958" w:rsidRPr="006D1917">
        <w:rPr>
          <w:rFonts w:ascii="Garamond" w:hAnsi="Garamond"/>
          <w:sz w:val="22"/>
          <w:szCs w:val="22"/>
        </w:rPr>
        <w:t xml:space="preserve">exploitation </w:t>
      </w:r>
      <w:r w:rsidR="00811477" w:rsidRPr="006D1917">
        <w:rPr>
          <w:rFonts w:ascii="Garamond" w:hAnsi="Garamond"/>
          <w:sz w:val="22"/>
          <w:szCs w:val="22"/>
        </w:rPr>
        <w:t xml:space="preserve">rate </w:t>
      </w:r>
      <w:r w:rsidR="00A06CC6" w:rsidRPr="006D1917">
        <w:rPr>
          <w:rFonts w:ascii="Garamond" w:hAnsi="Garamond"/>
          <w:sz w:val="22"/>
          <w:szCs w:val="22"/>
        </w:rPr>
        <w:t>a</w:t>
      </w:r>
      <w:r w:rsidR="009076B8" w:rsidRPr="006D1917">
        <w:rPr>
          <w:rFonts w:ascii="Garamond" w:hAnsi="Garamond"/>
          <w:sz w:val="22"/>
          <w:szCs w:val="22"/>
        </w:rPr>
        <w:t>s well as</w:t>
      </w:r>
      <w:r w:rsidR="005560A6">
        <w:rPr>
          <w:rFonts w:ascii="Garamond" w:hAnsi="Garamond"/>
          <w:sz w:val="22"/>
          <w:szCs w:val="22"/>
        </w:rPr>
        <w:t xml:space="preserve"> </w:t>
      </w:r>
      <w:proofErr w:type="gramStart"/>
      <w:r w:rsidR="005560A6">
        <w:rPr>
          <w:rFonts w:ascii="Garamond" w:hAnsi="Garamond"/>
          <w:sz w:val="22"/>
          <w:szCs w:val="22"/>
        </w:rPr>
        <w:t>stock</w:t>
      </w:r>
      <w:proofErr w:type="gramEnd"/>
      <w:r w:rsidR="005560A6">
        <w:rPr>
          <w:rFonts w:ascii="Garamond" w:hAnsi="Garamond"/>
          <w:sz w:val="22"/>
          <w:szCs w:val="22"/>
        </w:rPr>
        <w:t xml:space="preserve"> specific exploitation rate, which may vary throughout the season</w:t>
      </w:r>
      <w:r w:rsidR="00617050">
        <w:rPr>
          <w:rFonts w:ascii="Garamond" w:hAnsi="Garamond"/>
          <w:sz w:val="22"/>
          <w:szCs w:val="22"/>
        </w:rPr>
        <w:t xml:space="preserve">. </w:t>
      </w:r>
      <w:r w:rsidR="009076B8" w:rsidRPr="006D1917">
        <w:rPr>
          <w:rFonts w:ascii="Garamond" w:hAnsi="Garamond"/>
          <w:sz w:val="22"/>
          <w:szCs w:val="22"/>
        </w:rPr>
        <w:t>S</w:t>
      </w:r>
      <w:r w:rsidR="00162958" w:rsidRPr="006D1917">
        <w:rPr>
          <w:rFonts w:ascii="Garamond" w:hAnsi="Garamond"/>
          <w:sz w:val="22"/>
          <w:szCs w:val="22"/>
        </w:rPr>
        <w:t xml:space="preserve">trategies that </w:t>
      </w:r>
      <w:r w:rsidR="005560A6" w:rsidRPr="006D1917">
        <w:rPr>
          <w:rFonts w:ascii="Garamond" w:hAnsi="Garamond"/>
          <w:sz w:val="22"/>
          <w:szCs w:val="22"/>
        </w:rPr>
        <w:t>concentrate on</w:t>
      </w:r>
      <w:r w:rsidR="00A06CC6" w:rsidRPr="006D1917">
        <w:rPr>
          <w:rFonts w:ascii="Garamond" w:hAnsi="Garamond"/>
          <w:sz w:val="22"/>
          <w:szCs w:val="22"/>
        </w:rPr>
        <w:t xml:space="preserve"> harvest in </w:t>
      </w:r>
      <w:r w:rsidR="00162958" w:rsidRPr="006D1917">
        <w:rPr>
          <w:rFonts w:ascii="Garamond" w:hAnsi="Garamond"/>
          <w:sz w:val="22"/>
          <w:szCs w:val="22"/>
        </w:rPr>
        <w:t>periods of peak abundance (e.g., highest CPUE per day</w:t>
      </w:r>
      <w:r w:rsidR="009076B8" w:rsidRPr="006D1917">
        <w:rPr>
          <w:rFonts w:ascii="Garamond" w:hAnsi="Garamond"/>
          <w:sz w:val="22"/>
          <w:szCs w:val="22"/>
        </w:rPr>
        <w:t xml:space="preserve">), for example, </w:t>
      </w:r>
      <w:r w:rsidR="00162958" w:rsidRPr="006D1917">
        <w:rPr>
          <w:rFonts w:ascii="Garamond" w:hAnsi="Garamond"/>
          <w:sz w:val="22"/>
          <w:szCs w:val="22"/>
        </w:rPr>
        <w:t xml:space="preserve">may fail to account for whether this peak consists of a mix of vulnerable, weak stocks or a single, more robust stock that can sustain higher exploitation. </w:t>
      </w:r>
      <w:r w:rsidR="009076B8" w:rsidRPr="006D1917">
        <w:rPr>
          <w:rFonts w:ascii="Garamond" w:hAnsi="Garamond"/>
          <w:sz w:val="22"/>
          <w:szCs w:val="22"/>
        </w:rPr>
        <w:t xml:space="preserve">Instead, management strategy should aim to allow </w:t>
      </w:r>
      <w:r w:rsidR="00A06CC6" w:rsidRPr="006D1917">
        <w:rPr>
          <w:rFonts w:ascii="Garamond" w:hAnsi="Garamond"/>
          <w:sz w:val="22"/>
          <w:szCs w:val="22"/>
        </w:rPr>
        <w:t>harvest opportunities on healthy stocks while minimizing the risk of overexploitation for co-migrating weak stocks</w:t>
      </w:r>
      <w:r w:rsidR="00617050">
        <w:rPr>
          <w:rFonts w:ascii="Garamond" w:hAnsi="Garamond"/>
          <w:sz w:val="22"/>
          <w:szCs w:val="22"/>
        </w:rPr>
        <w:t xml:space="preserve"> </w:t>
      </w:r>
      <w:r w:rsidR="00617050">
        <w:rPr>
          <w:rFonts w:ascii="Garamond" w:hAnsi="Garamond"/>
          <w:sz w:val="22"/>
          <w:szCs w:val="22"/>
        </w:rPr>
        <w:fldChar w:fldCharType="begin"/>
      </w:r>
      <w:r w:rsidR="00617050">
        <w:rPr>
          <w:rFonts w:ascii="Garamond" w:hAnsi="Garamond"/>
          <w:sz w:val="22"/>
          <w:szCs w:val="22"/>
        </w:rPr>
        <w:instrText xml:space="preserve"> ADDIN ZOTERO_ITEM CSL_CITATION {"citationID":"XABq2458","properties":{"formattedCitation":"(Connors et al., 2020)","plainCitation":"(Connors et al., 2020)","noteIndex":0},"citationItems":[{"id":4416,"uris":["http://zotero.org/users/8421274/items/STEMPPV7"],"itemData":{"id":4416,"type":"article-journal","abstract":"Accounting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schema":"https://github.com/citation-style-language/schema/raw/master/csl-citation.json"} </w:instrText>
      </w:r>
      <w:r w:rsidR="00617050">
        <w:rPr>
          <w:rFonts w:ascii="Garamond" w:hAnsi="Garamond"/>
          <w:sz w:val="22"/>
          <w:szCs w:val="22"/>
        </w:rPr>
        <w:fldChar w:fldCharType="separate"/>
      </w:r>
      <w:r w:rsidR="00617050">
        <w:rPr>
          <w:rFonts w:ascii="Garamond" w:hAnsi="Garamond"/>
          <w:noProof/>
          <w:sz w:val="22"/>
          <w:szCs w:val="22"/>
        </w:rPr>
        <w:t>(Connors et al., 2020)</w:t>
      </w:r>
      <w:r w:rsidR="00617050">
        <w:rPr>
          <w:rFonts w:ascii="Garamond" w:hAnsi="Garamond"/>
          <w:sz w:val="22"/>
          <w:szCs w:val="22"/>
        </w:rPr>
        <w:fldChar w:fldCharType="end"/>
      </w:r>
      <w:r w:rsidR="00617050">
        <w:rPr>
          <w:rFonts w:ascii="Garamond" w:hAnsi="Garamond"/>
          <w:sz w:val="22"/>
          <w:szCs w:val="22"/>
        </w:rPr>
        <w:t xml:space="preserve">. </w:t>
      </w:r>
      <w:r w:rsidR="00A06CC6" w:rsidRPr="006D1917">
        <w:rPr>
          <w:rFonts w:ascii="Garamond" w:hAnsi="Garamond"/>
          <w:sz w:val="22"/>
          <w:szCs w:val="22"/>
        </w:rPr>
        <w:t xml:space="preserve"> </w:t>
      </w:r>
      <w:r w:rsidR="009076B8" w:rsidRPr="006D1917">
        <w:rPr>
          <w:rFonts w:ascii="Garamond" w:hAnsi="Garamond"/>
          <w:sz w:val="22"/>
          <w:szCs w:val="22"/>
        </w:rPr>
        <w:t xml:space="preserve">In practice, however, implementing such </w:t>
      </w:r>
      <w:r w:rsidR="00131432" w:rsidRPr="006D1917">
        <w:rPr>
          <w:rFonts w:ascii="Garamond" w:hAnsi="Garamond"/>
          <w:sz w:val="22"/>
          <w:szCs w:val="22"/>
        </w:rPr>
        <w:t xml:space="preserve">stock-specific management approaches requires detailed data on the spatiotemporal ecology of salmon </w:t>
      </w:r>
      <w:r w:rsidR="009076B8" w:rsidRPr="006D1917">
        <w:rPr>
          <w:rFonts w:ascii="Garamond" w:hAnsi="Garamond"/>
          <w:sz w:val="22"/>
          <w:szCs w:val="22"/>
        </w:rPr>
        <w:t>populations; information</w:t>
      </w:r>
      <w:r w:rsidR="00131432" w:rsidRPr="006D1917">
        <w:rPr>
          <w:rFonts w:ascii="Garamond" w:hAnsi="Garamond"/>
          <w:sz w:val="22"/>
          <w:szCs w:val="22"/>
        </w:rPr>
        <w:t xml:space="preserve"> that has historically been </w:t>
      </w:r>
      <w:r w:rsidR="009076B8" w:rsidRPr="006D1917">
        <w:rPr>
          <w:rFonts w:ascii="Garamond" w:hAnsi="Garamond"/>
          <w:sz w:val="22"/>
          <w:szCs w:val="22"/>
        </w:rPr>
        <w:t xml:space="preserve">limited </w:t>
      </w:r>
      <w:r w:rsidR="00131432" w:rsidRPr="006D1917">
        <w:rPr>
          <w:rFonts w:ascii="Garamond" w:hAnsi="Garamond"/>
          <w:sz w:val="22"/>
          <w:szCs w:val="22"/>
        </w:rPr>
        <w:t>at sufficiently fine spatial and temporal scales</w:t>
      </w:r>
      <w:r w:rsidR="00F626FB">
        <w:rPr>
          <w:rFonts w:ascii="Garamond" w:hAnsi="Garamond"/>
          <w:sz w:val="22"/>
          <w:szCs w:val="22"/>
        </w:rPr>
        <w:t xml:space="preserve"> </w:t>
      </w:r>
      <w:r w:rsidR="00F626FB">
        <w:rPr>
          <w:rFonts w:ascii="Garamond" w:hAnsi="Garamond"/>
          <w:sz w:val="22"/>
          <w:szCs w:val="22"/>
        </w:rPr>
        <w:fldChar w:fldCharType="begin"/>
      </w:r>
      <w:r w:rsidR="00617050">
        <w:rPr>
          <w:rFonts w:ascii="Garamond" w:hAnsi="Garamond"/>
          <w:sz w:val="22"/>
          <w:szCs w:val="22"/>
        </w:rPr>
        <w:instrText xml:space="preserve"> ADDIN ZOTERO_ITEM CSL_CITATION {"citationID":"Gpa69QVN","properties":{"formattedCitation":"(Connors et al., 2020, 2022)","plainCitation":"(Connors et al., 2020, 2022)","noteIndex":0},"citationItems":[{"id":4416,"uris":["http://zotero.org/users/8421274/items/STEMPPV7"],"itemData":{"id":4416,"type":"article-journal","abstract":"Accounting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sidR="00F626FB">
        <w:rPr>
          <w:rFonts w:ascii="Garamond" w:hAnsi="Garamond"/>
          <w:sz w:val="22"/>
          <w:szCs w:val="22"/>
        </w:rPr>
        <w:fldChar w:fldCharType="separate"/>
      </w:r>
      <w:r w:rsidR="00617050">
        <w:rPr>
          <w:rFonts w:ascii="Garamond" w:hAnsi="Garamond"/>
          <w:noProof/>
          <w:sz w:val="22"/>
          <w:szCs w:val="22"/>
        </w:rPr>
        <w:t>(Connors et al., 2020, 2022)</w:t>
      </w:r>
      <w:r w:rsidR="00F626FB">
        <w:rPr>
          <w:rFonts w:ascii="Garamond" w:hAnsi="Garamond"/>
          <w:sz w:val="22"/>
          <w:szCs w:val="22"/>
        </w:rPr>
        <w:fldChar w:fldCharType="end"/>
      </w:r>
      <w:r w:rsidR="00F626FB">
        <w:rPr>
          <w:rFonts w:ascii="Garamond" w:hAnsi="Garamond"/>
          <w:sz w:val="22"/>
          <w:szCs w:val="22"/>
        </w:rPr>
        <w:t xml:space="preserve">. </w:t>
      </w:r>
    </w:p>
    <w:p w14:paraId="20127D41" w14:textId="01D0B7FC" w:rsidR="00565BB5" w:rsidRPr="00617050" w:rsidRDefault="00DB1156" w:rsidP="00617050">
      <w:pPr>
        <w:spacing w:line="480" w:lineRule="auto"/>
        <w:ind w:firstLine="720"/>
        <w:rPr>
          <w:rFonts w:ascii="Garamond" w:hAnsi="Garamond"/>
          <w:sz w:val="22"/>
          <w:szCs w:val="22"/>
        </w:rPr>
      </w:pPr>
      <w:r w:rsidRPr="006D1917">
        <w:rPr>
          <w:rFonts w:ascii="Garamond" w:hAnsi="Garamond"/>
          <w:sz w:val="22"/>
          <w:szCs w:val="22"/>
        </w:rPr>
        <w:lastRenderedPageBreak/>
        <w:t>In the absence of fine-scale data on stock-specific spatial ecology in Western Alaska, management strategies have been implemented at relatively coarse spatial scales across large river basins. In the Yukon River Basin, for example, decisions are based on broad stock aggregates defined by the resolution of available genetic baselines. As a result, large portions of the watershed (e.g. Canadian-origin salmon) are managed as a single aggregate stock. This approach obscures the presence of multiple contributing sub-stocks, each of which may exhibit substantial variation in life history traits both within and across seasons (Connors et al., 2023). In contrast, the Kuskokwim River Basin employs front-end closure strategies aimed at allowing an estimated number of early-returning fish to escape before harvest begins</w:t>
      </w:r>
      <w:r w:rsidR="00F626FB">
        <w:rPr>
          <w:rFonts w:ascii="Garamond" w:hAnsi="Garamond"/>
          <w:sz w:val="22"/>
          <w:szCs w:val="22"/>
        </w:rPr>
        <w:t xml:space="preserve"> </w:t>
      </w:r>
      <w:r w:rsidR="00F626FB">
        <w:rPr>
          <w:rFonts w:ascii="Garamond" w:hAnsi="Garamond"/>
          <w:sz w:val="22"/>
          <w:szCs w:val="22"/>
        </w:rPr>
        <w:fldChar w:fldCharType="begin"/>
      </w:r>
      <w:r w:rsidR="00565BB5">
        <w:rPr>
          <w:rFonts w:ascii="Garamond" w:hAnsi="Garamond"/>
          <w:sz w:val="22"/>
          <w:szCs w:val="22"/>
        </w:rPr>
        <w:instrText xml:space="preserve"> ADDIN ZOTERO_ITEM CSL_CITATION {"citationID":"A32imaA8","properties":{"formattedCitation":"(Bechtol et al., 2025)","plainCitation":"(Bechtol et al., 2025)","noteIndex":0},"citationItems":[{"id":5396,"uris":["http://zotero.org/users/8421274/items/5K4UUKKW"],"itemData":{"id":5396,"type":"report","language":"en","publisher":"Kuskokwim River Inter-Tribal Fish Commission, Bethel","source":"Zotero","title":"Inseason Harvest and Effort Estimates for the 2024 Kuskokwim River Subsistence Salmon Fisheries During Block Openings","author":[{"family":"Bechtol","given":"William R"},{"family":"Vicente","given":"Terese"},{"family":"Leon","given":"Justin"},{"family":"Hoffman","given":"Avery"},{"family":"Moses","given":"Aaron"},{"family":"Hooper","given":"Delen"}],"issued":{"date-parts":[["2025"]]}}}],"schema":"https://github.com/citation-style-language/schema/raw/master/csl-citation.json"} </w:instrText>
      </w:r>
      <w:r w:rsidR="00F626FB">
        <w:rPr>
          <w:rFonts w:ascii="Garamond" w:hAnsi="Garamond"/>
          <w:sz w:val="22"/>
          <w:szCs w:val="22"/>
        </w:rPr>
        <w:fldChar w:fldCharType="separate"/>
      </w:r>
      <w:r w:rsidR="00565BB5">
        <w:rPr>
          <w:rFonts w:ascii="Garamond" w:hAnsi="Garamond"/>
          <w:noProof/>
          <w:sz w:val="22"/>
          <w:szCs w:val="22"/>
        </w:rPr>
        <w:t>(e.g. Bechtol et al., 2025)</w:t>
      </w:r>
      <w:r w:rsidR="00F626FB">
        <w:rPr>
          <w:rFonts w:ascii="Garamond" w:hAnsi="Garamond"/>
          <w:sz w:val="22"/>
          <w:szCs w:val="22"/>
        </w:rPr>
        <w:fldChar w:fldCharType="end"/>
      </w:r>
      <w:r w:rsidR="00617050">
        <w:rPr>
          <w:rFonts w:ascii="Garamond" w:hAnsi="Garamond"/>
          <w:sz w:val="22"/>
          <w:szCs w:val="22"/>
        </w:rPr>
        <w:t>.</w:t>
      </w:r>
      <w:r w:rsidRPr="006D1917">
        <w:rPr>
          <w:rFonts w:ascii="Garamond" w:hAnsi="Garamond"/>
          <w:sz w:val="22"/>
          <w:szCs w:val="22"/>
        </w:rPr>
        <w:t xml:space="preserve"> While this strategy supports basin-wide escapement goals, it does not account for the relative stock composition of fish protected by the closure </w:t>
      </w:r>
      <w:r w:rsidR="005560A6">
        <w:rPr>
          <w:rFonts w:ascii="Garamond" w:hAnsi="Garamond"/>
          <w:sz w:val="22"/>
          <w:szCs w:val="22"/>
        </w:rPr>
        <w:t>and is likely to favor fish returning to the furthest upstream portions of the watershed</w:t>
      </w:r>
      <w:r w:rsidR="008B4FCB">
        <w:rPr>
          <w:rFonts w:ascii="Garamond" w:hAnsi="Garamond"/>
          <w:sz w:val="22"/>
          <w:szCs w:val="22"/>
        </w:rPr>
        <w:t xml:space="preserve"> </w:t>
      </w:r>
      <w:r w:rsidR="008B4FCB">
        <w:rPr>
          <w:rFonts w:ascii="Garamond" w:hAnsi="Garamond"/>
          <w:sz w:val="22"/>
          <w:szCs w:val="22"/>
        </w:rPr>
        <w:fldChar w:fldCharType="begin"/>
      </w:r>
      <w:r w:rsidR="002438CB">
        <w:rPr>
          <w:rFonts w:ascii="Garamond" w:hAnsi="Garamond"/>
          <w:sz w:val="22"/>
          <w:szCs w:val="22"/>
        </w:rPr>
        <w:instrText xml:space="preserve"> ADDIN ZOTERO_ITEM CSL_CITATION {"citationID":"7EzFVXNC","properties":{"formattedCitation":"(Clark et al., 2015)","plainCitation":"(Clark et al., 2015)","noteIndex":0},"citationItems":[{"id":5370,"uris":["http://zotero.org/users/8421274/items/CSEI4Y28"],"itemData":{"id":5370,"type":"article-journal","abstract":"Variation in the timing of migration to freshwaters to spawn is one important dimension of the life history variation within individual salmon stocks. That variable has important implications for developing sustainable fisheries that simultaneously exploit multiple populations within the same geographic area. We examined the variation in migration timing of adult Chinook Salmon Oncorhynchus tshawytscha within the Togiak River system of southwest Alaska to determine whether fish that spawned in different habitats migrated into freshwater from the ocean at different times. In particular, we evaluated whether there were watershed</w:instrText>
      </w:r>
      <w:r w:rsidR="002438CB">
        <w:rPr>
          <w:rFonts w:ascii="Cambria Math" w:hAnsi="Cambria Math" w:cs="Cambria Math"/>
          <w:sz w:val="22"/>
          <w:szCs w:val="22"/>
        </w:rPr>
        <w:instrText>‐</w:instrText>
      </w:r>
      <w:r w:rsidR="002438CB">
        <w:rPr>
          <w:rFonts w:ascii="Garamond" w:hAnsi="Garamond"/>
          <w:sz w:val="22"/>
          <w:szCs w:val="22"/>
        </w:rPr>
        <w:instrText>wide effects of body size, sex, spawning location, and year on the timing of spawning</w:instrText>
      </w:r>
      <w:r w:rsidR="002438CB">
        <w:rPr>
          <w:rFonts w:ascii="Cambria Math" w:hAnsi="Cambria Math" w:cs="Cambria Math"/>
          <w:sz w:val="22"/>
          <w:szCs w:val="22"/>
        </w:rPr>
        <w:instrText>‐</w:instrText>
      </w:r>
      <w:r w:rsidR="002438CB">
        <w:rPr>
          <w:rFonts w:ascii="Garamond" w:hAnsi="Garamond"/>
          <w:sz w:val="22"/>
          <w:szCs w:val="22"/>
        </w:rPr>
        <w:instrText>run migration into the Togiak River. Migration data and spawning fate were collected using radiotelemetry and analyzed with mixed effects models to account for among</w:instrText>
      </w:r>
      <w:r w:rsidR="002438CB">
        <w:rPr>
          <w:rFonts w:ascii="Cambria Math" w:hAnsi="Cambria Math" w:cs="Cambria Math"/>
          <w:sz w:val="22"/>
          <w:szCs w:val="22"/>
        </w:rPr>
        <w:instrText>‐</w:instrText>
      </w:r>
      <w:r w:rsidR="002438CB">
        <w:rPr>
          <w:rFonts w:ascii="Garamond" w:hAnsi="Garamond"/>
          <w:sz w:val="22"/>
          <w:szCs w:val="22"/>
        </w:rPr>
        <w:instrText xml:space="preserve">year variation in migration timing across the 4 years of the study. We found that migration timing of Chinook Salmon in the Togiak watershed is segregated by spawning location and sex and is consistent across body sizes and years. Fish that spawned higher in the watershed had a tendency to enter freshwater earlier than fish that spawned lower in the watershed and in the main stem of the river. Our results indicate clear stock structure in the migration of spawning Chinook Salmon to the Togiak River watershed, suggesting that it is important to distribute harvest over the entire distribution of Chinook Salmon run timing to minimize the risk of overexploiting certain components of the stock complex.","container-title":"Transactions of the American Fisheries Society","DOI":"10.1080/00028487.2015.1031281","ISSN":"0002-8487","issue":"4","journalAbbreviation":"Transactions of the American Fisheries Society","page":"829-836","source":"Silverchair","title":"Migration Timing of Adult Chinook Salmon into the Togiak River, Alaska, Watershed: Is There Evidence for Stock Structure?","title-short":"Migration Timing of Adult Chinook Salmon into the Togiak River, Alaska, Watershed","volume":"144","author":[{"family":"Clark","given":"Sydney C."},{"family":"Tanner","given":"Theresa L."},{"family":"Sethi","given":"Suresh A."},{"family":"Bentley","given":"Kale T."},{"family":"Schindler","given":"Daniel E."}],"issued":{"date-parts":[["2015",7,1]]}}}],"schema":"https://github.com/citation-style-language/schema/raw/master/csl-citation.json"} </w:instrText>
      </w:r>
      <w:r w:rsidR="008B4FCB">
        <w:rPr>
          <w:rFonts w:ascii="Garamond" w:hAnsi="Garamond"/>
          <w:sz w:val="22"/>
          <w:szCs w:val="22"/>
        </w:rPr>
        <w:fldChar w:fldCharType="separate"/>
      </w:r>
      <w:r w:rsidR="008B4FCB" w:rsidRPr="008B4FCB">
        <w:rPr>
          <w:rFonts w:ascii="Garamond" w:hAnsi="Garamond"/>
          <w:sz w:val="22"/>
        </w:rPr>
        <w:t>(Clark et al., 2015)</w:t>
      </w:r>
      <w:r w:rsidR="008B4FCB">
        <w:rPr>
          <w:rFonts w:ascii="Garamond" w:hAnsi="Garamond"/>
          <w:sz w:val="22"/>
          <w:szCs w:val="22"/>
        </w:rPr>
        <w:fldChar w:fldCharType="end"/>
      </w:r>
      <w:r w:rsidR="008B4FCB">
        <w:rPr>
          <w:rFonts w:ascii="Garamond" w:hAnsi="Garamond"/>
          <w:sz w:val="22"/>
          <w:szCs w:val="22"/>
        </w:rPr>
        <w:t xml:space="preserve">. </w:t>
      </w:r>
      <w:r w:rsidRPr="006D1917">
        <w:rPr>
          <w:rFonts w:ascii="Garamond" w:hAnsi="Garamond"/>
          <w:sz w:val="22"/>
          <w:szCs w:val="22"/>
        </w:rPr>
        <w:t>Moreover, assessments of basin health are typically conducted on annual timescales and focus primarily on total returns over time</w:t>
      </w:r>
      <w:r w:rsidR="008B4FCB">
        <w:rPr>
          <w:rFonts w:ascii="Garamond" w:hAnsi="Garamond"/>
          <w:sz w:val="22"/>
          <w:szCs w:val="22"/>
        </w:rPr>
        <w:t xml:space="preserve">, which may overlook </w:t>
      </w:r>
      <w:r w:rsidRPr="006D1917">
        <w:rPr>
          <w:rFonts w:ascii="Garamond" w:hAnsi="Garamond"/>
          <w:sz w:val="22"/>
          <w:szCs w:val="22"/>
        </w:rPr>
        <w:t xml:space="preserve">the relative health of individual sub-stocks and shifts in their spatiotemporal distribution or contribution to the broader metapopulation portfolio. In both cases, managing </w:t>
      </w:r>
      <w:r w:rsidR="00FF4FD4" w:rsidRPr="006D1917">
        <w:rPr>
          <w:rFonts w:ascii="Garamond" w:hAnsi="Garamond"/>
          <w:sz w:val="22"/>
          <w:szCs w:val="22"/>
        </w:rPr>
        <w:t xml:space="preserve">based on aggregate spatial or temporal patterns risks obscuring underlying trends which may very independently from the aggregate and respond differently to environmental pressures or management actions. </w:t>
      </w:r>
      <w:r w:rsidR="006617C0" w:rsidRPr="006D1917">
        <w:rPr>
          <w:rFonts w:ascii="Garamond" w:hAnsi="Garamond"/>
          <w:sz w:val="22"/>
          <w:szCs w:val="22"/>
        </w:rPr>
        <w:t xml:space="preserve">Here, we apply </w:t>
      </w:r>
      <w:r w:rsidR="00EE55A4" w:rsidRPr="006D1917">
        <w:rPr>
          <w:rFonts w:ascii="Garamond" w:hAnsi="Garamond"/>
          <w:sz w:val="22"/>
          <w:szCs w:val="22"/>
        </w:rPr>
        <w:t xml:space="preserve">otolith-based methods </w:t>
      </w:r>
      <w:r w:rsidR="006617C0" w:rsidRPr="006D1917">
        <w:rPr>
          <w:rFonts w:ascii="Garamond" w:hAnsi="Garamond"/>
          <w:sz w:val="22"/>
          <w:szCs w:val="22"/>
        </w:rPr>
        <w:t xml:space="preserve">to reconstruct </w:t>
      </w:r>
      <w:r w:rsidR="00EE55A4" w:rsidRPr="006D1917">
        <w:rPr>
          <w:rFonts w:ascii="Garamond" w:hAnsi="Garamond"/>
          <w:sz w:val="22"/>
          <w:szCs w:val="22"/>
        </w:rPr>
        <w:t xml:space="preserve">spatiotemporal patterns </w:t>
      </w:r>
      <w:r w:rsidR="00FF4FD4" w:rsidRPr="006D1917">
        <w:rPr>
          <w:rFonts w:ascii="Garamond" w:hAnsi="Garamond"/>
          <w:sz w:val="22"/>
          <w:szCs w:val="22"/>
        </w:rPr>
        <w:t>of</w:t>
      </w:r>
      <w:r w:rsidR="00EE55A4" w:rsidRPr="006D1917">
        <w:rPr>
          <w:rFonts w:ascii="Garamond" w:hAnsi="Garamond"/>
          <w:sz w:val="22"/>
          <w:szCs w:val="22"/>
        </w:rPr>
        <w:t xml:space="preserve"> </w:t>
      </w:r>
      <w:r w:rsidR="006617C0" w:rsidRPr="006D1917">
        <w:rPr>
          <w:rFonts w:ascii="Garamond" w:hAnsi="Garamond"/>
          <w:sz w:val="22"/>
          <w:szCs w:val="22"/>
        </w:rPr>
        <w:t>Chinook salmon</w:t>
      </w:r>
      <w:r w:rsidR="00FF4FD4" w:rsidRPr="006D1917">
        <w:rPr>
          <w:rFonts w:ascii="Garamond" w:hAnsi="Garamond"/>
          <w:sz w:val="22"/>
          <w:szCs w:val="22"/>
        </w:rPr>
        <w:t xml:space="preserve"> natal origin distribution</w:t>
      </w:r>
      <w:r w:rsidR="00617050">
        <w:rPr>
          <w:rFonts w:ascii="Garamond" w:hAnsi="Garamond"/>
          <w:sz w:val="22"/>
          <w:szCs w:val="22"/>
        </w:rPr>
        <w:t xml:space="preserve"> at the sub basin scale</w:t>
      </w:r>
      <w:r w:rsidR="006617C0" w:rsidRPr="006D1917">
        <w:rPr>
          <w:rFonts w:ascii="Garamond" w:hAnsi="Garamond"/>
          <w:sz w:val="22"/>
          <w:szCs w:val="22"/>
        </w:rPr>
        <w:t xml:space="preserve"> </w:t>
      </w:r>
      <w:r w:rsidR="00EE55A4" w:rsidRPr="006D1917">
        <w:rPr>
          <w:rFonts w:ascii="Garamond" w:hAnsi="Garamond"/>
          <w:sz w:val="22"/>
          <w:szCs w:val="22"/>
        </w:rPr>
        <w:t>in the</w:t>
      </w:r>
      <w:r w:rsidR="006617C0" w:rsidRPr="006D1917">
        <w:rPr>
          <w:rFonts w:ascii="Garamond" w:hAnsi="Garamond"/>
          <w:sz w:val="22"/>
          <w:szCs w:val="22"/>
        </w:rPr>
        <w:t xml:space="preserve"> Kuskokwim River</w:t>
      </w:r>
      <w:r w:rsidR="00617050">
        <w:rPr>
          <w:rFonts w:ascii="Garamond" w:hAnsi="Garamond"/>
          <w:sz w:val="22"/>
          <w:szCs w:val="22"/>
        </w:rPr>
        <w:t>-</w:t>
      </w:r>
      <w:proofErr w:type="spellStart"/>
      <w:r w:rsidR="00617050">
        <w:rPr>
          <w:rFonts w:ascii="Garamond" w:hAnsi="Garamond"/>
          <w:sz w:val="22"/>
          <w:szCs w:val="22"/>
        </w:rPr>
        <w:t>bain</w:t>
      </w:r>
      <w:proofErr w:type="spellEnd"/>
      <w:r w:rsidR="00617050">
        <w:rPr>
          <w:rFonts w:ascii="Garamond" w:hAnsi="Garamond"/>
          <w:sz w:val="22"/>
          <w:szCs w:val="22"/>
        </w:rPr>
        <w:t>. In doing so, we will</w:t>
      </w:r>
      <w:r w:rsidR="006617C0" w:rsidRPr="006D1917">
        <w:rPr>
          <w:rFonts w:ascii="Garamond" w:hAnsi="Garamond"/>
          <w:sz w:val="22"/>
          <w:szCs w:val="22"/>
        </w:rPr>
        <w:t>: (1) identify the spatiotemporal structure of returning populations in Alaska’s most productive salmon-bearing watersheds</w:t>
      </w:r>
      <w:r w:rsidR="00617050">
        <w:rPr>
          <w:rFonts w:ascii="Garamond" w:hAnsi="Garamond"/>
          <w:sz w:val="22"/>
          <w:szCs w:val="22"/>
        </w:rPr>
        <w:t xml:space="preserve">, </w:t>
      </w:r>
      <w:r w:rsidR="006617C0" w:rsidRPr="006D1917">
        <w:rPr>
          <w:rFonts w:ascii="Garamond" w:hAnsi="Garamond"/>
          <w:sz w:val="22"/>
          <w:szCs w:val="22"/>
        </w:rPr>
        <w:t>(2) assess how this structure varies with overall run dynamics; and (3) evaluate the potential impacts of harvest strategies, including front-end closures, on stocks across these systems.</w:t>
      </w:r>
    </w:p>
    <w:p w14:paraId="00D38641" w14:textId="751E2230" w:rsidR="003D0402" w:rsidRPr="006D1917" w:rsidRDefault="005F3448" w:rsidP="006D1917">
      <w:pPr>
        <w:spacing w:line="480" w:lineRule="auto"/>
        <w:rPr>
          <w:rFonts w:ascii="Garamond" w:hAnsi="Garamond"/>
          <w:b/>
          <w:bCs/>
          <w:sz w:val="32"/>
          <w:szCs w:val="32"/>
        </w:rPr>
      </w:pPr>
      <w:r w:rsidRPr="006D1917">
        <w:rPr>
          <w:rFonts w:ascii="Garamond" w:hAnsi="Garamond"/>
          <w:b/>
          <w:bCs/>
          <w:sz w:val="32"/>
          <w:szCs w:val="32"/>
        </w:rPr>
        <w:t xml:space="preserve">Methods: </w:t>
      </w:r>
    </w:p>
    <w:p w14:paraId="219E87A2" w14:textId="77777777" w:rsidR="0032232D" w:rsidRDefault="008C378F" w:rsidP="0032232D">
      <w:pPr>
        <w:spacing w:line="480" w:lineRule="auto"/>
        <w:rPr>
          <w:rFonts w:ascii="Garamond" w:hAnsi="Garamond"/>
          <w:b/>
          <w:bCs/>
          <w:sz w:val="22"/>
          <w:szCs w:val="22"/>
          <w:u w:val="single"/>
        </w:rPr>
      </w:pPr>
      <w:r w:rsidRPr="006D1917">
        <w:rPr>
          <w:rFonts w:ascii="Garamond" w:hAnsi="Garamond"/>
          <w:b/>
          <w:bCs/>
          <w:sz w:val="22"/>
          <w:szCs w:val="22"/>
          <w:u w:val="single"/>
        </w:rPr>
        <w:t>Otolith Sample s</w:t>
      </w:r>
      <w:r w:rsidR="0032232D">
        <w:rPr>
          <w:rFonts w:ascii="Garamond" w:hAnsi="Garamond"/>
          <w:b/>
          <w:bCs/>
          <w:sz w:val="22"/>
          <w:szCs w:val="22"/>
          <w:u w:val="single"/>
        </w:rPr>
        <w:t>ets</w:t>
      </w:r>
    </w:p>
    <w:p w14:paraId="335FB6BC" w14:textId="3DD8FB61" w:rsidR="00A524AD" w:rsidRPr="005D5AB7" w:rsidRDefault="009873E7" w:rsidP="005D5AB7">
      <w:pPr>
        <w:spacing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Otoliths </w:t>
      </w:r>
      <w:r w:rsidR="00617050">
        <w:rPr>
          <w:rFonts w:ascii="Garamond" w:eastAsia="Times New Roman" w:hAnsi="Garamond" w:cs="Times New Roman"/>
          <w:kern w:val="0"/>
          <w:sz w:val="22"/>
          <w:szCs w:val="22"/>
          <w14:ligatures w14:val="none"/>
        </w:rPr>
        <w:t xml:space="preserve">for this analysis </w:t>
      </w:r>
      <w:r w:rsidRPr="006D1917">
        <w:rPr>
          <w:rFonts w:ascii="Garamond" w:eastAsia="Times New Roman" w:hAnsi="Garamond" w:cs="Times New Roman"/>
          <w:kern w:val="0"/>
          <w:sz w:val="22"/>
          <w:szCs w:val="22"/>
          <w14:ligatures w14:val="none"/>
        </w:rPr>
        <w:t xml:space="preserve">were collected over multiple years from both the Yukon and Kuskokwim River basins at the Lower Yukon Test Fishery (LYTF) near Emmonak, Alaska, and at the Bethel Test Fishery (BTF) near Bethel, Alaska. Both fisheries are designed to monitor the stock composition of returning salmon </w:t>
      </w:r>
      <w:r w:rsidRPr="006D1917">
        <w:rPr>
          <w:rFonts w:ascii="Garamond" w:eastAsia="Times New Roman" w:hAnsi="Garamond" w:cs="Times New Roman"/>
          <w:kern w:val="0"/>
          <w:sz w:val="22"/>
          <w:szCs w:val="22"/>
          <w14:ligatures w14:val="none"/>
        </w:rPr>
        <w:lastRenderedPageBreak/>
        <w:t xml:space="preserve">throughout the </w:t>
      </w:r>
      <w:r w:rsidR="00A524AD" w:rsidRPr="006D1917">
        <w:rPr>
          <w:rFonts w:ascii="Garamond" w:eastAsia="Times New Roman" w:hAnsi="Garamond" w:cs="Times New Roman"/>
          <w:kern w:val="0"/>
          <w:sz w:val="22"/>
          <w:szCs w:val="22"/>
          <w14:ligatures w14:val="none"/>
        </w:rPr>
        <w:t xml:space="preserve">duration of the </w:t>
      </w:r>
      <w:r w:rsidRPr="006D1917">
        <w:rPr>
          <w:rFonts w:ascii="Garamond" w:eastAsia="Times New Roman" w:hAnsi="Garamond" w:cs="Times New Roman"/>
          <w:kern w:val="0"/>
          <w:sz w:val="22"/>
          <w:szCs w:val="22"/>
          <w14:ligatures w14:val="none"/>
        </w:rPr>
        <w:t xml:space="preserve">run. Approximately 500 otoliths were collected </w:t>
      </w:r>
      <w:r w:rsidR="00A524AD" w:rsidRPr="006D1917">
        <w:rPr>
          <w:rFonts w:ascii="Garamond" w:eastAsia="Times New Roman" w:hAnsi="Garamond" w:cs="Times New Roman"/>
          <w:kern w:val="0"/>
          <w:sz w:val="22"/>
          <w:szCs w:val="22"/>
          <w14:ligatures w14:val="none"/>
        </w:rPr>
        <w:t xml:space="preserve">over the full duration of the run </w:t>
      </w:r>
      <w:r w:rsidRPr="006D1917">
        <w:rPr>
          <w:rFonts w:ascii="Garamond" w:eastAsia="Times New Roman" w:hAnsi="Garamond" w:cs="Times New Roman"/>
          <w:kern w:val="0"/>
          <w:sz w:val="22"/>
          <w:szCs w:val="22"/>
          <w14:ligatures w14:val="none"/>
        </w:rPr>
        <w:t>from the Kuskokwim River between 2017 and 2021, and from the Yukon River in 2015, 2016, and 2021. From these, about 250 otoliths were selected for analysis to ensure coverage across the full sampling period and to provide proportional representation relative to catch per unit effort (CPUE) throughout the run</w:t>
      </w:r>
      <w:r w:rsidR="00A524AD" w:rsidRPr="006D1917">
        <w:rPr>
          <w:rFonts w:ascii="Garamond" w:eastAsia="Times New Roman" w:hAnsi="Garamond" w:cs="Times New Roman"/>
          <w:kern w:val="0"/>
          <w:sz w:val="22"/>
          <w:szCs w:val="22"/>
          <w14:ligatures w14:val="none"/>
        </w:rPr>
        <w:t>.</w:t>
      </w:r>
      <w:r w:rsidR="00565BB5">
        <w:rPr>
          <w:rFonts w:ascii="Garamond" w:hAnsi="Garamond"/>
          <w:sz w:val="22"/>
          <w:szCs w:val="22"/>
        </w:rPr>
        <w:t xml:space="preserve"> Selected samples were </w:t>
      </w:r>
      <w:r w:rsidR="0017407A" w:rsidRPr="006D1917">
        <w:rPr>
          <w:rFonts w:ascii="Garamond" w:eastAsia="Times New Roman" w:hAnsi="Garamond" w:cs="Times New Roman"/>
          <w:kern w:val="0"/>
          <w:sz w:val="22"/>
          <w:szCs w:val="22"/>
          <w14:ligatures w14:val="none"/>
        </w:rPr>
        <w:t xml:space="preserve">sectioned along the transverse plane, mounted on microscope slides, and polished to expose internal growth structures </w:t>
      </w:r>
      <w:r w:rsidR="00565BB5">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{"citationID":"4icvZ6KO","properties":{"formattedCitation":"(Donohoe &amp; Zimmerman, 2010; Zimmerman &amp; Reeves, 2002)","plainCitation":"(Donohoe &amp; Zimmerman, 2010; Zimmerman &amp; Reeves, 2002)","noteIndex":0},"citationItems":[{"id":4778,"uris":["http://zotero.org/users/8421274/items/QJZIBTQC"],"itemData":{"id":4778,"type":"article-journal","abstract":"Beam-based analytical methods are widely used to measure the concentrations of elements and isotopes in otoliths. These methods usually require that otoliths be individually mounted and prepared to properly expose the desired growth region to the analytical beam. Most analytical instruments, such as LA-ICPMS and ion and electron microprobes, have sample holders that will accept only one to six slides or mounts at a time. We describe a method of mounting otoliths that allows for easy transfer of many otoliths to a single mount after they have been prepared. Such an approach increases the number of otoliths that can be analyzed in a single session by reducing the need open the sample chamber to exchange slides—a particularly time consuming step on instruments that operate under vacuum. For ion and electron microprobes, the method also greatly reduces the number of slides that must be coated with an electrical conductor prior to analysis. In this method, a narrow strip of cover glass is first glued at one end to a standard microscope slide. The otolith is then mounted in thermoplastic resin on the opposite, free end of the strip. The otolith can then be ground and flipped, if needed, by reheating the mounting medium. After otolith preparation is complete, the cover glass is cut with a scribe to free the otolith and up to 20 small otoliths can be arranged on a single petrographic slide.","container-title":"Environmental Biology of Fishes","DOI":"10.1007/s10641-010-9680-3","ISSN":"1573-5133","issue":"3","journalAbbreviation":"Environ Biol Fish","language":"en","page":"473-477","source":"Springer Link","title":"A method of mounting multiple otoliths for beam-based microchemical analyses","volume":"89","author":[{"family":"Donohoe","given":"Christopher J."},{"family":"Zimmerman","given":"Christian E."}],"issued":{"date-parts":[["2010",11,1]]}}},{"id":4132,"uris":["http://zotero.org/users/8421274/items/5YINANGC"],"itemData":{"id":4132,"type":"article-journal","abstract":"Comparisons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00565BB5">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(Donohoe &amp; Zimmerman, 2010; Zimmerman &amp; Reeves, 2002)</w:t>
      </w:r>
      <w:r w:rsidR="00565BB5">
        <w:rPr>
          <w:rFonts w:ascii="Garamond" w:eastAsia="Times New Roman" w:hAnsi="Garamond" w:cs="Times New Roman"/>
          <w:kern w:val="0"/>
          <w:sz w:val="22"/>
          <w:szCs w:val="22"/>
          <w14:ligatures w14:val="none"/>
        </w:rPr>
        <w:fldChar w:fldCharType="end"/>
      </w:r>
      <w:r w:rsidR="0017407A" w:rsidRPr="006D1917">
        <w:rPr>
          <w:rFonts w:ascii="Garamond" w:eastAsia="Times New Roman" w:hAnsi="Garamond" w:cs="Times New Roman"/>
          <w:kern w:val="0"/>
          <w:sz w:val="22"/>
          <w:szCs w:val="22"/>
          <w14:ligatures w14:val="none"/>
        </w:rPr>
        <w:t xml:space="preserve">. Prepared samples were analyzed at the University of Utah Strontium Isotope Laboratory using laser ablation inductively coupled plasma mass spectrometry (LA-ICP-MS). Laser ablation was conducted along a transect from the otolith core to just beyond the inferred onset of marine </w:t>
      </w:r>
      <w:r w:rsidR="0017407A" w:rsidRPr="005D5AB7">
        <w:rPr>
          <w:rFonts w:ascii="Garamond" w:eastAsia="Times New Roman" w:hAnsi="Garamond" w:cs="Times New Roman"/>
          <w:kern w:val="0"/>
          <w:sz w:val="22"/>
          <w:szCs w:val="22"/>
          <w14:ligatures w14:val="none"/>
        </w:rPr>
        <w:t>growth</w:t>
      </w:r>
      <w:r w:rsidR="005D5AB7" w:rsidRPr="005D5AB7">
        <w:rPr>
          <w:rFonts w:ascii="Garamond" w:eastAsia="Times New Roman" w:hAnsi="Garamond" w:cs="Times New Roman"/>
          <w:kern w:val="0"/>
          <w:sz w:val="22"/>
          <w:szCs w:val="22"/>
          <w14:ligatures w14:val="none"/>
        </w:rPr>
        <w:t xml:space="preserve"> </w:t>
      </w:r>
      <w:r w:rsidR="005D5AB7" w:rsidRPr="005D5AB7">
        <w:rPr>
          <w:rFonts w:ascii="Garamond" w:hAnsi="Garamond" w:cstheme="majorHAnsi"/>
          <w:sz w:val="22"/>
          <w:szCs w:val="22"/>
        </w:rPr>
        <w:t xml:space="preserve">using a 53 </w:t>
      </w:r>
      <w:r w:rsidR="005D5AB7" w:rsidRPr="005D5AB7">
        <w:rPr>
          <w:rFonts w:ascii="Garamond" w:hAnsi="Garamond" w:cstheme="majorHAnsi"/>
          <w:sz w:val="22"/>
          <w:szCs w:val="22"/>
        </w:rPr>
        <w:sym w:font="Symbol" w:char="F06D"/>
      </w:r>
      <w:r w:rsidR="005D5AB7" w:rsidRPr="005D5AB7">
        <w:rPr>
          <w:rFonts w:ascii="Garamond" w:hAnsi="Garamond" w:cstheme="majorHAnsi"/>
          <w:sz w:val="22"/>
          <w:szCs w:val="22"/>
        </w:rPr>
        <w:t>m diameter beam and scanning at 2</w:t>
      </w:r>
      <w:r w:rsidR="005D5AB7" w:rsidRPr="005D5AB7">
        <w:rPr>
          <w:rFonts w:ascii="Garamond" w:hAnsi="Garamond" w:cstheme="majorHAnsi"/>
          <w:sz w:val="22"/>
          <w:szCs w:val="22"/>
        </w:rPr>
        <w:sym w:font="Symbol" w:char="F06D"/>
      </w:r>
      <w:r w:rsidR="005D5AB7" w:rsidRPr="005D5AB7">
        <w:rPr>
          <w:rFonts w:ascii="Garamond" w:hAnsi="Garamond" w:cstheme="majorHAnsi"/>
          <w:sz w:val="22"/>
          <w:szCs w:val="22"/>
        </w:rPr>
        <w:t xml:space="preserve">m/second </w:t>
      </w:r>
      <w:r w:rsidR="005D5AB7" w:rsidRPr="005D5AB7">
        <w:rPr>
          <w:rFonts w:ascii="Garamond" w:hAnsi="Garamond" w:cstheme="majorHAnsi"/>
          <w:sz w:val="22"/>
          <w:szCs w:val="22"/>
        </w:rPr>
        <w:fldChar w:fldCharType="begin"/>
      </w:r>
      <w:r w:rsidR="005D5AB7">
        <w:rPr>
          <w:rFonts w:ascii="Garamond" w:hAnsi="Garamond" w:cstheme="majorHAnsi"/>
          <w:sz w:val="22"/>
          <w:szCs w:val="22"/>
        </w:rPr>
        <w:instrText xml:space="preserve"> ADDIN ZOTERO_ITEM CSL_CITATION {"citationID":"nvLrB1dQ","properties":{"formattedCitation":"(Brennan et al., 2015; Zimmerman &amp; Reeves, 2002)","plainCitation":"(Brennan et al., 2015; Zimmerman &amp; Reeves, 2002)","dontUpdate":true,"noteIndex":0},"citationItems":[{"id":"dI01jIsp/qEdWN4pU","uris":["http://zotero.org/users/8421274/items/IY3FLHLM"],"itemData":{"id":915,"type":"article-journal","abstract":"Strontium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005D5AB7" w:rsidRPr="005D5AB7">
        <w:rPr>
          <w:rFonts w:ascii="Garamond" w:hAnsi="Garamond" w:cstheme="majorHAnsi"/>
          <w:sz w:val="22"/>
          <w:szCs w:val="22"/>
        </w:rPr>
        <w:fldChar w:fldCharType="separate"/>
      </w:r>
      <w:r w:rsidR="005D5AB7" w:rsidRPr="005D5AB7">
        <w:rPr>
          <w:rFonts w:ascii="Garamond" w:hAnsi="Garamond" w:cstheme="majorHAnsi"/>
          <w:noProof/>
          <w:sz w:val="22"/>
          <w:szCs w:val="22"/>
        </w:rPr>
        <w:t>(Brennan et al., 2015)</w:t>
      </w:r>
      <w:r w:rsidR="005D5AB7" w:rsidRPr="005D5AB7">
        <w:rPr>
          <w:rFonts w:ascii="Garamond" w:hAnsi="Garamond" w:cstheme="majorHAnsi"/>
          <w:sz w:val="22"/>
          <w:szCs w:val="22"/>
        </w:rPr>
        <w:fldChar w:fldCharType="end"/>
      </w:r>
      <w:r w:rsidR="00617050">
        <w:rPr>
          <w:rFonts w:ascii="Garamond" w:eastAsia="Times New Roman" w:hAnsi="Garamond" w:cs="Times New Roman"/>
          <w:kern w:val="0"/>
          <w:sz w:val="22"/>
          <w:szCs w:val="22"/>
          <w14:ligatures w14:val="none"/>
        </w:rPr>
        <w:t xml:space="preserve">. </w:t>
      </w:r>
      <w:r w:rsidR="00A524AD" w:rsidRPr="006D1917">
        <w:rPr>
          <w:rFonts w:ascii="Garamond" w:eastAsia="Times New Roman" w:hAnsi="Garamond" w:cs="Times New Roman"/>
          <w:kern w:val="0"/>
          <w:sz w:val="22"/>
          <w:szCs w:val="22"/>
          <w14:ligatures w14:val="none"/>
        </w:rPr>
        <w:t xml:space="preserve">The result </w:t>
      </w:r>
      <w:r w:rsidR="005D5AB7">
        <w:rPr>
          <w:rFonts w:ascii="Garamond" w:eastAsia="Times New Roman" w:hAnsi="Garamond" w:cs="Times New Roman"/>
          <w:kern w:val="0"/>
          <w:sz w:val="22"/>
          <w:szCs w:val="22"/>
          <w14:ligatures w14:val="none"/>
        </w:rPr>
        <w:t xml:space="preserve">data represent a continuously integrated </w:t>
      </w:r>
      <w:r w:rsidR="00A524AD" w:rsidRPr="006D1917">
        <w:rPr>
          <w:rFonts w:ascii="Garamond" w:eastAsia="Times New Roman" w:hAnsi="Garamond" w:cs="Times New Roman"/>
          <w:kern w:val="0"/>
          <w:sz w:val="22"/>
          <w:szCs w:val="22"/>
          <w14:ligatures w14:val="none"/>
        </w:rPr>
        <w:t xml:space="preserve"> measurement of Sr</w:t>
      </w:r>
      <w:r w:rsidR="005D5AB7">
        <w:rPr>
          <w:rFonts w:ascii="Garamond" w:eastAsia="Times New Roman" w:hAnsi="Garamond" w:cs="Times New Roman"/>
          <w:kern w:val="0"/>
          <w:sz w:val="22"/>
          <w:szCs w:val="22"/>
          <w:vertAlign w:val="superscript"/>
          <w14:ligatures w14:val="none"/>
        </w:rPr>
        <w:t>87</w:t>
      </w:r>
      <w:r w:rsidR="005D5AB7">
        <w:rPr>
          <w:rFonts w:ascii="Garamond" w:eastAsia="Times New Roman" w:hAnsi="Garamond" w:cs="Times New Roman"/>
          <w:kern w:val="0"/>
          <w:sz w:val="22"/>
          <w:szCs w:val="22"/>
          <w14:ligatures w14:val="none"/>
        </w:rPr>
        <w:t>/Sr</w:t>
      </w:r>
      <w:r w:rsidR="005D5AB7">
        <w:rPr>
          <w:rFonts w:ascii="Garamond" w:eastAsia="Times New Roman" w:hAnsi="Garamond" w:cs="Times New Roman"/>
          <w:kern w:val="0"/>
          <w:sz w:val="22"/>
          <w:szCs w:val="22"/>
          <w:vertAlign w:val="superscript"/>
          <w14:ligatures w14:val="none"/>
        </w:rPr>
        <w:t>86</w:t>
      </w:r>
      <w:r w:rsidR="00A524AD" w:rsidRPr="006D1917">
        <w:rPr>
          <w:rFonts w:ascii="Garamond" w:eastAsia="Times New Roman" w:hAnsi="Garamond" w:cs="Times New Roman"/>
          <w:kern w:val="0"/>
          <w:sz w:val="22"/>
          <w:szCs w:val="22"/>
          <w14:ligatures w14:val="none"/>
        </w:rPr>
        <w:t xml:space="preserve"> </w:t>
      </w:r>
      <w:r w:rsidR="005D5AB7">
        <w:rPr>
          <w:rFonts w:ascii="Garamond" w:eastAsia="Times New Roman" w:hAnsi="Garamond" w:cs="Times New Roman"/>
          <w:kern w:val="0"/>
          <w:sz w:val="22"/>
          <w:szCs w:val="22"/>
          <w14:ligatures w14:val="none"/>
        </w:rPr>
        <w:t xml:space="preserve">which is expected to be minimally fractionated during incorporation into the otolith and represents the experienced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5D5AB7">
        <w:rPr>
          <w:rFonts w:ascii="Garamond" w:eastAsia="Times New Roman" w:hAnsi="Garamond" w:cs="Times New Roman"/>
          <w:kern w:val="0"/>
          <w:sz w:val="22"/>
          <w:szCs w:val="22"/>
          <w14:ligatures w14:val="none"/>
        </w:rPr>
        <w:t xml:space="preserve"> of the fish from early development until marine entry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{"citationID":"drNJXJRw","properties":{"formattedCitation":"(Brennan et al., 2015; Campana, 1999; Capo et al., 1998)","plainCitation":"(Brennan et al., 2015; Campana, 1999; Capo et al., 1998)","noteIndex":0},"citationItems":[{"id":"dI01jIsp/qEdWN4pU","uris":["http://zotero.org/users/8421274/items/IY3FLHLM"],"itemData":{"id":"dI01jIsp/qEdWN4pU","type":"article-journal","abstract":"Strontium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J."}],"issued":{"date-parts":[["2015",5,15]]}}},{"id":1441,"uris":["http://zotero.org/users/8421274/items/PHNAKZ8D"],"itemData":{"id":1441,"type":"article-journal","abstract":"The fish otolith (earstone) has long been known as a timekeeper, but interest in its use as a metabolically inert environmental recorder has accelerated in recent years. In part due to technological advances, applications such as stock identification, determination of rnigralon pathways, reconstruction of temperature and salinity history, age validation, detection of anadromy, use as a natural tag and chemical mass marking have been developed, some of which are difficult or impossible to implement using alternative techniques. Microsamphg and the latest advances in beam-based probes allow many elemental assays to be coupled with daily or annual growth increments, thus providing a detailed chronologcal record of the environment. However, few workers have critically assessed the assumptions upon which the environmental reconstructions are based, or considered the possibility that elemental incorporation into the otolith may proceed differently than that into other calcified structures. This paper reviews current applications and their assumptions and suggests future directions. Particular attention is given to the premises that the elemental and isotopic composition of the otolith reflects that of the environment, and the effect of physiological filters on the resulting composition. The roles of temperature, elemental uptake into the fish and the process of otolith crystahzation are also assessed. Drawing upon recent advances in geochemistry and paleoclirnate research as points of contrast, it appears that not all applications of otolith chemistry are firmly based, although others are destined to become powerful and perhaps routine tools for the mainstream fish biologst.","container-title":"Marine Ecology Progress Series","DOI":"10.3354/meps188263","ISSN":"0171-8630, 1616-1599","journalAbbreviation":"Mar. Ecol. Prog. Ser.","language":"en","page":"263-297","source":"DOI.org (Crossref)","title":"Chemistry and composition of fish otoliths:pathways, mechanisms and applications","title-short":"Chemistry and composition of fish otoliths","volume":"188","author":[{"family":"Campana","given":"Se"}],"issued":{"date-parts":[["1999"]]}}},{"id":1457,"uris":["http://zotero.org/users/8421274/items/TDIQBP7K"],"itemData":{"id":1457,"type":"article-journal","abstract":"The strontium (Sr) isotope method can be a powerful tool in studies of chemical weathering and soil genesis, cation provenance and mobility, and the chronostratigraphic correlation of marine sediments. It is a sensitive geochemical tracer, applicable to large-scale ecosystem studies as well as to centimeter-scaled examination of cation mobility within a soil profile. The 87Sr/86Sr ratios of natural materials reflect the sources of strontium available during their formation. Isotopically distinct inputs from precipitation, dryfall, soil parent material, and surface or groundwater allow determination of the relative proportions of those materials entering or leaving an ecosystem. The isotopic compositions of labile (soil exchange complex and soil solution) strontium and Sr in vegetation reflect the sources of cations available to plants. Strontium isotopes can be used to track the biogeochemical cycling of nutrient cations such as calcium. The extent of cation contributions from in situ weathering and external additions to soil from dust and rain can also be resolved with this method. In this paper, we review the geochemistry and isotopic systematics of strontium, and discuss the use of this method as a tracer of earth surface processes.","container-title":"Geoderma","DOI":"10.1016/S0016-7061(97)00102-X","ISSN":"0016-7061","issue":"1","journalAbbreviation":"Geoderma","language":"en","page":"197-225","source":"ScienceDirect","title":"Strontium isotopes as tracers of ecosystem processes: theory and methods","title-short":"Strontium isotopes as tracers of ecosystem processes","volume":"82","author":[{"family":"Capo","given":"Rosemary C."},{"family":"Stewart","given":"Brian W."},{"family":"Chadwick","given":"Oliver A."}],"issued":{"date-parts":[["1998",2,1]]}}}],"schema":"https://github.com/citation-style-language/schema/raw/master/csl-citation.json"}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(Brennan et al., 2015; Campana, 1999; Capo et al., 1998)</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00A524AD" w:rsidRPr="006D1917">
        <w:rPr>
          <w:rFonts w:ascii="Garamond" w:eastAsia="Times New Roman" w:hAnsi="Garamond" w:cs="Times New Roman"/>
          <w:kern w:val="0"/>
          <w:sz w:val="22"/>
          <w:szCs w:val="22"/>
          <w14:ligatures w14:val="none"/>
        </w:rPr>
        <w:t xml:space="preserve">From these data, </w:t>
      </w:r>
      <w:r w:rsidR="005D5AB7">
        <w:rPr>
          <w:rFonts w:ascii="Garamond" w:eastAsia="Times New Roman" w:hAnsi="Garamond" w:cs="Times New Roman"/>
          <w:kern w:val="0"/>
          <w:sz w:val="22"/>
          <w:szCs w:val="22"/>
          <w14:ligatures w14:val="none"/>
        </w:rPr>
        <w:t xml:space="preserve">a discrete value </w:t>
      </w:r>
      <w:r w:rsidR="00A524AD" w:rsidRPr="006D1917">
        <w:rPr>
          <w:rFonts w:ascii="Garamond" w:eastAsia="Times New Roman" w:hAnsi="Garamond" w:cs="Times New Roman"/>
          <w:kern w:val="0"/>
          <w:sz w:val="22"/>
          <w:szCs w:val="22"/>
          <w14:ligatures w14:val="none"/>
        </w:rPr>
        <w:t xml:space="preserve">associated with the natal freshwater rearing period was manually extracted </w:t>
      </w:r>
      <w:r w:rsidR="0017407A" w:rsidRPr="006D1917">
        <w:rPr>
          <w:rFonts w:ascii="Garamond" w:eastAsia="Times New Roman" w:hAnsi="Garamond" w:cs="Times New Roman"/>
          <w:kern w:val="0"/>
          <w:sz w:val="22"/>
          <w:szCs w:val="22"/>
          <w14:ligatures w14:val="none"/>
        </w:rPr>
        <w:t xml:space="preserve">by examining </w:t>
      </w:r>
      <w:r w:rsidR="005D5AB7">
        <w:rPr>
          <w:rFonts w:ascii="Garamond" w:eastAsia="Times New Roman" w:hAnsi="Garamond" w:cs="Times New Roman"/>
          <w:kern w:val="0"/>
          <w:sz w:val="22"/>
          <w:szCs w:val="22"/>
          <w14:ligatures w14:val="none"/>
        </w:rPr>
        <w:t xml:space="preserve">known patterns of </w:t>
      </w:r>
      <w:r w:rsidR="00A524AD" w:rsidRPr="006D1917">
        <w:rPr>
          <w:rFonts w:ascii="Garamond" w:eastAsia="Times New Roman" w:hAnsi="Garamond" w:cs="Times New Roman"/>
          <w:kern w:val="0"/>
          <w:sz w:val="22"/>
          <w:szCs w:val="22"/>
          <w14:ligatures w14:val="none"/>
        </w:rPr>
        <w:t xml:space="preserve">changes in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A524AD" w:rsidRPr="006D1917">
        <w:rPr>
          <w:rFonts w:ascii="Garamond" w:eastAsia="Times New Roman" w:hAnsi="Garamond" w:cs="Times New Roman"/>
          <w:kern w:val="0"/>
          <w:sz w:val="22"/>
          <w:szCs w:val="22"/>
          <w14:ligatures w14:val="none"/>
        </w:rPr>
        <w:t xml:space="preserve"> and Sr</w:t>
      </w:r>
      <w:r w:rsidR="00617050">
        <w:rPr>
          <w:rFonts w:ascii="Garamond" w:eastAsia="Times New Roman" w:hAnsi="Garamond" w:cs="Times New Roman"/>
          <w:kern w:val="0"/>
          <w:sz w:val="22"/>
          <w:szCs w:val="22"/>
          <w:vertAlign w:val="superscript"/>
          <w14:ligatures w14:val="none"/>
        </w:rPr>
        <w:t>88</w:t>
      </w:r>
      <w:r w:rsidR="00A524AD" w:rsidRPr="006D1917">
        <w:rPr>
          <w:rFonts w:ascii="Garamond" w:eastAsia="Times New Roman" w:hAnsi="Garamond" w:cs="Times New Roman"/>
          <w:kern w:val="0"/>
          <w:sz w:val="22"/>
          <w:szCs w:val="22"/>
          <w14:ligatures w14:val="none"/>
        </w:rPr>
        <w:t xml:space="preserve"> </w:t>
      </w:r>
      <w:r w:rsidR="005D5AB7">
        <w:rPr>
          <w:rFonts w:ascii="Garamond" w:eastAsia="Times New Roman" w:hAnsi="Garamond" w:cs="Times New Roman"/>
          <w:kern w:val="0"/>
          <w:sz w:val="22"/>
          <w:szCs w:val="22"/>
          <w14:ligatures w14:val="none"/>
        </w:rPr>
        <w:t>between the core and freshwater region as well as</w:t>
      </w:r>
      <w:r w:rsidR="00A524AD" w:rsidRPr="006D1917">
        <w:rPr>
          <w:rFonts w:ascii="Garamond" w:eastAsia="Times New Roman" w:hAnsi="Garamond" w:cs="Times New Roman"/>
          <w:kern w:val="0"/>
          <w:sz w:val="22"/>
          <w:szCs w:val="22"/>
          <w14:ligatures w14:val="none"/>
        </w:rPr>
        <w:t xml:space="preserve"> morphological features of the otolith visible among the ablation </w:t>
      </w:r>
      <w:proofErr w:type="gramStart"/>
      <w:r w:rsidR="00A524AD" w:rsidRPr="006D1917">
        <w:rPr>
          <w:rFonts w:ascii="Garamond" w:eastAsia="Times New Roman" w:hAnsi="Garamond" w:cs="Times New Roman"/>
          <w:kern w:val="0"/>
          <w:sz w:val="22"/>
          <w:szCs w:val="22"/>
          <w14:ligatures w14:val="none"/>
        </w:rPr>
        <w:t>path</w:t>
      </w:r>
      <w:proofErr w:type="gramEnd"/>
      <w:r w:rsidR="00A524AD" w:rsidRPr="006D1917">
        <w:rPr>
          <w:rFonts w:ascii="Garamond" w:eastAsia="Times New Roman" w:hAnsi="Garamond" w:cs="Times New Roman"/>
          <w:kern w:val="0"/>
          <w:sz w:val="22"/>
          <w:szCs w:val="22"/>
          <w14:ligatures w14:val="none"/>
        </w:rPr>
        <w:t xml:space="preserve">. </w:t>
      </w:r>
    </w:p>
    <w:p w14:paraId="4557AA52" w14:textId="4F2DF776" w:rsidR="0032232D" w:rsidRDefault="00855E39" w:rsidP="0032232D">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6D1917">
        <w:rPr>
          <w:rFonts w:ascii="Garamond" w:eastAsia="Times New Roman" w:hAnsi="Garamond" w:cs="Times New Roman"/>
          <w:b/>
          <w:bCs/>
          <w:kern w:val="0"/>
          <w:sz w:val="22"/>
          <w:szCs w:val="22"/>
          <w14:ligatures w14:val="none"/>
        </w:rPr>
        <w:t>Isoscape</w:t>
      </w:r>
      <w:proofErr w:type="spellEnd"/>
      <w:r w:rsidRPr="006D1917">
        <w:rPr>
          <w:rFonts w:ascii="Garamond" w:eastAsia="Times New Roman" w:hAnsi="Garamond" w:cs="Times New Roman"/>
          <w:b/>
          <w:bCs/>
          <w:kern w:val="0"/>
          <w:sz w:val="22"/>
          <w:szCs w:val="22"/>
          <w14:ligatures w14:val="none"/>
        </w:rPr>
        <w:t xml:space="preserve"> Development</w:t>
      </w:r>
    </w:p>
    <w:p w14:paraId="27D0F004" w14:textId="23FD6D24" w:rsidR="00293B26" w:rsidRPr="00293B26" w:rsidRDefault="00855E39" w:rsidP="00293B26">
      <w:pPr>
        <w:spacing w:before="100" w:beforeAutospacing="1" w:after="100" w:afterAutospacing="1" w:line="480" w:lineRule="auto"/>
        <w:ind w:firstLine="720"/>
      </w:pPr>
      <w:proofErr w:type="spellStart"/>
      <w:r w:rsidRPr="006D1917">
        <w:rPr>
          <w:rFonts w:ascii="Garamond" w:eastAsia="Times New Roman" w:hAnsi="Garamond" w:cs="Times New Roman"/>
          <w:kern w:val="0"/>
          <w:sz w:val="22"/>
          <w:szCs w:val="22"/>
          <w14:ligatures w14:val="none"/>
        </w:rPr>
        <w:t>Isoscapes</w:t>
      </w:r>
      <w:proofErr w:type="spellEnd"/>
      <w:r w:rsidRPr="006D1917">
        <w:rPr>
          <w:rFonts w:ascii="Garamond" w:eastAsia="Times New Roman" w:hAnsi="Garamond" w:cs="Times New Roman"/>
          <w:kern w:val="0"/>
          <w:sz w:val="22"/>
          <w:szCs w:val="22"/>
          <w14:ligatures w14:val="none"/>
        </w:rPr>
        <w:t xml:space="preserve"> were constructed to </w:t>
      </w:r>
      <w:r w:rsidR="0032232D">
        <w:rPr>
          <w:rFonts w:ascii="Garamond" w:eastAsia="Times New Roman" w:hAnsi="Garamond" w:cs="Times New Roman"/>
          <w:kern w:val="0"/>
          <w:sz w:val="22"/>
          <w:szCs w:val="22"/>
          <w14:ligatures w14:val="none"/>
        </w:rPr>
        <w:t>model</w:t>
      </w:r>
      <w:r w:rsidRPr="006D1917">
        <w:rPr>
          <w:rFonts w:ascii="Garamond" w:eastAsia="Times New Roman" w:hAnsi="Garamond" w:cs="Times New Roman"/>
          <w:kern w:val="0"/>
          <w:sz w:val="22"/>
          <w:szCs w:val="22"/>
          <w14:ligatures w14:val="none"/>
        </w:rPr>
        <w:t xml:space="preserve"> spatial variation in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617050" w:rsidRPr="006D191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ratios across the river basin, following the methodology described in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{"citationID":"ABJTaAkC","properties":{"formattedCitation":"(Brennan et al., 2016)","plainCitation":"(Brennan et al., 2016)","noteIndex":0},"citationItems":[{"id":2315,"uris":["http://zotero.org/users/8421274/items/Q4IUGSIX"],"itemData":{"id":2315,"type":"article-journal","abstract":"A critical challenge for the Earth sciences is to trace the transport and flux of matter within and among aquatic, terrestrial, and atmospheric systems. Robust descriptions of isotopic patterns across space and time, called “isoscapes,” form the basis of a rapidly growing and wide-ranging body of research aimed at quantifying connectivity within and among Earth's systems. However, isoscapes of rivers have been limited by conventional Euclidean approaches in geostatistics and the lack of a quantitative framework to apportion the influence of processes driven by landscape features versus in-stream phenomena. Here we demonstrate how dendritic network models substantially improve the accuracy of isoscapes of strontium isotopes and partition the influence of hydrologic transport versus local geologic features on strontium isotope ratios in a large Alaska river. This work illustrates the analytical power of dendritic network models for the field of isotope biogeochemistry, particularly for provenance studies of modern and ancient animals.","container-title":"Geophysical Research Letters","DOI":"10.1002/2016GL068904","ISSN":"1944-8007","issue":"10","language":"en","note":"_eprint: https://onlinelibrary.wiley.com/doi/pdf/10.1002/2016GL068904","page":"5043-5051","source":"Wiley Online Library","title":"Dendritic network models: Improving isoscapes and quantifying influence of landscape and in-stream processes on strontium isotopes in rivers","title-short":"Dendritic network models","volume":"43","author":[{"family":"Brennan","given":"Sean R."},{"family":"Torgersen","given":"Christian E."},{"family":"Hollenbeck","given":"Jeff P."},{"family":"Fernandez","given":"Diego P."},{"family":"Jensen","given":"Carrie K."},{"family":"Schindler","given":"Daniel E."}],"issued":{"date-parts":[["2016"]]}}}],"schema":"https://github.com/citation-style-language/schema/raw/master/csl-citation.json"}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Brennan et al., (2016)</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and </w:t>
      </w:r>
      <w:r w:rsidR="005D5AB7">
        <w:rPr>
          <w:rFonts w:ascii="Garamond" w:eastAsia="Times New Roman" w:hAnsi="Garamond" w:cs="Times New Roman"/>
          <w:kern w:val="0"/>
          <w:sz w:val="22"/>
          <w:szCs w:val="22"/>
          <w14:ligatures w14:val="none"/>
        </w:rPr>
        <w:fldChar w:fldCharType="begin"/>
      </w:r>
      <w:r w:rsidR="005D5AB7">
        <w:rPr>
          <w:rFonts w:ascii="Garamond" w:eastAsia="Times New Roman" w:hAnsi="Garamond" w:cs="Times New Roman"/>
          <w:kern w:val="0"/>
          <w:sz w:val="22"/>
          <w:szCs w:val="22"/>
          <w14:ligatures w14:val="none"/>
        </w:rPr>
        <w:instrText xml:space="preserve"> ADDIN ZOTERO_ITEM CSL_CITATION {"citationID":"9A6PUmLO","properties":{"formattedCitation":"(Makhlouf et al., 2025)","plainCitation":"(Makhlouf et al., 2025)","noteIndex":0},"citationItems":[{"id":5397,"uris":["http://zotero.org/users/8421274/items/WRVF2L9N"],"itemData":{"id":5397,"type":"article-journal","abstract":"Understanding the spatial ecology of migratory species is uniquely challenging using conventional approaches. In fisheries such as for Pacific salmon, genetic stock identification (GSI) and isotope-based methods have emerged as strategies for reconstructing spatial ecology but are limited by the spatial resolution of genetic differentiation and isotopic heterogeneity. We show that integrating these complementary datasets improve the spatial resolution of provenance assignments. To do so, we reconstructed basin-wide estimates of natal origin locations for Chinook salmon in the Yukon River using samples (n = 247) from an experimental fishery designed to assess in-season run timing. A combined framework improved precision of likely provenance assignments (stream km &gt; 0.7 posterior probability) by 92% over genetic assignments and 52% over strontium isotope methods. In doing so, we illustrate watershed scale estimates of natal origin distributions with a greater resolution available from GSI or isotope data alone.","container-title":"Limnology and Oceanography Letters","DOI":"10.1002/lol2.70025","ISSN":"2378-2242","issue":"n/a","language":"en","license":"© 2025 The Author(s). Limnology and Oceanography Letters published by Wiley Periodicals LLC on behalf of Association for the Sciences of Limnology and Oceanography.","note":"_eprint: https://onlinelibrary.wiley.com/doi/pdf/10.1002/lol2.70025","source":"Wiley Online Library","title":"Combining genetic and isotope frameworks improves reconstruction of fish provenance across riverscapes","URL":"https://onlinelibrary.wiley.com/doi/abs/10.1002/lol2.70025","volume":"n/a","author":[{"family":"Makhlouf","given":"Ben"},{"family":"Cline","given":"Timothy J."},{"family":"Fernandez","given":"Diego"},{"family":"Seeb","given":"Lisa"},{"family":"Lee","given":"Elizabeth"},{"family":"Gilk-Baumer","given":"Sara"},{"family":"Whited","given":"Diane"},{"family":"Zimmerman","given":"Christian E."},{"family":"Schindler","given":"Daniel E."}],"accessed":{"date-parts":[["2025",6,4]]},"issued":{"date-parts":[["2025"]]}}}],"schema":"https://github.com/citation-style-language/schema/raw/master/csl-citation.json"} </w:instrText>
      </w:r>
      <w:r w:rsidR="005D5AB7">
        <w:rPr>
          <w:rFonts w:ascii="Garamond" w:eastAsia="Times New Roman" w:hAnsi="Garamond" w:cs="Times New Roman"/>
          <w:kern w:val="0"/>
          <w:sz w:val="22"/>
          <w:szCs w:val="22"/>
          <w14:ligatures w14:val="none"/>
        </w:rPr>
        <w:fldChar w:fldCharType="separate"/>
      </w:r>
      <w:r w:rsidR="005D5AB7">
        <w:rPr>
          <w:rFonts w:ascii="Garamond" w:eastAsia="Times New Roman" w:hAnsi="Garamond" w:cs="Times New Roman"/>
          <w:noProof/>
          <w:kern w:val="0"/>
          <w:sz w:val="22"/>
          <w:szCs w:val="22"/>
          <w14:ligatures w14:val="none"/>
        </w:rPr>
        <w:t>Makhlouf et al., (2025)</w:t>
      </w:r>
      <w:r w:rsidR="005D5AB7">
        <w:rPr>
          <w:rFonts w:ascii="Garamond" w:eastAsia="Times New Roman" w:hAnsi="Garamond" w:cs="Times New Roman"/>
          <w:kern w:val="0"/>
          <w:sz w:val="22"/>
          <w:szCs w:val="22"/>
          <w14:ligatures w14:val="none"/>
        </w:rPr>
        <w:fldChar w:fldCharType="end"/>
      </w:r>
      <w:r w:rsidR="005D5AB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Briefly,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617050" w:rsidRPr="006D1917">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values were derived from water samples collected throughout both river basins (Supp. 1) and modeled using spatial stream network</w:t>
      </w:r>
      <w:r w:rsidR="00A524AD" w:rsidRPr="006D1917">
        <w:rPr>
          <w:rFonts w:ascii="Garamond" w:eastAsia="Times New Roman" w:hAnsi="Garamond" w:cs="Times New Roman"/>
          <w:kern w:val="0"/>
          <w:sz w:val="22"/>
          <w:szCs w:val="22"/>
          <w14:ligatures w14:val="none"/>
        </w:rPr>
        <w:t xml:space="preserve"> modeling, which considers several geologic and hydrological covariates as well as Euclidian distance and hydrological connectivity between sampling sites</w:t>
      </w:r>
      <w:r w:rsidR="00293B26">
        <w:rPr>
          <w:rFonts w:ascii="Garamond" w:eastAsia="Times New Roman" w:hAnsi="Garamond" w:cs="Times New Roman"/>
          <w:kern w:val="0"/>
          <w:sz w:val="22"/>
          <w:szCs w:val="22"/>
          <w14:ligatures w14:val="none"/>
        </w:rPr>
        <w:t xml:space="preserve"> </w:t>
      </w:r>
      <w:r w:rsidR="00293B26" w:rsidRPr="00293B26">
        <w:rPr>
          <w:rFonts w:ascii="Garamond" w:eastAsia="Times New Roman" w:hAnsi="Garamond" w:cs="Times New Roman"/>
          <w:kern w:val="0"/>
          <w:sz w:val="22"/>
          <w:szCs w:val="22"/>
          <w14:ligatures w14:val="none"/>
        </w:rPr>
        <w:fldChar w:fldCharType="begin"/>
      </w:r>
      <w:r w:rsidR="00293B26" w:rsidRPr="00293B26">
        <w:rPr>
          <w:rFonts w:ascii="Garamond" w:eastAsia="Times New Roman" w:hAnsi="Garamond" w:cs="Times New Roman"/>
          <w:kern w:val="0"/>
          <w:sz w:val="22"/>
          <w:szCs w:val="22"/>
          <w14:ligatures w14:val="none"/>
        </w:rPr>
        <w:instrText xml:space="preserve"> ADDIN ZOTERO_ITEM CSL_CITATION {"citationID":"a4pXqHFf","properties":{"formattedCitation":"(Ver Hoef &amp; Peterson, 2010)","plainCitation":"(Ver Hoef &amp; Peterson, 2010)","noteIndex":0},"citationItems":[{"id":4769,"uris":["http://zotero.org/users/8421274/items/XBJELDI4"],"itemData":{"id":4769,"type":"article-journal","container-title":"Journal of the American Statistical Association","DOI":"10.1198/jasa.2009.ap08248","ISSN":"0162-1459, 1537-274X","issue":"489","journalAbbreviation":"Journal of the American Statistical Association","language":"en","page":"6-18","source":"DOI.org (Crossref)","title":"A Moving Average Approach for Spatial Statistical Models of Stream Networks","volume":"105","author":[{"family":"Ver Hoef","given":"Jay M."},{"family":"Peterson","given":"Erin E."}],"issued":{"date-parts":[["2010",3,1]]}}}],"schema":"https://github.com/citation-style-language/schema/raw/master/csl-citation.json"} </w:instrText>
      </w:r>
      <w:r w:rsidR="00293B26" w:rsidRPr="00293B26">
        <w:rPr>
          <w:rFonts w:ascii="Garamond" w:eastAsia="Times New Roman" w:hAnsi="Garamond" w:cs="Times New Roman"/>
          <w:kern w:val="0"/>
          <w:sz w:val="22"/>
          <w:szCs w:val="22"/>
          <w14:ligatures w14:val="none"/>
        </w:rPr>
        <w:fldChar w:fldCharType="separate"/>
      </w:r>
      <w:r w:rsidR="00293B26" w:rsidRPr="00293B26">
        <w:rPr>
          <w:rFonts w:ascii="Garamond" w:eastAsia="Times New Roman" w:hAnsi="Garamond" w:cs="Times New Roman"/>
          <w:noProof/>
          <w:kern w:val="0"/>
          <w:sz w:val="22"/>
          <w:szCs w:val="22"/>
          <w14:ligatures w14:val="none"/>
        </w:rPr>
        <w:t>(Ver Hoef &amp; Peterson, 2010)</w:t>
      </w:r>
      <w:r w:rsidR="00293B26" w:rsidRPr="00293B26">
        <w:rPr>
          <w:rFonts w:ascii="Garamond" w:eastAsia="Times New Roman" w:hAnsi="Garamond" w:cs="Times New Roman"/>
          <w:kern w:val="0"/>
          <w:sz w:val="22"/>
          <w:szCs w:val="22"/>
          <w14:ligatures w14:val="none"/>
        </w:rPr>
        <w:fldChar w:fldCharType="end"/>
      </w:r>
      <w:r w:rsidR="00293B26" w:rsidRPr="00293B26">
        <w:rPr>
          <w:rFonts w:ascii="Garamond" w:eastAsia="Times New Roman" w:hAnsi="Garamond" w:cs="Times New Roman"/>
          <w:kern w:val="0"/>
          <w:sz w:val="22"/>
          <w:szCs w:val="22"/>
          <w14:ligatures w14:val="none"/>
        </w:rPr>
        <w:t xml:space="preserve">. </w:t>
      </w:r>
      <w:r w:rsidR="00293B26" w:rsidRPr="00293B26">
        <w:rPr>
          <w:rFonts w:ascii="Garamond" w:hAnsi="Garamond" w:cs="Times New Roman"/>
          <w:sz w:val="22"/>
          <w:szCs w:val="22"/>
        </w:rPr>
        <w:t xml:space="preserve">The resulting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provides a spatially continuous estimate of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293B26" w:rsidRPr="00293B26">
        <w:rPr>
          <w:rFonts w:ascii="Garamond" w:hAnsi="Garamond" w:cs="Times New Roman"/>
          <w:sz w:val="22"/>
          <w:szCs w:val="22"/>
        </w:rPr>
        <w:t xml:space="preserve"> values and their associated uncertainties for roughly every ~1km stretch of tributaries across the basin (Figure </w:t>
      </w:r>
      <w:r w:rsidR="00617050">
        <w:rPr>
          <w:rFonts w:ascii="Garamond" w:hAnsi="Garamond" w:cs="Times New Roman"/>
          <w:sz w:val="22"/>
          <w:szCs w:val="22"/>
        </w:rPr>
        <w:t>1</w:t>
      </w:r>
      <w:r w:rsidR="00293B26" w:rsidRPr="00293B26">
        <w:rPr>
          <w:rFonts w:ascii="Garamond" w:hAnsi="Garamond" w:cs="Times New Roman"/>
          <w:sz w:val="22"/>
          <w:szCs w:val="22"/>
        </w:rPr>
        <w:t>). To avoid overrepresentation of regions with very low uncertainty</w:t>
      </w:r>
      <w:r w:rsidR="00617050">
        <w:rPr>
          <w:rFonts w:ascii="Garamond" w:hAnsi="Garamond" w:cs="Times New Roman"/>
          <w:sz w:val="22"/>
          <w:szCs w:val="22"/>
        </w:rPr>
        <w:t xml:space="preserve">, </w:t>
      </w:r>
      <w:r w:rsidR="00293B26" w:rsidRPr="00293B26">
        <w:rPr>
          <w:rFonts w:ascii="Garamond" w:hAnsi="Garamond" w:cs="Times New Roman"/>
          <w:sz w:val="22"/>
          <w:szCs w:val="22"/>
        </w:rPr>
        <w:t>which could lead to inflated assignment probabilities</w:t>
      </w:r>
      <w:r w:rsidR="00617050">
        <w:rPr>
          <w:rFonts w:ascii="Garamond" w:hAnsi="Garamond" w:cs="Times New Roman"/>
          <w:sz w:val="22"/>
          <w:szCs w:val="22"/>
        </w:rPr>
        <w:t xml:space="preserve">, </w:t>
      </w:r>
      <w:r w:rsidR="00617050">
        <w:rPr>
          <w:rFonts w:ascii="Garamond" w:hAnsi="Garamond" w:cs="Times New Roman"/>
          <w:sz w:val="22"/>
          <w:szCs w:val="22"/>
        </w:rPr>
        <w:lastRenderedPageBreak/>
        <w:t>minimum error values were constrained to those above .0006</w:t>
      </w:r>
      <w:r w:rsidR="00293B26" w:rsidRPr="00293B26">
        <w:rPr>
          <w:rFonts w:ascii="Garamond" w:hAnsi="Garamond" w:cs="Times New Roman"/>
          <w:sz w:val="22"/>
          <w:szCs w:val="22"/>
        </w:rPr>
        <w:t xml:space="preserve">. This threshold was selected based on the distribution of uncertainty values across the basin and systematic evaluation of thresholds that minimized </w:t>
      </w:r>
      <w:r w:rsidR="00617050" w:rsidRPr="00293B26">
        <w:rPr>
          <w:rFonts w:ascii="Garamond" w:hAnsi="Garamond" w:cs="Times New Roman"/>
          <w:sz w:val="22"/>
          <w:szCs w:val="22"/>
        </w:rPr>
        <w:t>over assignment</w:t>
      </w:r>
      <w:r w:rsidR="00293B26" w:rsidRPr="00293B26">
        <w:rPr>
          <w:rFonts w:ascii="Garamond" w:hAnsi="Garamond" w:cs="Times New Roman"/>
          <w:sz w:val="22"/>
          <w:szCs w:val="22"/>
        </w:rPr>
        <w:t xml:space="preserve"> to a limited number of </w:t>
      </w:r>
      <w:r w:rsidR="00617050">
        <w:rPr>
          <w:rFonts w:ascii="Garamond" w:hAnsi="Garamond" w:cs="Times New Roman"/>
          <w:sz w:val="22"/>
          <w:szCs w:val="22"/>
        </w:rPr>
        <w:t xml:space="preserve">low error </w:t>
      </w:r>
      <w:r w:rsidR="00293B26" w:rsidRPr="00293B26">
        <w:rPr>
          <w:rFonts w:ascii="Garamond" w:hAnsi="Garamond" w:cs="Times New Roman"/>
          <w:sz w:val="22"/>
          <w:szCs w:val="22"/>
        </w:rPr>
        <w:t xml:space="preserve">tributaries while preserving broad-scale production patterns. Implementing a minimum error value ensures that assignments are primarily driven by isotopic similarity between otolith and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values rather than by differences in local uncertainty</w:t>
      </w:r>
      <w:r w:rsidR="00617050">
        <w:rPr>
          <w:rFonts w:ascii="Garamond" w:hAnsi="Garamond" w:cs="Times New Roman"/>
          <w:sz w:val="22"/>
          <w:szCs w:val="22"/>
        </w:rPr>
        <w:t xml:space="preserve">, </w:t>
      </w:r>
      <w:proofErr w:type="spellStart"/>
      <w:r w:rsidR="00617050">
        <w:rPr>
          <w:rFonts w:ascii="Garamond" w:hAnsi="Garamond" w:cs="Times New Roman"/>
          <w:sz w:val="22"/>
          <w:szCs w:val="22"/>
        </w:rPr>
        <w:t>therebye</w:t>
      </w:r>
      <w:proofErr w:type="spellEnd"/>
      <w:r w:rsidR="00293B26" w:rsidRPr="00293B26">
        <w:rPr>
          <w:rFonts w:ascii="Garamond" w:hAnsi="Garamond" w:cs="Times New Roman"/>
          <w:sz w:val="22"/>
          <w:szCs w:val="22"/>
        </w:rPr>
        <w:t xml:space="preserve"> </w:t>
      </w:r>
      <w:r w:rsidR="00617050">
        <w:rPr>
          <w:rFonts w:ascii="Garamond" w:hAnsi="Garamond" w:cs="Times New Roman"/>
          <w:sz w:val="22"/>
          <w:szCs w:val="22"/>
        </w:rPr>
        <w:t xml:space="preserve">balancing </w:t>
      </w:r>
      <w:r w:rsidR="00293B26" w:rsidRPr="00293B26">
        <w:rPr>
          <w:rFonts w:ascii="Garamond" w:hAnsi="Garamond" w:cs="Times New Roman"/>
          <w:sz w:val="22"/>
          <w:szCs w:val="22"/>
        </w:rPr>
        <w:t xml:space="preserve">the need to consider uncertainty in </w:t>
      </w:r>
      <w:proofErr w:type="spellStart"/>
      <w:r w:rsidR="00293B26" w:rsidRPr="00293B26">
        <w:rPr>
          <w:rFonts w:ascii="Garamond" w:hAnsi="Garamond" w:cs="Times New Roman"/>
          <w:sz w:val="22"/>
          <w:szCs w:val="22"/>
        </w:rPr>
        <w:t>isoscape</w:t>
      </w:r>
      <w:proofErr w:type="spellEnd"/>
      <w:r w:rsidR="00293B26" w:rsidRPr="00293B26">
        <w:rPr>
          <w:rFonts w:ascii="Garamond" w:hAnsi="Garamond" w:cs="Times New Roman"/>
          <w:sz w:val="22"/>
          <w:szCs w:val="22"/>
        </w:rPr>
        <w:t xml:space="preserve"> prediction without allowing this variation to drive assignments. </w:t>
      </w:r>
    </w:p>
    <w:p w14:paraId="78065A26" w14:textId="77777777" w:rsidR="0032232D" w:rsidRDefault="009873E7" w:rsidP="006D1917">
      <w:pPr>
        <w:spacing w:before="100" w:beforeAutospacing="1" w:after="100" w:afterAutospacing="1" w:line="480" w:lineRule="auto"/>
        <w:rPr>
          <w:rFonts w:ascii="Garamond" w:eastAsia="Times New Roman" w:hAnsi="Garamond" w:cs="Times New Roman"/>
          <w:kern w:val="0"/>
          <w:sz w:val="22"/>
          <w:szCs w:val="22"/>
          <w14:ligatures w14:val="none"/>
        </w:rPr>
      </w:pPr>
      <w:r w:rsidRPr="006D1917">
        <w:rPr>
          <w:rFonts w:ascii="Garamond" w:eastAsia="Times New Roman" w:hAnsi="Garamond" w:cs="Times New Roman"/>
          <w:b/>
          <w:bCs/>
          <w:kern w:val="0"/>
          <w:sz w:val="22"/>
          <w:szCs w:val="22"/>
          <w14:ligatures w14:val="none"/>
        </w:rPr>
        <w:t>Assignment framework and priors</w:t>
      </w:r>
    </w:p>
    <w:p w14:paraId="530690EA" w14:textId="1618C721" w:rsidR="005E64F6" w:rsidRPr="005E64F6" w:rsidRDefault="00855E39" w:rsidP="005E64F6">
      <w:pPr>
        <w:spacing w:line="480" w:lineRule="auto"/>
        <w:ind w:firstLine="720"/>
        <w:rPr>
          <w:rFonts w:ascii="Garamond" w:eastAsia="Times New Roman" w:hAnsi="Garamond" w:cstheme="majorHAnsi"/>
          <w:color w:val="000000"/>
          <w:sz w:val="22"/>
          <w:szCs w:val="22"/>
        </w:rPr>
      </w:pPr>
      <w:r w:rsidRPr="005E64F6">
        <w:rPr>
          <w:rFonts w:ascii="Garamond" w:eastAsia="Times New Roman" w:hAnsi="Garamond" w:cs="Times New Roman"/>
          <w:kern w:val="0"/>
          <w:sz w:val="22"/>
          <w:szCs w:val="22"/>
          <w14:ligatures w14:val="none"/>
        </w:rPr>
        <w:t xml:space="preserve">For each fish, a posterior probability of origin was calculated </w:t>
      </w:r>
      <w:r w:rsidR="005E64F6" w:rsidRPr="005E64F6">
        <w:rPr>
          <w:rFonts w:ascii="Garamond" w:eastAsia="Times New Roman" w:hAnsi="Garamond" w:cs="Times New Roman"/>
          <w:kern w:val="0"/>
          <w:sz w:val="22"/>
          <w:szCs w:val="22"/>
          <w14:ligatures w14:val="none"/>
        </w:rPr>
        <w:t xml:space="preserve">using a geographically </w:t>
      </w:r>
      <w:r w:rsidR="00617050" w:rsidRPr="005E64F6">
        <w:rPr>
          <w:rFonts w:ascii="Garamond" w:eastAsia="Times New Roman" w:hAnsi="Garamond" w:cs="Times New Roman"/>
          <w:kern w:val="0"/>
          <w:sz w:val="22"/>
          <w:szCs w:val="22"/>
          <w14:ligatures w14:val="none"/>
        </w:rPr>
        <w:t>continuous</w:t>
      </w:r>
      <w:r w:rsidR="005E64F6" w:rsidRPr="005E64F6">
        <w:rPr>
          <w:rFonts w:ascii="Garamond" w:eastAsia="Times New Roman" w:hAnsi="Garamond" w:cs="Times New Roman"/>
          <w:kern w:val="0"/>
          <w:sz w:val="22"/>
          <w:szCs w:val="22"/>
          <w14:ligatures w14:val="none"/>
        </w:rPr>
        <w:t xml:space="preserve"> Bayesian framework </w:t>
      </w:r>
      <w:r w:rsidR="005E64F6" w:rsidRPr="005E64F6">
        <w:rPr>
          <w:rFonts w:ascii="Garamond" w:eastAsia="Times New Roman" w:hAnsi="Garamond" w:cs="Times New Roman"/>
          <w:kern w:val="0"/>
          <w:sz w:val="22"/>
          <w:szCs w:val="22"/>
          <w14:ligatures w14:val="none"/>
        </w:rPr>
        <w:fldChar w:fldCharType="begin"/>
      </w:r>
      <w:r w:rsidR="005E64F6" w:rsidRPr="005E64F6">
        <w:rPr>
          <w:rFonts w:ascii="Garamond" w:eastAsia="Times New Roman" w:hAnsi="Garamond" w:cs="Times New Roman"/>
          <w:kern w:val="0"/>
          <w:sz w:val="22"/>
          <w:szCs w:val="22"/>
          <w14:ligatures w14:val="none"/>
        </w:rPr>
        <w:instrText xml:space="preserve"> ADDIN ZOTERO_ITEM CSL_CITATION {"citationID":"x50ado7V","properties":{"formattedCitation":"(Brennan, Cline, et al., 2019)","plainCitation":"(Brennan, Cline, et al., 2019)","noteIndex":0},"citationItems":[{"id":1691,"uris":["http://zotero.org/users/8421274/items/IDMUTED4"],"itemData":{"id":1691,"type":"article-journal","abstract":"Migratory animals pose difficult challenges to conservation and management because identifying critical habitats used throughout their lives is rarely possible. Endogenous tracers (e.g. isotope ratios) recorded in sequentially growing biogenic tissues, however, represent a potential source of unique insights at the more elusive temporal and spatial scales central to understanding the ecology of mobile species. To this end, a general probabilistic framework has emerged that quantitatively compares predictive models of isotopic variation across landscapes (called isoscapes) to the isotopic composition recorded in a biological tissue to determine the provenance and movements of animals throughout their lives. Although this spatially continuous approach to isotope-based geographic assignment is becoming more common across taxa and ecosystems, adopting this framework to take advantage of serial isotope records stored within sequentially growing biogenic tissues (e.g. teeth or otoliths) is less common. Here, we construct a novel space-time isotope model of provenance (STIMP) that determines the habitat use through time of migratory fish across river basins. To do so, this model integrates: strontium isotope (87Sr/86Sr) ratios across a riverscape, the serial records of 87Sr/86Sr within otoliths, habitat geomorphology and the directional movement patterns of fish through river networks. To illustrate an application of the model, we applied it to a published dataset from Chinook salmon (Oncorhynchus tshawytscha) harvested in 2011 during a coastal fishery in Bristol Bay, Alaska, U.S.A. Using this model, we show how individuals exploit an array of habitat types to achieve their juvenile growth prior to ocean migration, and that the intensity of habitat use among habitat types across the basin shifts spatially over the course of freshwater residence (e.g. from headwaters to migration corridors). The STIMP presented here integrates diverse information sources to reveal the cryptic juvenile movement patterns of a highly migratory species, providing new insights critical to their conservation. This general framework is applicable to any migratory taxa that use isotopically heterogeneous landscapes during their lives and record such variation in sequentially growing biogenic tissues.","container-title":"Methods in Ecology and Evolution","DOI":"10.1111/2041-210X.13191","ISSN":"2041-210X","issue":"7","language":"en","note":"_eprint: https://besjournals.onlinelibrary.wiley.com/doi/pdf/10.1111/2041-210X.13191","page":"1036-1047","source":"Wiley Online Library","title":"Quantifying habitat use of migratory fish across riverscapes using space-time isotope models","volume":"10","author":[{"family":"Brennan","given":"Sean R."},{"family":"Cline","given":"Timothy J."},{"family":"Schindler","given":"Daniel E."}],"issued":{"date-parts":[["2019"]]}}}],"schema":"https://github.com/citation-style-language/schema/raw/master/csl-citation.json"} </w:instrText>
      </w:r>
      <w:r w:rsidR="005E64F6" w:rsidRPr="005E64F6">
        <w:rPr>
          <w:rFonts w:ascii="Garamond" w:eastAsia="Times New Roman" w:hAnsi="Garamond" w:cs="Times New Roman"/>
          <w:kern w:val="0"/>
          <w:sz w:val="22"/>
          <w:szCs w:val="22"/>
          <w14:ligatures w14:val="none"/>
        </w:rPr>
        <w:fldChar w:fldCharType="separate"/>
      </w:r>
      <w:r w:rsidR="005E64F6" w:rsidRPr="005E64F6">
        <w:rPr>
          <w:rFonts w:ascii="Garamond" w:eastAsia="Times New Roman" w:hAnsi="Garamond" w:cs="Times New Roman"/>
          <w:noProof/>
          <w:kern w:val="0"/>
          <w:sz w:val="22"/>
          <w:szCs w:val="22"/>
          <w14:ligatures w14:val="none"/>
        </w:rPr>
        <w:t>(Brennan, Cline, et al., 2019)</w:t>
      </w:r>
      <w:r w:rsidR="005E64F6" w:rsidRPr="005E64F6">
        <w:rPr>
          <w:rFonts w:ascii="Garamond" w:eastAsia="Times New Roman" w:hAnsi="Garamond" w:cs="Times New Roman"/>
          <w:kern w:val="0"/>
          <w:sz w:val="22"/>
          <w:szCs w:val="22"/>
          <w14:ligatures w14:val="none"/>
        </w:rPr>
        <w:fldChar w:fldCharType="end"/>
      </w:r>
      <w:r w:rsidR="005E64F6" w:rsidRPr="005E64F6">
        <w:rPr>
          <w:rFonts w:ascii="Garamond" w:eastAsia="Times New Roman" w:hAnsi="Garamond" w:cs="Times New Roman"/>
          <w:kern w:val="0"/>
          <w:sz w:val="22"/>
          <w:szCs w:val="22"/>
          <w14:ligatures w14:val="none"/>
        </w:rPr>
        <w:t xml:space="preserve">. This approach considers the relationship between extracted natal origin otolith </w:t>
      </w:r>
      <w:r w:rsidR="00617050" w:rsidRPr="006D1917">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87</w:t>
      </w:r>
      <w:r w:rsidR="00617050">
        <w:rPr>
          <w:rFonts w:ascii="Garamond" w:eastAsia="Times New Roman" w:hAnsi="Garamond" w:cs="Times New Roman"/>
          <w:kern w:val="0"/>
          <w:sz w:val="22"/>
          <w:szCs w:val="22"/>
          <w14:ligatures w14:val="none"/>
        </w:rPr>
        <w:t>/Sr</w:t>
      </w:r>
      <w:r w:rsidR="00617050">
        <w:rPr>
          <w:rFonts w:ascii="Garamond" w:eastAsia="Times New Roman" w:hAnsi="Garamond" w:cs="Times New Roman"/>
          <w:kern w:val="0"/>
          <w:sz w:val="22"/>
          <w:szCs w:val="22"/>
          <w:vertAlign w:val="superscript"/>
          <w14:ligatures w14:val="none"/>
        </w:rPr>
        <w:t>86</w:t>
      </w:r>
      <w:r w:rsidR="005E64F6" w:rsidRPr="005E64F6">
        <w:rPr>
          <w:rFonts w:ascii="Garamond" w:eastAsia="Times New Roman" w:hAnsi="Garamond" w:cs="Times New Roman"/>
          <w:kern w:val="0"/>
          <w:sz w:val="22"/>
          <w:szCs w:val="22"/>
          <w14:ligatures w14:val="none"/>
        </w:rPr>
        <w:t xml:space="preserve"> values as well as several variance generating processes including </w:t>
      </w:r>
      <w:r w:rsidR="005E64F6" w:rsidRPr="005E64F6">
        <w:rPr>
          <w:rFonts w:ascii="Garamond" w:hAnsi="Garamond" w:cstheme="majorHAnsi"/>
          <w:sz w:val="22"/>
          <w:szCs w:val="22"/>
        </w:rPr>
        <w:t xml:space="preserve">analytical, within-population, and </w:t>
      </w:r>
      <w:proofErr w:type="spellStart"/>
      <w:r w:rsidR="005E64F6" w:rsidRPr="005E64F6">
        <w:rPr>
          <w:rFonts w:ascii="Garamond" w:hAnsi="Garamond" w:cstheme="majorHAnsi"/>
          <w:sz w:val="22"/>
          <w:szCs w:val="22"/>
        </w:rPr>
        <w:t>isoscape</w:t>
      </w:r>
      <w:proofErr w:type="spellEnd"/>
      <w:r w:rsidR="005E64F6" w:rsidRPr="005E64F6">
        <w:rPr>
          <w:rFonts w:ascii="Garamond" w:hAnsi="Garamond" w:cstheme="majorHAnsi"/>
          <w:sz w:val="22"/>
          <w:szCs w:val="22"/>
        </w:rPr>
        <w:t xml:space="preserve"> prediction error. </w:t>
      </w:r>
      <w:r w:rsidR="005E64F6" w:rsidRPr="005E64F6">
        <w:rPr>
          <w:rFonts w:ascii="Garamond" w:eastAsia="Times New Roman" w:hAnsi="Garamond" w:cstheme="majorHAnsi"/>
          <w:color w:val="000000"/>
          <w:sz w:val="22"/>
          <w:szCs w:val="22"/>
        </w:rPr>
        <w:t xml:space="preserve">We assumed all errors were normally distributed, and combined them through the equation: </w:t>
      </w:r>
    </w:p>
    <w:p w14:paraId="7F6DFB1E" w14:textId="22D170F1" w:rsidR="005E64F6" w:rsidRPr="005E64F6" w:rsidRDefault="00000000" w:rsidP="0032232D">
      <w:pPr>
        <w:spacing w:before="100" w:beforeAutospacing="1" w:after="100" w:afterAutospacing="1" w:line="480" w:lineRule="auto"/>
        <w:ind w:firstLine="720"/>
        <w:rPr>
          <w:rFonts w:ascii="Garamond" w:eastAsia="Times New Roman" w:hAnsi="Garamond" w:cs="Times New Roman"/>
          <w:kern w:val="0"/>
          <w:sz w:val="22"/>
          <w:szCs w:val="22"/>
          <w14:ligatures w14:val="none"/>
        </w:rPr>
      </w:pPr>
      <m:oMathPara>
        <m:oMath>
          <m:sSub>
            <m:sSubPr>
              <m:ctrlPr>
                <w:rPr>
                  <w:rFonts w:ascii="Cambria Math" w:eastAsia="Times New Roman" w:hAnsi="Cambria Math" w:cstheme="majorHAnsi"/>
                  <w:i/>
                  <w:color w:val="000000"/>
                </w:rPr>
              </m:ctrlPr>
            </m:sSubPr>
            <m:e>
              <m:r>
                <w:rPr>
                  <w:rFonts w:ascii="Cambria Math" w:eastAsia="Times New Roman" w:hAnsi="Cambria Math" w:cstheme="majorHAnsi"/>
                  <w:color w:val="000000"/>
                </w:rPr>
                <m:t>σ</m:t>
              </m:r>
            </m:e>
            <m:sub>
              <m:r>
                <w:rPr>
                  <w:rFonts w:ascii="Cambria Math" w:eastAsia="Times New Roman" w:hAnsi="Cambria Math" w:cstheme="majorHAnsi"/>
                  <w:color w:val="000000"/>
                </w:rPr>
                <m:t xml:space="preserve">combined= </m:t>
              </m:r>
              <m:rad>
                <m:radPr>
                  <m:degHide m:val="1"/>
                  <m:ctrlPr>
                    <w:rPr>
                      <w:rFonts w:ascii="Cambria Math" w:eastAsia="Times New Roman" w:hAnsi="Cambria Math" w:cstheme="majorHAnsi"/>
                      <w:i/>
                      <w:color w:val="000000"/>
                    </w:rPr>
                  </m:ctrlPr>
                </m:radPr>
                <m:deg/>
                <m:e>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Analytical</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Within-population</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isoscape</m:t>
                      </m:r>
                    </m:sub>
                    <m:sup>
                      <m:r>
                        <w:rPr>
                          <w:rFonts w:ascii="Cambria Math" w:eastAsia="Times New Roman" w:hAnsi="Cambria Math" w:cstheme="majorHAnsi"/>
                          <w:color w:val="000000"/>
                        </w:rPr>
                        <m:t>2</m:t>
                      </m:r>
                    </m:sup>
                  </m:sSubSup>
                </m:e>
              </m:rad>
            </m:sub>
          </m:sSub>
        </m:oMath>
      </m:oMathPara>
    </w:p>
    <w:p w14:paraId="474C3F9D" w14:textId="36D3E619" w:rsidR="005E64F6" w:rsidRPr="00617050" w:rsidRDefault="005E64F6" w:rsidP="005E64F6">
      <w:pPr>
        <w:spacing w:line="480" w:lineRule="auto"/>
        <w:ind w:firstLine="720"/>
        <w:rPr>
          <w:rFonts w:ascii="Garamond" w:hAnsi="Garamond" w:cstheme="majorHAnsi"/>
          <w:sz w:val="22"/>
          <w:szCs w:val="22"/>
        </w:rPr>
      </w:pPr>
      <w:r w:rsidRPr="00617050">
        <w:rPr>
          <w:rFonts w:ascii="Garamond" w:hAnsi="Garamond" w:cstheme="majorHAnsi"/>
          <w:sz w:val="22"/>
          <w:szCs w:val="22"/>
        </w:rPr>
        <w:t xml:space="preserve">Posterior probability values of provenance for each tributary (j) were then calculated using Bayes theorem </w:t>
      </w:r>
      <w:r w:rsidRPr="00617050">
        <w:rPr>
          <w:rFonts w:ascii="Garamond" w:hAnsi="Garamond" w:cstheme="majorHAnsi"/>
          <w:sz w:val="22"/>
          <w:szCs w:val="22"/>
        </w:rPr>
        <w:fldChar w:fldCharType="begin"/>
      </w:r>
      <w:r w:rsidR="00F210C2" w:rsidRPr="00617050">
        <w:rPr>
          <w:rFonts w:ascii="Garamond" w:hAnsi="Garamond" w:cstheme="majorHAnsi"/>
          <w:sz w:val="22"/>
          <w:szCs w:val="22"/>
        </w:rPr>
        <w:instrText xml:space="preserve"> ADDIN ZOTERO_ITEM CSL_CITATION {"citationID":"s99EKqrE","properties":{"formattedCitation":"(Brennan &amp; Schindler, 2017; Wunder, 2010)","plainCitation":"(Brennan &amp; Schindler, 2017; Wunder, 2010)","noteIndex":0},"citationItems":[{"id":1694,"uris":["http://zotero.org/users/8421274/items/NSWL6YPN"],"itemData":{"id":1694,"type":"article-journal","abstract":"Production patterns of highly mobile species, such as anadromous fish, often exhibit high spatial and temporal heterogeneity across landscapes. Such variability is often asynchronous in time among habitats, which stabilizes production at aggregate scales of complexity. Reconstructing production patterns explicitly in space and time across multiple scales, however, remains difficult but is important for prioritizing habitat conservation. This is especially true for fishes inhabiting river basins due to long-range dispersal, high mortality at early life stages, complex population structure and elusive life history variation. We develop a new approach for mapping production patterns of Pacific salmon across a large river basin by integrating otolith microchemistry and dendritic isoscape models. The geographically continuous Bayesian assignment framework presented here yielded high accuracies (&gt;90%) and relatively high precisions (precisions &lt;4%; i.e., assignment areas of &lt;530 river km of the 13 100 km total river length) when used to determine the natal source of known-origin juvenile Chinook salmon captured throughout the study region. Integrating these methods enabled us to base estimates of provenance and habitat use of individuals on a per location basis using strontium isotopic data throughout the continuous spatial domain of a river network. Such a framework provides substantial advantages over the more common nominal approach to employing otolith microchemistry to reconstruct movement patterns of fish. In doing so, we reconstructed the spatial production patterns of adult Chinook salmon returning to a large watershed in Bristol Bay, Alaska and illustrate the power of such an approach to conservation efforts.","container-title":"Ecological Applications","DOI":"10.1002/eap.1474","ISSN":"1939-5582","issue":"2","language":"en","note":"_eprint: https://esajournals.onlinelibrary.wiley.com/doi/pdf/10.1002/eap.1474","page":"363-377","source":"Wiley Online Library","title":"Linking otolith microchemistry and dendritic isoscapes to map heterogeneous production of fish across river basins","volume":"27","author":[{"family":"Brennan","given":"Sean R."},{"family":"Schindler","given":"Daniel E."}],"issued":{"date-parts":[["2017"]]}}},{"id":1071,"uris":["http://zotero.org/users/8421274/items/7AQTJQK8"],"itemData":{"id":1071,"type":"chapter","container-title":"Isoscapes","event-place":"Dordrecht","ISBN":"978-90-481-3353-6","language":"en","note":"DOI: 10.1007/978-90-481-3354-3_12","page":"251-270","publisher":"Springer Netherlands","publisher-place":"Dordrecht","source":"DOI.org (Crossref)","title":"Using Isoscapes to Model Probability Surfaces for Determining Geographic Origins","URL":"http://link.springer.com/10.1007/978-90-481-3354-3_12","editor":[{"family":"West","given":"Jason B."},{"family":"Bowen","given":"Gabriel J."},{"family":"Dawson","given":"Todd E."},{"family":"Tu","given":"Kevin P."}],"author":[{"family":"Wunder","given":"Michael B."}],"accessed":{"date-parts":[["2022",9,22]]},"issued":{"date-parts":[["2010"]]}}}],"schema":"https://github.com/citation-style-language/schema/raw/master/csl-citation.json"} </w:instrText>
      </w:r>
      <w:r w:rsidRPr="00617050">
        <w:rPr>
          <w:rFonts w:ascii="Garamond" w:hAnsi="Garamond" w:cstheme="majorHAnsi"/>
          <w:sz w:val="22"/>
          <w:szCs w:val="22"/>
        </w:rPr>
        <w:fldChar w:fldCharType="separate"/>
      </w:r>
      <w:r w:rsidR="00F210C2" w:rsidRPr="00617050">
        <w:rPr>
          <w:rFonts w:ascii="Garamond" w:hAnsi="Garamond" w:cstheme="majorHAnsi"/>
          <w:noProof/>
          <w:sz w:val="22"/>
          <w:szCs w:val="22"/>
        </w:rPr>
        <w:t>(Brennan &amp; Schindler, 2017; Wunder, 2010)</w:t>
      </w:r>
      <w:r w:rsidRPr="00617050">
        <w:rPr>
          <w:rFonts w:ascii="Garamond" w:hAnsi="Garamond" w:cstheme="majorHAnsi"/>
          <w:sz w:val="22"/>
          <w:szCs w:val="22"/>
        </w:rPr>
        <w:fldChar w:fldCharType="end"/>
      </w:r>
      <w:r w:rsidRPr="00617050">
        <w:rPr>
          <w:rFonts w:ascii="Garamond" w:hAnsi="Garamond" w:cstheme="majorHAnsi"/>
          <w:sz w:val="22"/>
          <w:szCs w:val="22"/>
        </w:rPr>
        <w:t xml:space="preserve"> ; </w:t>
      </w:r>
    </w:p>
    <w:p w14:paraId="5F4F9A08" w14:textId="22616F1B" w:rsidR="0017407A" w:rsidRPr="005E64F6" w:rsidRDefault="005E64F6" w:rsidP="006D1917">
      <w:pPr>
        <w:spacing w:before="100" w:beforeAutospacing="1" w:after="100" w:afterAutospacing="1" w:line="480" w:lineRule="auto"/>
        <w:rPr>
          <w:rFonts w:ascii="Garamond" w:eastAsia="Times New Roman" w:hAnsi="Garamond" w:cs="Times New Roman"/>
          <w:b/>
          <w:bCs/>
          <w:kern w:val="0"/>
          <w:sz w:val="22"/>
          <w:szCs w:val="22"/>
          <w14:ligatures w14:val="none"/>
        </w:rPr>
      </w:pPr>
      <m:oMathPara>
        <m:oMath>
          <m:r>
            <w:rPr>
              <w:rFonts w:ascii="Cambria Math" w:hAnsi="Cambria Math" w:cstheme="majorHAnsi"/>
              <w:sz w:val="18"/>
              <w:szCs w:val="18"/>
            </w:rPr>
            <m:t>P</m:t>
          </m:r>
          <m:d>
            <m:dPr>
              <m:endChr m:val="|"/>
              <m:ctrlPr>
                <w:rPr>
                  <w:rFonts w:ascii="Cambria Math" w:hAnsi="Cambria Math" w:cstheme="majorHAnsi"/>
                  <w:i/>
                  <w:sz w:val="18"/>
                  <w:szCs w:val="18"/>
                </w:rPr>
              </m:ctrlPr>
            </m:dPr>
            <m:e>
              <m:r>
                <w:rPr>
                  <w:rFonts w:ascii="Cambria Math" w:hAnsi="Cambria Math" w:cstheme="majorHAnsi"/>
                  <w:sz w:val="18"/>
                  <w:szCs w:val="18"/>
                </w:rPr>
                <m:t xml:space="preserve">J=j </m:t>
              </m:r>
            </m:e>
          </m:d>
          <m:r>
            <w:rPr>
              <w:rFonts w:ascii="Cambria Math" w:hAnsi="Cambria Math" w:cstheme="majorHAnsi"/>
              <w:sz w:val="18"/>
              <w:szCs w:val="18"/>
            </w:rPr>
            <m:t xml:space="preserve"> O=o, R=rj) ∝  </m:t>
          </m:r>
          <m:d>
            <m:dPr>
              <m:ctrlPr>
                <w:rPr>
                  <w:rFonts w:ascii="Cambria Math" w:hAnsi="Cambria Math" w:cstheme="majorHAnsi"/>
                  <w:i/>
                  <w:sz w:val="18"/>
                  <w:szCs w:val="18"/>
                </w:rPr>
              </m:ctrlPr>
            </m:dPr>
            <m:e>
              <m:sSup>
                <m:sSupPr>
                  <m:ctrlPr>
                    <w:rPr>
                      <w:rFonts w:ascii="Cambria Math" w:hAnsi="Cambria Math" w:cstheme="majorHAnsi"/>
                      <w:i/>
                      <w:sz w:val="18"/>
                      <w:szCs w:val="18"/>
                    </w:rPr>
                  </m:ctrlPr>
                </m:sSupPr>
                <m:e>
                  <m:r>
                    <w:rPr>
                      <w:rFonts w:ascii="Cambria Math" w:hAnsi="Cambria Math" w:cstheme="majorHAnsi"/>
                      <w:sz w:val="18"/>
                      <w:szCs w:val="18"/>
                    </w:rPr>
                    <m:t>1-</m:t>
                  </m:r>
                  <m:f>
                    <m:fPr>
                      <m:ctrlPr>
                        <w:rPr>
                          <w:rFonts w:ascii="Cambria Math" w:hAnsi="Cambria Math" w:cstheme="majorHAnsi"/>
                          <w:i/>
                          <w:sz w:val="18"/>
                          <w:szCs w:val="18"/>
                        </w:rPr>
                      </m:ctrlPr>
                    </m:fPr>
                    <m:num>
                      <m:r>
                        <w:rPr>
                          <w:rFonts w:ascii="Cambria Math" w:hAnsi="Cambria Math" w:cstheme="majorHAnsi"/>
                          <w:sz w:val="18"/>
                          <w:szCs w:val="18"/>
                        </w:rPr>
                        <m:t>1</m:t>
                      </m:r>
                    </m:num>
                    <m:den>
                      <m:r>
                        <w:rPr>
                          <w:rFonts w:ascii="Cambria Math" w:hAnsi="Cambria Math" w:cstheme="majorHAnsi"/>
                          <w:sz w:val="18"/>
                          <w:szCs w:val="18"/>
                        </w:rPr>
                        <m:t>2π</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den>
                  </m:f>
                </m:e>
                <m:sup>
                  <m:sSup>
                    <m:sSupPr>
                      <m:ctrlPr>
                        <w:rPr>
                          <w:rFonts w:ascii="Cambria Math" w:hAnsi="Cambria Math" w:cstheme="majorHAnsi"/>
                          <w:i/>
                          <w:sz w:val="18"/>
                          <w:szCs w:val="18"/>
                        </w:rPr>
                      </m:ctrlPr>
                    </m:sSupPr>
                    <m:e>
                      <m:r>
                        <w:rPr>
                          <w:rFonts w:ascii="Cambria Math" w:hAnsi="Cambria Math" w:cstheme="majorHAnsi"/>
                          <w:sz w:val="18"/>
                          <w:szCs w:val="18"/>
                        </w:rPr>
                        <m:t>(-(o-</m:t>
                      </m:r>
                      <m:sSub>
                        <m:sSubPr>
                          <m:ctrlPr>
                            <w:rPr>
                              <w:rFonts w:ascii="Cambria Math" w:hAnsi="Cambria Math" w:cstheme="majorHAnsi"/>
                              <w:i/>
                              <w:sz w:val="18"/>
                              <w:szCs w:val="18"/>
                            </w:rPr>
                          </m:ctrlPr>
                        </m:sSubPr>
                        <m:e>
                          <m:r>
                            <w:rPr>
                              <w:rFonts w:ascii="Cambria Math" w:hAnsi="Cambria Math" w:cstheme="majorHAnsi"/>
                              <w:sz w:val="18"/>
                              <w:szCs w:val="18"/>
                            </w:rPr>
                            <m:t>r</m:t>
                          </m:r>
                        </m:e>
                        <m:sub>
                          <m:r>
                            <w:rPr>
                              <w:rFonts w:ascii="Cambria Math" w:hAnsi="Cambria Math" w:cstheme="majorHAnsi"/>
                              <w:sz w:val="18"/>
                              <w:szCs w:val="18"/>
                            </w:rPr>
                            <m:t>j</m:t>
                          </m:r>
                        </m:sub>
                      </m:sSub>
                      <m:r>
                        <w:rPr>
                          <w:rFonts w:ascii="Cambria Math" w:hAnsi="Cambria Math" w:cstheme="majorHAnsi"/>
                          <w:sz w:val="18"/>
                          <w:szCs w:val="18"/>
                        </w:rPr>
                        <m:t>)</m:t>
                      </m:r>
                    </m:e>
                    <m:sup>
                      <m:r>
                        <w:rPr>
                          <w:rFonts w:ascii="Cambria Math" w:hAnsi="Cambria Math" w:cstheme="majorHAnsi"/>
                          <w:sz w:val="18"/>
                          <w:szCs w:val="18"/>
                        </w:rPr>
                        <m:t>2</m:t>
                      </m:r>
                    </m:sup>
                  </m:sSup>
                  <m:r>
                    <w:rPr>
                      <w:rFonts w:ascii="Cambria Math" w:hAnsi="Cambria Math" w:cstheme="majorHAnsi"/>
                      <w:sz w:val="18"/>
                      <w:szCs w:val="18"/>
                    </w:rPr>
                    <m:t>/2</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r>
                    <w:rPr>
                      <w:rFonts w:ascii="Cambria Math" w:hAnsi="Cambria Math" w:cstheme="majorHAnsi"/>
                      <w:sz w:val="18"/>
                      <w:szCs w:val="18"/>
                    </w:rPr>
                    <m:t>)</m:t>
                  </m:r>
                </m:sup>
              </m:sSup>
              <m:r>
                <w:rPr>
                  <w:rFonts w:ascii="Cambria Math" w:hAnsi="Cambria Math" w:cstheme="majorHAnsi"/>
                  <w:sz w:val="18"/>
                  <w:szCs w:val="18"/>
                </w:rPr>
                <m:t xml:space="preserve"> </m:t>
              </m:r>
            </m:e>
          </m:d>
          <m:r>
            <w:rPr>
              <w:rFonts w:ascii="Cambria Math" w:hAnsi="Cambria Math" w:cstheme="majorHAnsi"/>
              <w:sz w:val="18"/>
              <w:szCs w:val="18"/>
            </w:rPr>
            <m:t>* Phabitat</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PStreamOrder</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PPresence(j)</m:t>
          </m:r>
        </m:oMath>
      </m:oMathPara>
    </w:p>
    <w:p w14:paraId="074102B3" w14:textId="1C741714" w:rsidR="00F210C2" w:rsidRPr="00F75AB6" w:rsidRDefault="005E64F6" w:rsidP="00E774B6">
      <w:pPr>
        <w:spacing w:line="480" w:lineRule="auto"/>
        <w:ind w:firstLine="720"/>
        <w:rPr>
          <w:rFonts w:ascii="Garamond" w:eastAsia="Times New Roman" w:hAnsi="Garamond" w:cs="Times New Roman"/>
          <w:kern w:val="0"/>
          <w:sz w:val="22"/>
          <w:szCs w:val="22"/>
          <w14:ligatures w14:val="none"/>
        </w:rPr>
      </w:pPr>
      <w:r w:rsidRPr="00F75AB6">
        <w:rPr>
          <w:rFonts w:ascii="Garamond" w:hAnsi="Garamond" w:cstheme="majorHAnsi"/>
          <w:sz w:val="22"/>
          <w:szCs w:val="22"/>
        </w:rPr>
        <w:t>The probability of an individual assigning to tributary j is defined as the product of the probability of the isotope ratio in the otolith of an individual (o) given the isotope ratio in tributary j (</w:t>
      </w:r>
      <w:proofErr w:type="spellStart"/>
      <w:r w:rsidRPr="00F75AB6">
        <w:rPr>
          <w:rFonts w:ascii="Garamond" w:hAnsi="Garamond" w:cstheme="majorHAnsi"/>
          <w:sz w:val="22"/>
          <w:szCs w:val="22"/>
        </w:rPr>
        <w:t>r_j</w:t>
      </w:r>
      <w:proofErr w:type="spellEnd"/>
      <w:r w:rsidRPr="00F75AB6">
        <w:rPr>
          <w:rFonts w:ascii="Garamond" w:hAnsi="Garamond" w:cstheme="majorHAnsi"/>
          <w:sz w:val="22"/>
          <w:szCs w:val="22"/>
        </w:rPr>
        <w:t>) and 3 separate habitat priors. The probability of the isotope ratio (</w:t>
      </w:r>
      <w:proofErr w:type="spellStart"/>
      <w:r w:rsidRPr="00F75AB6">
        <w:rPr>
          <w:rFonts w:ascii="Garamond" w:hAnsi="Garamond" w:cstheme="majorHAnsi"/>
          <w:sz w:val="22"/>
          <w:szCs w:val="22"/>
        </w:rPr>
        <w:t>rj</w:t>
      </w:r>
      <w:proofErr w:type="spellEnd"/>
      <w:r w:rsidRPr="00F75AB6">
        <w:rPr>
          <w:rFonts w:ascii="Garamond" w:hAnsi="Garamond" w:cstheme="majorHAnsi"/>
          <w:sz w:val="22"/>
          <w:szCs w:val="22"/>
        </w:rPr>
        <w:t xml:space="preserve">) was assumed to be normally distributed with a mean represented by the otolith isotope ratio (o) and an error of </w:t>
      </w:r>
      <m:oMath>
        <m:sSub>
          <m:sSubPr>
            <m:ctrlPr>
              <w:rPr>
                <w:rFonts w:ascii="Cambria Math" w:hAnsi="Cambria Math" w:cstheme="majorHAnsi"/>
                <w:i/>
                <w:sz w:val="22"/>
                <w:szCs w:val="22"/>
              </w:rPr>
            </m:ctrlPr>
          </m:sSubPr>
          <m:e>
            <m:r>
              <w:rPr>
                <w:rFonts w:ascii="Cambria Math" w:hAnsi="Cambria Math" w:cstheme="majorHAnsi"/>
                <w:sz w:val="22"/>
                <w:szCs w:val="22"/>
              </w:rPr>
              <m:t>σ</m:t>
            </m:r>
          </m:e>
          <m:sub>
            <m:r>
              <w:rPr>
                <w:rFonts w:ascii="Cambria Math" w:hAnsi="Cambria Math" w:cstheme="majorHAnsi"/>
                <w:sz w:val="22"/>
                <w:szCs w:val="22"/>
              </w:rPr>
              <m:t>combined</m:t>
            </m:r>
          </m:sub>
        </m:sSub>
      </m:oMath>
      <w:r w:rsidRPr="00F75AB6">
        <w:rPr>
          <w:rFonts w:ascii="Garamond" w:hAnsi="Garamond" w:cstheme="majorHAnsi"/>
          <w:sz w:val="22"/>
          <w:szCs w:val="22"/>
        </w:rPr>
        <w:t xml:space="preserve">. </w:t>
      </w:r>
      <w:r w:rsidRPr="00F75AB6">
        <w:rPr>
          <w:rFonts w:ascii="Garamond" w:eastAsia="Times New Roman" w:hAnsi="Garamond" w:cs="Times New Roman"/>
          <w:kern w:val="0"/>
          <w:sz w:val="22"/>
          <w:szCs w:val="22"/>
          <w14:ligatures w14:val="none"/>
        </w:rPr>
        <w:t xml:space="preserve">Several priors were included to limit assignments to areas within the river basin suitable for spawning Chinook salmon. </w:t>
      </w:r>
      <w:r w:rsidRPr="00F75AB6">
        <w:rPr>
          <w:rFonts w:ascii="Garamond" w:hAnsi="Garamond"/>
          <w:sz w:val="22"/>
          <w:szCs w:val="22"/>
        </w:rPr>
        <w:t xml:space="preserve">First, a </w:t>
      </w:r>
      <w:r w:rsidRPr="00F75AB6">
        <w:rPr>
          <w:rFonts w:ascii="Garamond" w:eastAsia="Times New Roman" w:hAnsi="Garamond"/>
          <w:sz w:val="22"/>
          <w:szCs w:val="22"/>
        </w:rPr>
        <w:t xml:space="preserve">stream order prior </w:t>
      </w:r>
      <w:r w:rsidRPr="00F75AB6">
        <w:rPr>
          <w:rFonts w:ascii="Garamond" w:eastAsia="Times New Roman" w:hAnsi="Garamond"/>
          <w:sz w:val="22"/>
          <w:szCs w:val="22"/>
        </w:rPr>
        <w:lastRenderedPageBreak/>
        <w:t>(</w:t>
      </w:r>
      <w:proofErr w:type="spellStart"/>
      <w:r w:rsidRPr="00F75AB6">
        <w:rPr>
          <w:rFonts w:ascii="Garamond" w:eastAsia="Times New Roman" w:hAnsi="Garamond"/>
          <w:sz w:val="22"/>
          <w:szCs w:val="22"/>
        </w:rPr>
        <w:t>PStreamOrder</w:t>
      </w:r>
      <w:proofErr w:type="spellEnd"/>
      <w:r w:rsidRPr="00F75AB6">
        <w:rPr>
          <w:rFonts w:ascii="Garamond" w:eastAsia="Times New Roman" w:hAnsi="Garamond"/>
          <w:sz w:val="22"/>
          <w:szCs w:val="22"/>
        </w:rPr>
        <w:t>)</w:t>
      </w:r>
      <w:r w:rsidRPr="00F75AB6">
        <w:rPr>
          <w:rFonts w:ascii="Garamond" w:hAnsi="Garamond"/>
          <w:sz w:val="22"/>
          <w:szCs w:val="22"/>
        </w:rPr>
        <w:t xml:space="preserve"> was applied to limit assignments to higher-order tributaries, reflecting Chinook Salmon’s known preference for spawning in larger streams. Only reaches with a stream order of 4 or greater were included in assignments (assigned a prior value of 1), while smaller tributaries were excluded (assigned a value of 0). </w:t>
      </w:r>
      <w:r w:rsidRPr="00F75AB6">
        <w:rPr>
          <w:rFonts w:ascii="Garamond" w:eastAsia="Times New Roman" w:hAnsi="Garamond" w:cs="Times New Roman"/>
          <w:kern w:val="0"/>
          <w:sz w:val="22"/>
          <w:szCs w:val="22"/>
          <w14:ligatures w14:val="none"/>
        </w:rPr>
        <w:t>Second, a habitat suitability prior (</w:t>
      </w:r>
      <w:proofErr w:type="spellStart"/>
      <w:r w:rsidRPr="00F75AB6">
        <w:rPr>
          <w:rFonts w:ascii="Garamond" w:eastAsia="Times New Roman" w:hAnsi="Garamond" w:cs="Times New Roman"/>
          <w:kern w:val="0"/>
          <w:sz w:val="22"/>
          <w:szCs w:val="22"/>
          <w14:ligatures w14:val="none"/>
        </w:rPr>
        <w:t>PHabitat</w:t>
      </w:r>
      <w:proofErr w:type="spellEnd"/>
      <w:r w:rsidRPr="00F75AB6">
        <w:rPr>
          <w:rFonts w:ascii="Garamond" w:eastAsia="Times New Roman" w:hAnsi="Garamond" w:cs="Times New Roman"/>
          <w:kern w:val="0"/>
          <w:sz w:val="22"/>
          <w:szCs w:val="22"/>
          <w14:ligatures w14:val="none"/>
        </w:rPr>
        <w:t xml:space="preserve">) was used to exclude regions below a threshold contributing slope </w:t>
      </w:r>
      <w:proofErr w:type="gramStart"/>
      <w:r w:rsidRPr="00F75AB6">
        <w:rPr>
          <w:rFonts w:ascii="Garamond" w:eastAsia="Times New Roman" w:hAnsi="Garamond" w:cs="Times New Roman"/>
          <w:kern w:val="0"/>
          <w:sz w:val="22"/>
          <w:szCs w:val="22"/>
          <w14:ligatures w14:val="none"/>
        </w:rPr>
        <w:t xml:space="preserve">value </w:t>
      </w:r>
      <w:r w:rsidR="00F75AB6" w:rsidRPr="00F75AB6">
        <w:rPr>
          <w:rFonts w:ascii="Garamond" w:eastAsia="Times New Roman" w:hAnsi="Garamond" w:cs="Times New Roman"/>
          <w:kern w:val="0"/>
          <w:sz w:val="22"/>
          <w:szCs w:val="22"/>
          <w14:ligatures w14:val="none"/>
        </w:rPr>
        <w:t>,</w:t>
      </w:r>
      <w:proofErr w:type="gramEnd"/>
      <w:r w:rsidR="00F75AB6" w:rsidRPr="00F75AB6">
        <w:rPr>
          <w:rFonts w:ascii="Garamond" w:eastAsia="Times New Roman" w:hAnsi="Garamond" w:cs="Times New Roman"/>
          <w:kern w:val="0"/>
          <w:sz w:val="22"/>
          <w:szCs w:val="22"/>
          <w14:ligatures w14:val="none"/>
        </w:rPr>
        <w:t xml:space="preserve"> </w:t>
      </w:r>
      <w:r w:rsidRPr="00F75AB6">
        <w:rPr>
          <w:rFonts w:ascii="Garamond" w:eastAsia="Times New Roman" w:hAnsi="Garamond" w:cs="Times New Roman"/>
          <w:kern w:val="0"/>
          <w:sz w:val="22"/>
          <w:szCs w:val="22"/>
          <w14:ligatures w14:val="none"/>
        </w:rPr>
        <w:t xml:space="preserve">thereby preventing assignment to exceedingly slow or flat reaches determined to be unsuitable </w:t>
      </w:r>
      <w:proofErr w:type="gramStart"/>
      <w:r w:rsidRPr="00F75AB6">
        <w:rPr>
          <w:rFonts w:ascii="Garamond" w:eastAsia="Times New Roman" w:hAnsi="Garamond" w:cs="Times New Roman"/>
          <w:kern w:val="0"/>
          <w:sz w:val="22"/>
          <w:szCs w:val="22"/>
          <w14:ligatures w14:val="none"/>
        </w:rPr>
        <w:t>of</w:t>
      </w:r>
      <w:proofErr w:type="gramEnd"/>
      <w:r w:rsidRPr="00F75AB6">
        <w:rPr>
          <w:rFonts w:ascii="Garamond" w:eastAsia="Times New Roman" w:hAnsi="Garamond" w:cs="Times New Roman"/>
          <w:kern w:val="0"/>
          <w:sz w:val="22"/>
          <w:szCs w:val="22"/>
          <w14:ligatures w14:val="none"/>
        </w:rPr>
        <w:t xml:space="preserve"> spawning Chinook. Finally, data was included on observed locations of spawning chinook presence derived from USGS Arctic-Yukon-Kuskokwim (AYK) Chinook Salmon Intrinsic potential mapping. This dataset synthesizes several sources of data on observed Chinook salmon spawners </w:t>
      </w:r>
      <w:r w:rsidR="00F210C2" w:rsidRPr="00F75AB6">
        <w:rPr>
          <w:rFonts w:ascii="Garamond" w:eastAsia="Times New Roman" w:hAnsi="Garamond" w:cs="Times New Roman"/>
          <w:kern w:val="0"/>
          <w:sz w:val="22"/>
          <w:szCs w:val="22"/>
          <w14:ligatures w14:val="none"/>
        </w:rPr>
        <w:fldChar w:fldCharType="begin"/>
      </w:r>
      <w:r w:rsidR="00F210C2" w:rsidRPr="00F75AB6">
        <w:rPr>
          <w:rFonts w:ascii="Garamond" w:eastAsia="Times New Roman" w:hAnsi="Garamond" w:cs="Times New Roman"/>
          <w:kern w:val="0"/>
          <w:sz w:val="22"/>
          <w:szCs w:val="22"/>
          <w14:ligatures w14:val="none"/>
        </w:rPr>
        <w:instrText xml:space="preserve"> ADDIN ZOTERO_ITEM CSL_CITATION {"citationID":"GgqWHCm6","properties":{"formattedCitation":"(Falke &amp; Paul, 2025)","plainCitation":"(Falke &amp; Paul, 2025)","noteIndex":0},"citationItems":[{"id":5400,"uris":["http://zotero.org/users/8421274/items/GG56Y5HB"],"itemData":{"id":5400,"type":"dataset","abstract":"Chinook Salmon (Oncorhynchus tshawytscha) are an important commercial, subsistence, and recreational fishery resource in Alaska, and recent population declines have resulted in closures of some Chinook Salmon fisheries. Research into environmental factors involved in the decline of salmon stocks has exposed information gaps regarding fine-scale freshwater habitat quality known to influence Chinook Salmon productivity. We developed spatially-explicit intrinsic habitat potential models for Chinook Salmon freshwater spawning and rearing life-stages based on geomorphic stream network attributes (e.g., gradient, mean annual flow, valley bottom width). Model predictions were applied to individual stream reaches and summarized across synthetic stream networks derived from high-resolution (5-meter) digital elevation models covering the Yukon River drainage west of the US-Canada border and the entire Kuskokwim River drainage (total stream length ~667,000 km across 1.3 million km2 area). Vector spatial datasets include unique reach contributing area (uRCA) and unique reach contributing area valley bottom (uRCA VB) polygons, and confluence to confluence streamline edges derived from the NetMap synthetic streamlines product. Tabular data includes a collection of stream attributes summarized by uRCA or uRCA VB polygons, and habitat model results derived from these stream attributes. See metadata records for individual data elements for a description of input sources, software\nenvironments, data quality, processing steps, and attribute information. Approximately 87,500 and 39,500 stream km were predicted to represent moderate to high (index scores 0.6-1.0) Chinook Salmon rearing and spawning habitat suitability, respectively. Our high-resolution, spatially explicit dataset provides many options for summarizing and visualizing habitat suitability across areal units (e.g., river basins, land management boundaries) and assessing the potential for high suitability habitats outside the known distribution of Chinook Salmon at scales useful for managers and the research community.","DOI":"10.5066/P95AV4JO","license":"Creative Commons Zero v1.0 Universal","medium":"csv,xml,shp","publisher":"U.S. Geological Survey","source":"DOI.org (Datacite)","title":"Stream Attributes and Habitat Intrinsic Potential Model Results to examine Freshwater Habitat Potential for Chinook Salmon in the Yukon and Kuskokwim River Basins, Alaska","URL":"https://www.sciencebase.gov/catalog/item/64df8deed34e5f6cd553baec","author":[{"family":"Falke","given":""},{"family":"Paul","given":""}],"accessed":{"date-parts":[["2025",6,4]]},"issued":{"date-parts":[["2025"]]}}}],"schema":"https://github.com/citation-style-language/schema/raw/master/csl-citation.json"} </w:instrText>
      </w:r>
      <w:r w:rsidR="00F210C2" w:rsidRPr="00F75AB6">
        <w:rPr>
          <w:rFonts w:ascii="Garamond" w:eastAsia="Times New Roman" w:hAnsi="Garamond" w:cs="Times New Roman"/>
          <w:kern w:val="0"/>
          <w:sz w:val="22"/>
          <w:szCs w:val="22"/>
          <w14:ligatures w14:val="none"/>
        </w:rPr>
        <w:fldChar w:fldCharType="separate"/>
      </w:r>
      <w:r w:rsidR="00F210C2" w:rsidRPr="00F75AB6">
        <w:rPr>
          <w:rFonts w:ascii="Garamond" w:eastAsia="Times New Roman" w:hAnsi="Garamond" w:cs="Times New Roman"/>
          <w:noProof/>
          <w:kern w:val="0"/>
          <w:sz w:val="22"/>
          <w:szCs w:val="22"/>
          <w14:ligatures w14:val="none"/>
        </w:rPr>
        <w:t>(Falke &amp; Paul, 2025)</w:t>
      </w:r>
      <w:r w:rsidR="00F210C2" w:rsidRPr="00F75AB6">
        <w:rPr>
          <w:rFonts w:ascii="Garamond" w:eastAsia="Times New Roman" w:hAnsi="Garamond" w:cs="Times New Roman"/>
          <w:kern w:val="0"/>
          <w:sz w:val="22"/>
          <w:szCs w:val="22"/>
          <w14:ligatures w14:val="none"/>
        </w:rPr>
        <w:fldChar w:fldCharType="end"/>
      </w:r>
      <w:r w:rsidRPr="00F75AB6">
        <w:rPr>
          <w:rFonts w:ascii="Garamond" w:eastAsia="Times New Roman" w:hAnsi="Garamond" w:cs="Times New Roman"/>
          <w:kern w:val="0"/>
          <w:sz w:val="22"/>
          <w:szCs w:val="22"/>
          <w14:ligatures w14:val="none"/>
        </w:rPr>
        <w:t xml:space="preserve"> to provide a binary 0 or 1 value for locations with or without observations across the dataset. To avoid biasing regions without observations but with low sampling effort, this prior was only applied to mainstream tributaries and those with the second highest stream order. From these tributaries, reaches identified in the IP dataset as lacking observed Chinook spawning were assigned as a value of 0. </w:t>
      </w:r>
    </w:p>
    <w:p w14:paraId="030DD74E" w14:textId="77777777" w:rsidR="005B46E8" w:rsidRDefault="00F210C2" w:rsidP="005B46E8">
      <w:pPr>
        <w:spacing w:line="480" w:lineRule="auto"/>
        <w:rPr>
          <w:rFonts w:ascii="Garamond" w:hAnsi="Garamond"/>
          <w:b/>
          <w:bCs/>
          <w:sz w:val="22"/>
          <w:szCs w:val="22"/>
          <w:u w:val="single"/>
        </w:rPr>
      </w:pPr>
      <w:r w:rsidRPr="005B46E8">
        <w:rPr>
          <w:rFonts w:ascii="Garamond" w:hAnsi="Garamond"/>
          <w:b/>
          <w:bCs/>
          <w:sz w:val="22"/>
          <w:szCs w:val="22"/>
          <w:u w:val="single"/>
        </w:rPr>
        <w:t>Natal origin distribution estimates.</w:t>
      </w:r>
    </w:p>
    <w:p w14:paraId="0288C1B3" w14:textId="3B35D3CA" w:rsidR="00F210C2" w:rsidRPr="00F75AB6" w:rsidRDefault="00E774B6" w:rsidP="00F75AB6">
      <w:pPr>
        <w:spacing w:line="480" w:lineRule="auto"/>
        <w:ind w:firstLine="720"/>
        <w:rPr>
          <w:rFonts w:ascii="Garamond" w:hAnsi="Garamond"/>
          <w:b/>
          <w:bCs/>
          <w:sz w:val="22"/>
          <w:szCs w:val="22"/>
          <w:u w:val="single"/>
        </w:rPr>
      </w:pPr>
      <w:r w:rsidRPr="00F75AB6">
        <w:rPr>
          <w:rFonts w:ascii="Garamond" w:hAnsi="Garamond"/>
          <w:sz w:val="22"/>
          <w:szCs w:val="22"/>
        </w:rPr>
        <w:t xml:space="preserve">Posterior probability estimates of origin were generated for </w:t>
      </w:r>
      <w:proofErr w:type="gramStart"/>
      <w:r w:rsidRPr="00F75AB6">
        <w:rPr>
          <w:rFonts w:ascii="Garamond" w:hAnsi="Garamond"/>
          <w:sz w:val="22"/>
          <w:szCs w:val="22"/>
        </w:rPr>
        <w:t>each individual</w:t>
      </w:r>
      <w:proofErr w:type="gramEnd"/>
      <w:r w:rsidRPr="00F75AB6">
        <w:rPr>
          <w:rFonts w:ascii="Garamond" w:hAnsi="Garamond"/>
          <w:sz w:val="22"/>
          <w:szCs w:val="22"/>
        </w:rPr>
        <w:t xml:space="preserve"> across all tributaries in the basin. To retain only the most likely natal habitats, the top 30% of posterior values were preserved while the bottom 70% were discarded. This filtering reduced the influence of diffuse, low-probability values and improved the spatial resolution of basin-scale patterns.</w:t>
      </w:r>
      <w:r w:rsidR="00F75AB6">
        <w:rPr>
          <w:rFonts w:ascii="Garamond" w:hAnsi="Garamond"/>
          <w:sz w:val="22"/>
          <w:szCs w:val="22"/>
        </w:rPr>
        <w:t xml:space="preserve"> </w:t>
      </w:r>
      <w:r w:rsidRPr="00F75AB6">
        <w:rPr>
          <w:rFonts w:ascii="Garamond" w:hAnsi="Garamond"/>
          <w:sz w:val="22"/>
          <w:szCs w:val="22"/>
        </w:rPr>
        <w:t xml:space="preserve">Full-run estimates of the spatial distribution of natal origins were calculated by summing the </w:t>
      </w:r>
      <w:proofErr w:type="spellStart"/>
      <w:r w:rsidRPr="00F75AB6">
        <w:rPr>
          <w:rFonts w:ascii="Garamond" w:hAnsi="Garamond"/>
          <w:sz w:val="22"/>
          <w:szCs w:val="22"/>
        </w:rPr>
        <w:t>thresholded</w:t>
      </w:r>
      <w:proofErr w:type="spellEnd"/>
      <w:r w:rsidRPr="00F75AB6">
        <w:rPr>
          <w:rFonts w:ascii="Garamond" w:hAnsi="Garamond"/>
          <w:sz w:val="22"/>
          <w:szCs w:val="22"/>
        </w:rPr>
        <w:t xml:space="preserve"> posterior probabilities for all individuals at each tributary location. To assess temporal patterns within the run, individuals were grouped into predefined quartiles based on their capture date. The first quartile spanned from the beginning of the run through </w:t>
      </w:r>
      <w:r w:rsidRPr="00F75AB6">
        <w:rPr>
          <w:rStyle w:val="Strong"/>
          <w:rFonts w:ascii="Garamond" w:eastAsiaTheme="majorEastAsia" w:hAnsi="Garamond"/>
          <w:b w:val="0"/>
          <w:bCs w:val="0"/>
          <w:sz w:val="22"/>
          <w:szCs w:val="22"/>
        </w:rPr>
        <w:t>June 11</w:t>
      </w:r>
      <w:r w:rsidRPr="00F75AB6">
        <w:rPr>
          <w:rFonts w:ascii="Garamond" w:hAnsi="Garamond"/>
          <w:sz w:val="22"/>
          <w:szCs w:val="22"/>
        </w:rPr>
        <w:t xml:space="preserve">, corresponding to the current front-end block closure on the Kuskokwim River. The second quartile covered </w:t>
      </w:r>
      <w:r w:rsidRPr="00F75AB6">
        <w:rPr>
          <w:rStyle w:val="Strong"/>
          <w:rFonts w:ascii="Garamond" w:eastAsiaTheme="majorEastAsia" w:hAnsi="Garamond"/>
          <w:b w:val="0"/>
          <w:bCs w:val="0"/>
          <w:sz w:val="22"/>
          <w:szCs w:val="22"/>
        </w:rPr>
        <w:t>June 12–21</w:t>
      </w:r>
      <w:r w:rsidRPr="00F75AB6">
        <w:rPr>
          <w:rFonts w:ascii="Garamond" w:hAnsi="Garamond"/>
          <w:b/>
          <w:bCs/>
          <w:sz w:val="22"/>
          <w:szCs w:val="22"/>
        </w:rPr>
        <w:t>,</w:t>
      </w:r>
      <w:r w:rsidRPr="00F75AB6">
        <w:rPr>
          <w:rFonts w:ascii="Garamond" w:hAnsi="Garamond"/>
          <w:sz w:val="22"/>
          <w:szCs w:val="22"/>
        </w:rPr>
        <w:t xml:space="preserve"> the third spanned </w:t>
      </w:r>
      <w:r w:rsidRPr="00F75AB6">
        <w:rPr>
          <w:rStyle w:val="Strong"/>
          <w:rFonts w:ascii="Garamond" w:eastAsiaTheme="majorEastAsia" w:hAnsi="Garamond"/>
          <w:b w:val="0"/>
          <w:bCs w:val="0"/>
          <w:sz w:val="22"/>
          <w:szCs w:val="22"/>
        </w:rPr>
        <w:t>June 22–July 1</w:t>
      </w:r>
      <w:r w:rsidRPr="00F75AB6">
        <w:rPr>
          <w:rFonts w:ascii="Garamond" w:hAnsi="Garamond"/>
          <w:b/>
          <w:bCs/>
          <w:sz w:val="22"/>
          <w:szCs w:val="22"/>
        </w:rPr>
        <w:t>,</w:t>
      </w:r>
      <w:r w:rsidRPr="00F75AB6">
        <w:rPr>
          <w:rFonts w:ascii="Garamond" w:hAnsi="Garamond"/>
          <w:sz w:val="22"/>
          <w:szCs w:val="22"/>
        </w:rPr>
        <w:t xml:space="preserve"> and the final quartile included all individuals captured from </w:t>
      </w:r>
      <w:r w:rsidRPr="00F75AB6">
        <w:rPr>
          <w:rStyle w:val="Strong"/>
          <w:rFonts w:ascii="Garamond" w:eastAsiaTheme="majorEastAsia" w:hAnsi="Garamond"/>
          <w:b w:val="0"/>
          <w:bCs w:val="0"/>
          <w:sz w:val="22"/>
          <w:szCs w:val="22"/>
        </w:rPr>
        <w:t>July 2 onward</w:t>
      </w:r>
      <w:r w:rsidRPr="00F75AB6">
        <w:rPr>
          <w:rFonts w:ascii="Garamond" w:hAnsi="Garamond"/>
          <w:b/>
          <w:bCs/>
          <w:sz w:val="22"/>
          <w:szCs w:val="22"/>
        </w:rPr>
        <w:t>.</w:t>
      </w:r>
      <w:r w:rsidRPr="00F75AB6">
        <w:rPr>
          <w:rFonts w:ascii="Garamond" w:hAnsi="Garamond"/>
          <w:sz w:val="22"/>
          <w:szCs w:val="22"/>
        </w:rPr>
        <w:t xml:space="preserve"> Although the duration of the fourth quartile varied slightly among years due to interannual differences in run timing, these deviations were minimal and had negligible impact on overall CPUE. Quartile-specific natal origin distributions were calculated by summing the </w:t>
      </w:r>
      <w:proofErr w:type="spellStart"/>
      <w:r w:rsidRPr="00F75AB6">
        <w:rPr>
          <w:rFonts w:ascii="Garamond" w:hAnsi="Garamond"/>
          <w:sz w:val="22"/>
          <w:szCs w:val="22"/>
        </w:rPr>
        <w:t>thresholded</w:t>
      </w:r>
      <w:proofErr w:type="spellEnd"/>
      <w:r w:rsidRPr="00F75AB6">
        <w:rPr>
          <w:rFonts w:ascii="Garamond" w:hAnsi="Garamond"/>
          <w:sz w:val="22"/>
          <w:szCs w:val="22"/>
        </w:rPr>
        <w:t xml:space="preserve"> posterior probabilities of all individuals captured within each quartile window. For both full-run and quartile-specific estimates, </w:t>
      </w:r>
      <w:r w:rsidRPr="00F75AB6">
        <w:rPr>
          <w:rFonts w:ascii="Garamond" w:hAnsi="Garamond"/>
          <w:sz w:val="22"/>
          <w:szCs w:val="22"/>
        </w:rPr>
        <w:lastRenderedPageBreak/>
        <w:t>values were normalized to sum to one. For visualization purposes, these values were then rescaled to a 0–1 range to depict the relative distribution of natal origins across the basin.</w:t>
      </w:r>
    </w:p>
    <w:p w14:paraId="3547E974" w14:textId="77777777" w:rsidR="004B12B3" w:rsidRPr="006D1917" w:rsidRDefault="004B12B3" w:rsidP="004B12B3">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Management units and timeseries construction</w:t>
      </w:r>
    </w:p>
    <w:p w14:paraId="04413AB6" w14:textId="010F9310" w:rsidR="008F2D5D" w:rsidRDefault="004B12B3" w:rsidP="00D75D9A">
      <w:pPr>
        <w:pStyle w:val="NormalWeb"/>
        <w:spacing w:line="480" w:lineRule="auto"/>
        <w:rPr>
          <w:rFonts w:ascii="Garamond" w:hAnsi="Garamond"/>
          <w:sz w:val="22"/>
          <w:szCs w:val="22"/>
        </w:rPr>
      </w:pPr>
      <w:r w:rsidRPr="006D1917">
        <w:rPr>
          <w:rFonts w:ascii="Garamond" w:hAnsi="Garamond"/>
          <w:b/>
          <w:bCs/>
          <w:sz w:val="22"/>
          <w:szCs w:val="22"/>
        </w:rPr>
        <w:tab/>
      </w:r>
      <w:r w:rsidR="006135E9" w:rsidRPr="00916784">
        <w:rPr>
          <w:rFonts w:ascii="Garamond" w:hAnsi="Garamond"/>
          <w:sz w:val="22"/>
          <w:szCs w:val="22"/>
        </w:rPr>
        <w:t xml:space="preserve">Tributaries across the basin were grouped into management units based on regions of management concern identified by the Alaska Department of Fish and Game (ADFG). These included key tributaries such as the Aniak, Kwethluk, </w:t>
      </w:r>
      <w:proofErr w:type="spellStart"/>
      <w:r w:rsidR="006135E9" w:rsidRPr="00916784">
        <w:rPr>
          <w:rFonts w:ascii="Garamond" w:hAnsi="Garamond"/>
          <w:sz w:val="22"/>
          <w:szCs w:val="22"/>
        </w:rPr>
        <w:t>Takotna</w:t>
      </w:r>
      <w:proofErr w:type="spellEnd"/>
      <w:r w:rsidR="006135E9" w:rsidRPr="00916784">
        <w:rPr>
          <w:rFonts w:ascii="Garamond" w:hAnsi="Garamond"/>
          <w:sz w:val="22"/>
          <w:szCs w:val="22"/>
        </w:rPr>
        <w:t xml:space="preserve">, and </w:t>
      </w:r>
      <w:proofErr w:type="spellStart"/>
      <w:r w:rsidR="006135E9" w:rsidRPr="00916784">
        <w:rPr>
          <w:rFonts w:ascii="Garamond" w:hAnsi="Garamond"/>
          <w:sz w:val="22"/>
          <w:szCs w:val="22"/>
        </w:rPr>
        <w:t>Holitna</w:t>
      </w:r>
      <w:proofErr w:type="spellEnd"/>
      <w:r w:rsidR="006135E9" w:rsidRPr="00916784">
        <w:rPr>
          <w:rFonts w:ascii="Garamond" w:hAnsi="Garamond"/>
          <w:sz w:val="22"/>
          <w:szCs w:val="22"/>
        </w:rPr>
        <w:t xml:space="preserve"> rivers, which are subject to active management goals. For each of these systems, all upstream stream segments were grouped and assigned a common management unit identifier.</w:t>
      </w:r>
      <w:r w:rsidR="00916784">
        <w:rPr>
          <w:rFonts w:ascii="Garamond" w:hAnsi="Garamond"/>
          <w:sz w:val="22"/>
          <w:szCs w:val="22"/>
        </w:rPr>
        <w:t xml:space="preserve"> </w:t>
      </w:r>
      <w:r w:rsidR="006135E9" w:rsidRPr="00916784">
        <w:rPr>
          <w:rFonts w:ascii="Garamond" w:hAnsi="Garamond"/>
          <w:sz w:val="22"/>
          <w:szCs w:val="22"/>
        </w:rPr>
        <w:t xml:space="preserve">Additional tributaries not explicitly highlighted in ADFG’s management priorities were grouped into units of comparable size or hydrological significance. These included units such as “Upper Kusko Main,” “George,” and “Lower Kusko,” ensuring that the entire basin was binned into management categories that could be reasonably compared across regions (Figure </w:t>
      </w:r>
      <w:r w:rsidR="00D92E56">
        <w:rPr>
          <w:rFonts w:ascii="Garamond" w:hAnsi="Garamond"/>
          <w:sz w:val="22"/>
          <w:szCs w:val="22"/>
        </w:rPr>
        <w:t>2</w:t>
      </w:r>
      <w:r w:rsidR="006135E9" w:rsidRPr="00916784">
        <w:rPr>
          <w:rFonts w:ascii="Garamond" w:hAnsi="Garamond"/>
          <w:sz w:val="22"/>
          <w:szCs w:val="22"/>
        </w:rPr>
        <w:t>).</w:t>
      </w:r>
      <w:r w:rsidR="00ED6B2A">
        <w:rPr>
          <w:rFonts w:ascii="Garamond" w:hAnsi="Garamond"/>
          <w:sz w:val="22"/>
          <w:szCs w:val="22"/>
        </w:rPr>
        <w:t xml:space="preserve"> </w:t>
      </w:r>
      <w:r w:rsidR="00916784" w:rsidRPr="00916784">
        <w:rPr>
          <w:rFonts w:ascii="Garamond" w:hAnsi="Garamond"/>
          <w:sz w:val="22"/>
          <w:szCs w:val="22"/>
        </w:rPr>
        <w:t>Production estimates across the basin were aggregated by management unit and rescaled to sum to one for each quartile. This process was repeated for all quartiles across all years in the dataset (2017–2021), resulting in a time series of proportional contributions for each of the 20 management regions</w:t>
      </w:r>
      <w:r w:rsidR="008F2D5D">
        <w:rPr>
          <w:rFonts w:ascii="Garamond" w:hAnsi="Garamond"/>
          <w:sz w:val="22"/>
          <w:szCs w:val="22"/>
        </w:rPr>
        <w:t xml:space="preserve"> (Figure </w:t>
      </w:r>
      <w:r w:rsidR="00AB0BD5">
        <w:rPr>
          <w:rFonts w:ascii="Garamond" w:hAnsi="Garamond"/>
          <w:sz w:val="22"/>
          <w:szCs w:val="22"/>
        </w:rPr>
        <w:t>3</w:t>
      </w:r>
      <w:r w:rsidR="008F2D5D">
        <w:rPr>
          <w:rFonts w:ascii="Garamond" w:hAnsi="Garamond"/>
          <w:sz w:val="22"/>
          <w:szCs w:val="22"/>
        </w:rPr>
        <w:t xml:space="preserve">) </w:t>
      </w:r>
    </w:p>
    <w:p w14:paraId="74167350" w14:textId="01D10A5E" w:rsidR="009873E7" w:rsidRPr="005B46E8" w:rsidRDefault="009873E7" w:rsidP="00D75D9A">
      <w:pPr>
        <w:pStyle w:val="NormalWeb"/>
        <w:spacing w:line="480" w:lineRule="auto"/>
        <w:rPr>
          <w:rFonts w:ascii="Garamond" w:hAnsi="Garamond"/>
          <w:sz w:val="22"/>
          <w:szCs w:val="22"/>
        </w:rPr>
      </w:pPr>
      <w:r w:rsidRPr="005B46E8">
        <w:rPr>
          <w:rFonts w:ascii="Garamond" w:hAnsi="Garamond"/>
          <w:b/>
          <w:bCs/>
          <w:sz w:val="22"/>
          <w:szCs w:val="22"/>
        </w:rPr>
        <w:t xml:space="preserve">Dynamic Factor Analysis </w:t>
      </w:r>
    </w:p>
    <w:p w14:paraId="49200021" w14:textId="77777777" w:rsidR="00D75D9A" w:rsidRPr="005B46E8" w:rsidRDefault="007942D8" w:rsidP="00D75D9A">
      <w:pPr>
        <w:spacing w:before="100" w:beforeAutospacing="1" w:after="100" w:afterAutospacing="1" w:line="480" w:lineRule="auto"/>
        <w:rPr>
          <w:rFonts w:ascii="Garamond" w:eastAsia="Times New Roman" w:hAnsi="Garamond" w:cs="Times New Roman"/>
          <w:kern w:val="0"/>
          <w:sz w:val="22"/>
          <w:szCs w:val="22"/>
          <w14:ligatures w14:val="none"/>
        </w:rPr>
      </w:pPr>
      <w:r w:rsidRPr="005B46E8">
        <w:rPr>
          <w:rFonts w:ascii="Garamond" w:eastAsia="Times New Roman" w:hAnsi="Garamond" w:cs="Times New Roman"/>
          <w:b/>
          <w:bCs/>
          <w:kern w:val="0"/>
          <w:sz w:val="22"/>
          <w:szCs w:val="22"/>
          <w14:ligatures w14:val="none"/>
        </w:rPr>
        <w:tab/>
      </w:r>
      <w:r w:rsidR="00B84613" w:rsidRPr="005B46E8">
        <w:rPr>
          <w:rFonts w:ascii="Garamond" w:eastAsia="Times New Roman" w:hAnsi="Garamond" w:cs="Times New Roman"/>
          <w:kern w:val="0"/>
          <w:sz w:val="22"/>
          <w:szCs w:val="22"/>
          <w14:ligatures w14:val="none"/>
        </w:rPr>
        <w:t xml:space="preserve">To identify shared temporal patterns in salmon run timing across management units, we applied Dynamic Factor Analysis (DFA) to time series data of proportional contributions within each quartile. DFA is a multivariate time series technique that models observed series as linear combinations of a smaller set of latent trends, capturing underlying structure in the data while accounting for observation error. </w:t>
      </w:r>
      <w:r w:rsidR="00D75D9A" w:rsidRPr="005B46E8">
        <w:rPr>
          <w:rFonts w:ascii="Garamond" w:eastAsia="Times New Roman" w:hAnsi="Garamond" w:cs="Times New Roman"/>
          <w:kern w:val="0"/>
          <w:sz w:val="22"/>
          <w:szCs w:val="22"/>
          <w14:ligatures w14:val="none"/>
        </w:rPr>
        <w:t xml:space="preserve">The model consists of two main equations, an observation equation: </w:t>
      </w:r>
    </w:p>
    <w:p w14:paraId="1D9DA46F" w14:textId="649FD556" w:rsidR="00D75D9A" w:rsidRPr="005B46E8" w:rsidRDefault="00000000" w:rsidP="00D75D9A">
      <w:pPr>
        <w:spacing w:before="100" w:beforeAutospacing="1" w:after="100" w:afterAutospacing="1" w:line="480" w:lineRule="auto"/>
        <w:rPr>
          <w:rFonts w:ascii="Garamond" w:eastAsia="Times New Roman" w:hAnsi="Garamond" w:cs="Times New Roman"/>
          <w:kern w:val="0"/>
          <w:sz w:val="22"/>
          <w:szCs w:val="22"/>
          <w14:ligatures w14:val="none"/>
        </w:rPr>
      </w:pPr>
      <m:oMathPara>
        <m:oMath>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y</m:t>
              </m:r>
            </m:e>
            <m:sub>
              <m:r>
                <w:rPr>
                  <w:rFonts w:ascii="Cambria Math" w:eastAsia="Times New Roman" w:hAnsi="Cambria Math" w:cs="Times New Roman"/>
                  <w:kern w:val="0"/>
                  <w:sz w:val="22"/>
                  <w:szCs w:val="22"/>
                  <w14:ligatures w14:val="none"/>
                </w:rPr>
                <m:t>t</m:t>
              </m:r>
            </m:sub>
          </m:sSub>
          <m:r>
            <w:rPr>
              <w:rFonts w:ascii="Cambria Math" w:eastAsia="Times New Roman" w:hAnsi="Cambria Math" w:cs="Times New Roman"/>
              <w:kern w:val="0"/>
              <w:sz w:val="22"/>
              <w:szCs w:val="22"/>
              <w14:ligatures w14:val="none"/>
            </w:rPr>
            <m:t>=Z</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 xml:space="preserve">t </m:t>
              </m:r>
            </m:sub>
          </m:sSub>
          <m:r>
            <w:rPr>
              <w:rFonts w:ascii="Cambria Math" w:eastAsia="Times New Roman" w:hAnsi="Cambria Math" w:cs="Times New Roman"/>
              <w:kern w:val="0"/>
              <w:sz w:val="22"/>
              <w:szCs w:val="22"/>
              <w14:ligatures w14:val="none"/>
            </w:rPr>
            <m:t>+</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D</m:t>
              </m:r>
            </m:e>
            <m:sub>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C</m:t>
                  </m:r>
                </m:e>
                <m:sub>
                  <m:r>
                    <w:rPr>
                      <w:rFonts w:ascii="Cambria Math" w:eastAsia="Times New Roman" w:hAnsi="Cambria Math" w:cs="Times New Roman"/>
                      <w:kern w:val="0"/>
                      <w:sz w:val="22"/>
                      <w:szCs w:val="22"/>
                      <w14:ligatures w14:val="none"/>
                    </w:rPr>
                    <m:t>t</m:t>
                  </m:r>
                </m:sub>
              </m:sSub>
            </m:sub>
          </m:sSub>
          <m:r>
            <w:rPr>
              <w:rFonts w:ascii="Cambria Math" w:eastAsia="Times New Roman" w:hAnsi="Cambria Math" w:cs="Times New Roman"/>
              <w:kern w:val="0"/>
              <w:sz w:val="22"/>
              <w:szCs w:val="22"/>
              <w14:ligatures w14:val="none"/>
            </w:rPr>
            <m:t>+d+</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v</m:t>
              </m:r>
            </m:e>
            <m:sub>
              <m:r>
                <w:rPr>
                  <w:rFonts w:ascii="Cambria Math" w:eastAsia="Times New Roman" w:hAnsi="Cambria Math" w:cs="Times New Roman"/>
                  <w:kern w:val="0"/>
                  <w:sz w:val="22"/>
                  <w:szCs w:val="22"/>
                  <w14:ligatures w14:val="none"/>
                </w:rPr>
                <m:t>t</m:t>
              </m:r>
            </m:sub>
          </m:sSub>
        </m:oMath>
      </m:oMathPara>
    </w:p>
    <w:p w14:paraId="72E7AB3A" w14:textId="6BFD0915" w:rsidR="00E7441D" w:rsidRPr="005B46E8" w:rsidRDefault="00E7441D" w:rsidP="00D75D9A">
      <w:pPr>
        <w:spacing w:before="100" w:beforeAutospacing="1" w:after="100" w:afterAutospacing="1" w:line="480" w:lineRule="auto"/>
        <w:rPr>
          <w:rFonts w:ascii="Garamond" w:eastAsia="Times New Roman" w:hAnsi="Garamond" w:cs="Times New Roman"/>
          <w:kern w:val="0"/>
          <w:sz w:val="22"/>
          <w:szCs w:val="22"/>
          <w14:ligatures w14:val="none"/>
        </w:rPr>
      </w:pPr>
      <w:r w:rsidRPr="005B46E8">
        <w:rPr>
          <w:rFonts w:ascii="Garamond" w:eastAsia="Times New Roman" w:hAnsi="Garamond" w:cs="Times New Roman"/>
          <w:kern w:val="0"/>
          <w:sz w:val="22"/>
          <w:szCs w:val="22"/>
          <w14:ligatures w14:val="none"/>
        </w:rPr>
        <w:t xml:space="preserve">And a state </w:t>
      </w:r>
      <w:proofErr w:type="gramStart"/>
      <w:r w:rsidRPr="005B46E8">
        <w:rPr>
          <w:rFonts w:ascii="Garamond" w:eastAsia="Times New Roman" w:hAnsi="Garamond" w:cs="Times New Roman"/>
          <w:kern w:val="0"/>
          <w:sz w:val="22"/>
          <w:szCs w:val="22"/>
          <w14:ligatures w14:val="none"/>
        </w:rPr>
        <w:t>equation;</w:t>
      </w:r>
      <w:proofErr w:type="gramEnd"/>
      <w:r w:rsidRPr="005B46E8">
        <w:rPr>
          <w:rFonts w:ascii="Garamond" w:eastAsia="Times New Roman" w:hAnsi="Garamond" w:cs="Times New Roman"/>
          <w:kern w:val="0"/>
          <w:sz w:val="22"/>
          <w:szCs w:val="22"/>
          <w14:ligatures w14:val="none"/>
        </w:rPr>
        <w:t xml:space="preserve"> </w:t>
      </w:r>
    </w:p>
    <w:p w14:paraId="4FC48806" w14:textId="61776DC7" w:rsidR="00E7441D" w:rsidRPr="005B46E8" w:rsidRDefault="00000000" w:rsidP="00D75D9A">
      <w:pPr>
        <w:spacing w:before="100" w:beforeAutospacing="1" w:after="100" w:afterAutospacing="1" w:line="480" w:lineRule="auto"/>
        <w:rPr>
          <w:rFonts w:ascii="Garamond" w:eastAsia="Times New Roman" w:hAnsi="Garamond" w:cs="Times New Roman"/>
          <w:kern w:val="0"/>
          <w:sz w:val="22"/>
          <w:szCs w:val="22"/>
          <w14:ligatures w14:val="none"/>
        </w:rPr>
      </w:pPr>
      <m:oMathPara>
        <m:oMath>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t</m:t>
              </m:r>
            </m:sub>
          </m:sSub>
          <m:r>
            <w:rPr>
              <w:rFonts w:ascii="Cambria Math" w:eastAsia="Times New Roman" w:hAnsi="Cambria Math" w:cs="Times New Roman"/>
              <w:kern w:val="0"/>
              <w:sz w:val="22"/>
              <w:szCs w:val="22"/>
              <w14:ligatures w14:val="none"/>
            </w:rPr>
            <m:t xml:space="preserve">= </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x</m:t>
              </m:r>
            </m:e>
            <m:sub>
              <m:r>
                <w:rPr>
                  <w:rFonts w:ascii="Cambria Math" w:eastAsia="Times New Roman" w:hAnsi="Cambria Math" w:cs="Times New Roman"/>
                  <w:kern w:val="0"/>
                  <w:sz w:val="22"/>
                  <w:szCs w:val="22"/>
                  <w14:ligatures w14:val="none"/>
                </w:rPr>
                <m:t>t-1</m:t>
              </m:r>
            </m:sub>
          </m:sSub>
          <m:r>
            <w:rPr>
              <w:rFonts w:ascii="Cambria Math" w:eastAsia="Times New Roman" w:hAnsi="Cambria Math" w:cs="Times New Roman"/>
              <w:kern w:val="0"/>
              <w:sz w:val="22"/>
              <w:szCs w:val="22"/>
              <w14:ligatures w14:val="none"/>
            </w:rPr>
            <m:t xml:space="preserve">+ </m:t>
          </m:r>
          <m:sSub>
            <m:sSubPr>
              <m:ctrlPr>
                <w:rPr>
                  <w:rFonts w:ascii="Cambria Math" w:eastAsia="Times New Roman" w:hAnsi="Cambria Math" w:cs="Times New Roman"/>
                  <w:i/>
                  <w:kern w:val="0"/>
                  <w:sz w:val="22"/>
                  <w:szCs w:val="22"/>
                  <w14:ligatures w14:val="none"/>
                </w:rPr>
              </m:ctrlPr>
            </m:sSubPr>
            <m:e>
              <m:r>
                <w:rPr>
                  <w:rFonts w:ascii="Cambria Math" w:eastAsia="Times New Roman" w:hAnsi="Cambria Math" w:cs="Times New Roman"/>
                  <w:kern w:val="0"/>
                  <w:sz w:val="22"/>
                  <w:szCs w:val="22"/>
                  <w14:ligatures w14:val="none"/>
                </w:rPr>
                <m:t>w</m:t>
              </m:r>
            </m:e>
            <m:sub>
              <m:r>
                <w:rPr>
                  <w:rFonts w:ascii="Cambria Math" w:eastAsia="Times New Roman" w:hAnsi="Cambria Math" w:cs="Times New Roman"/>
                  <w:kern w:val="0"/>
                  <w:sz w:val="22"/>
                  <w:szCs w:val="22"/>
                  <w14:ligatures w14:val="none"/>
                </w:rPr>
                <m:t>t</m:t>
              </m:r>
            </m:sub>
          </m:sSub>
        </m:oMath>
      </m:oMathPara>
    </w:p>
    <w:p w14:paraId="0205919C" w14:textId="02CD0116" w:rsidR="00E7441D" w:rsidRPr="005B46E8" w:rsidRDefault="00E7441D" w:rsidP="00E7441D">
      <w:pPr>
        <w:pStyle w:val="whitespace-normal"/>
        <w:spacing w:line="480" w:lineRule="auto"/>
        <w:rPr>
          <w:rFonts w:ascii="Garamond" w:hAnsi="Garamond"/>
          <w:sz w:val="22"/>
          <w:szCs w:val="22"/>
        </w:rPr>
      </w:pPr>
      <w:r w:rsidRPr="005B46E8">
        <w:rPr>
          <w:rFonts w:ascii="Garamond" w:hAnsi="Garamond"/>
          <w:sz w:val="22"/>
          <w:szCs w:val="22"/>
        </w:rPr>
        <w:t xml:space="preserve">In the observation equation,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oMath>
      <w:r w:rsidRPr="005B46E8">
        <w:rPr>
          <w:rFonts w:ascii="Garamond" w:hAnsi="Garamond"/>
          <w:sz w:val="22"/>
          <w:szCs w:val="22"/>
        </w:rPr>
        <w:t xml:space="preserve"> represents the vector of observed proportional contributions at time</w:t>
      </w:r>
      <w:r w:rsidRPr="005B46E8">
        <w:rPr>
          <w:rStyle w:val="katex-mathml"/>
          <w:rFonts w:ascii="Garamond" w:eastAsiaTheme="majorEastAsia" w:hAnsi="Garamond"/>
          <w:sz w:val="22"/>
          <w:szCs w:val="22"/>
        </w:rPr>
        <w:t xml:space="preserve"> </w:t>
      </w:r>
      <w:r w:rsidRPr="005B46E8">
        <w:rPr>
          <w:rStyle w:val="mord"/>
          <w:rFonts w:ascii="Garamond" w:eastAsiaTheme="majorEastAsia" w:hAnsi="Garamond"/>
          <w:sz w:val="22"/>
          <w:szCs w:val="22"/>
        </w:rPr>
        <w:t>t</w:t>
      </w:r>
      <w:r w:rsidRPr="005B46E8">
        <w:rPr>
          <w:rFonts w:ascii="Garamond" w:hAnsi="Garamond"/>
          <w:sz w:val="22"/>
          <w:szCs w:val="22"/>
        </w:rPr>
        <w:t xml:space="preserve">, while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 xml:space="preserve">t </m:t>
            </m:r>
          </m:sub>
        </m:sSub>
      </m:oMath>
      <w:r w:rsidRPr="005B46E8">
        <w:rPr>
          <w:rFonts w:ascii="Garamond" w:hAnsi="Garamond"/>
          <w:sz w:val="22"/>
          <w:szCs w:val="22"/>
        </w:rPr>
        <w:t>contains</w:t>
      </w:r>
      <w:r w:rsidRPr="005B46E8">
        <w:rPr>
          <w:rStyle w:val="katex-mathml"/>
          <w:rFonts w:ascii="Garamond" w:eastAsiaTheme="majorEastAsia" w:hAnsi="Garamond"/>
          <w:sz w:val="22"/>
          <w:szCs w:val="22"/>
        </w:rPr>
        <w:t xml:space="preserve"> </w:t>
      </w:r>
      <w:r w:rsidRPr="005B46E8">
        <w:rPr>
          <w:rStyle w:val="mord"/>
          <w:rFonts w:ascii="Garamond" w:eastAsiaTheme="majorEastAsia" w:hAnsi="Garamond"/>
          <w:sz w:val="22"/>
          <w:szCs w:val="22"/>
        </w:rPr>
        <w:t>m</w:t>
      </w:r>
      <w:r w:rsidRPr="005B46E8">
        <w:rPr>
          <w:rFonts w:ascii="Garamond" w:hAnsi="Garamond"/>
          <w:sz w:val="22"/>
          <w:szCs w:val="22"/>
        </w:rPr>
        <w:t xml:space="preserve"> latent trends that drive the observed patterns. The loading matrix </w:t>
      </w:r>
      <w:r w:rsidRPr="005B46E8">
        <w:rPr>
          <w:rStyle w:val="katex-mathml"/>
          <w:rFonts w:ascii="Garamond" w:eastAsiaTheme="majorEastAsia" w:hAnsi="Garamond"/>
          <w:sz w:val="22"/>
          <w:szCs w:val="22"/>
        </w:rPr>
        <w:t>Z</w:t>
      </w:r>
      <w:r w:rsidRPr="005B46E8">
        <w:rPr>
          <w:rFonts w:ascii="Garamond" w:hAnsi="Garamond"/>
          <w:sz w:val="22"/>
          <w:szCs w:val="22"/>
        </w:rPr>
        <w:t xml:space="preserve"> quantifies how strongly each observed time series responds to each underlying trend, with larger absolute values indicating stronger associations</w:t>
      </w:r>
      <w:r w:rsidR="000D2FD1" w:rsidRPr="005B46E8">
        <w:rPr>
          <w:rFonts w:ascii="Garamond" w:hAnsi="Garamond"/>
          <w:sz w:val="22"/>
          <w:szCs w:val="22"/>
        </w:rPr>
        <w:t xml:space="preserve"> with a given trend</w:t>
      </w:r>
      <w:r w:rsidRPr="005B46E8">
        <w:rPr>
          <w:rFonts w:ascii="Garamond" w:hAnsi="Garamond"/>
          <w:sz w:val="22"/>
          <w:szCs w:val="22"/>
        </w:rPr>
        <w:t xml:space="preserve">. </w:t>
      </w:r>
      <w:r w:rsidR="000D2FD1" w:rsidRPr="005B46E8">
        <w:rPr>
          <w:rFonts w:ascii="Garamond" w:hAnsi="Garamond"/>
          <w:sz w:val="22"/>
          <w:szCs w:val="22"/>
        </w:rPr>
        <w:t xml:space="preserve">The matrix D contains coefficients for covariates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oMath>
      <w:r w:rsidR="000D2FD1" w:rsidRPr="005B46E8">
        <w:rPr>
          <w:rFonts w:ascii="Garamond" w:hAnsi="Garamond"/>
          <w:sz w:val="22"/>
          <w:szCs w:val="22"/>
        </w:rPr>
        <w:t xml:space="preserve"> , the intercept term d captures the mean level of each series, and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m:t>
            </m:r>
          </m:sub>
        </m:sSub>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0,Q</m:t>
            </m:r>
          </m:e>
        </m:d>
        <m:r>
          <w:rPr>
            <w:rFonts w:ascii="Cambria Math" w:hAnsi="Cambria Math"/>
            <w:sz w:val="22"/>
            <w:szCs w:val="22"/>
          </w:rPr>
          <m:t xml:space="preserve"> </m:t>
        </m:r>
      </m:oMath>
      <w:r w:rsidR="000D2FD1" w:rsidRPr="005B46E8">
        <w:rPr>
          <w:rFonts w:ascii="Garamond" w:hAnsi="Garamond"/>
          <w:sz w:val="22"/>
          <w:szCs w:val="22"/>
        </w:rPr>
        <w:t>represents observation error with covariance matrix R</w:t>
      </w:r>
      <w:r w:rsidR="0086310C" w:rsidRPr="005B46E8">
        <w:rPr>
          <w:rFonts w:ascii="Garamond" w:hAnsi="Garamond"/>
          <w:sz w:val="22"/>
          <w:szCs w:val="22"/>
        </w:rPr>
        <w:t>. The State equation is modeled as a random walk, where the process error covariance matrix Q determined variability in trend evolution. This approach is particularly well suited for dimensionality reduction across multiple time series and provides a systematic framework for identifying the optimal number of underlying trends, estimating their influence (loadings), and exploring the effects of potential covariates.</w:t>
      </w:r>
    </w:p>
    <w:p w14:paraId="69B805CD" w14:textId="77777777" w:rsidR="008D173A" w:rsidRPr="005B46E8" w:rsidRDefault="008D173A" w:rsidP="006D1917">
      <w:pPr>
        <w:spacing w:before="100" w:beforeAutospacing="1" w:after="100" w:afterAutospacing="1" w:line="480" w:lineRule="auto"/>
        <w:rPr>
          <w:rFonts w:ascii="Garamond" w:eastAsia="Times New Roman" w:hAnsi="Garamond" w:cs="Times New Roman"/>
          <w:b/>
          <w:bCs/>
          <w:kern w:val="0"/>
          <w:sz w:val="22"/>
          <w:szCs w:val="22"/>
          <w:u w:val="single"/>
          <w14:ligatures w14:val="none"/>
        </w:rPr>
      </w:pPr>
      <w:r w:rsidRPr="005B46E8">
        <w:rPr>
          <w:rFonts w:ascii="Garamond" w:eastAsia="Times New Roman" w:hAnsi="Garamond" w:cs="Times New Roman"/>
          <w:b/>
          <w:bCs/>
          <w:kern w:val="0"/>
          <w:sz w:val="22"/>
          <w:szCs w:val="22"/>
          <w:u w:val="single"/>
          <w14:ligatures w14:val="none"/>
        </w:rPr>
        <w:t xml:space="preserve">Model Selection </w:t>
      </w:r>
    </w:p>
    <w:p w14:paraId="67050BA3" w14:textId="4893590E" w:rsidR="0086310C" w:rsidRPr="005B46E8" w:rsidRDefault="00B9705F" w:rsidP="0086310C">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5B46E8">
        <w:rPr>
          <w:rFonts w:ascii="Garamond" w:eastAsia="Times New Roman" w:hAnsi="Garamond" w:cs="Times New Roman"/>
          <w:kern w:val="0"/>
          <w:sz w:val="22"/>
          <w:szCs w:val="22"/>
          <w14:ligatures w14:val="none"/>
        </w:rPr>
        <w:t xml:space="preserve">All timeseries were Z normalized to allow comparison of trends irrespective of absolute production values. </w:t>
      </w:r>
      <w:r w:rsidR="00B84613" w:rsidRPr="005B46E8">
        <w:rPr>
          <w:rFonts w:ascii="Garamond" w:eastAsia="Times New Roman" w:hAnsi="Garamond" w:cs="Times New Roman"/>
          <w:kern w:val="0"/>
          <w:sz w:val="22"/>
          <w:szCs w:val="22"/>
          <w14:ligatures w14:val="none"/>
        </w:rPr>
        <w:t xml:space="preserve">We </w:t>
      </w:r>
      <w:r w:rsidRPr="005B46E8">
        <w:rPr>
          <w:rFonts w:ascii="Garamond" w:eastAsia="Times New Roman" w:hAnsi="Garamond" w:cs="Times New Roman"/>
          <w:kern w:val="0"/>
          <w:sz w:val="22"/>
          <w:szCs w:val="22"/>
          <w14:ligatures w14:val="none"/>
        </w:rPr>
        <w:t xml:space="preserve">then </w:t>
      </w:r>
      <w:r w:rsidR="00B84613" w:rsidRPr="005B46E8">
        <w:rPr>
          <w:rFonts w:ascii="Garamond" w:eastAsia="Times New Roman" w:hAnsi="Garamond" w:cs="Times New Roman"/>
          <w:kern w:val="0"/>
          <w:sz w:val="22"/>
          <w:szCs w:val="22"/>
          <w14:ligatures w14:val="none"/>
        </w:rPr>
        <w:t>used a three-stage</w:t>
      </w:r>
      <w:r w:rsidR="0086310C" w:rsidRPr="005B46E8">
        <w:rPr>
          <w:rFonts w:ascii="Garamond" w:eastAsia="Times New Roman" w:hAnsi="Garamond" w:cs="Times New Roman"/>
          <w:kern w:val="0"/>
          <w:sz w:val="22"/>
          <w:szCs w:val="22"/>
          <w14:ligatures w14:val="none"/>
        </w:rPr>
        <w:t xml:space="preserve"> approach to model selection where we first identified the optimal </w:t>
      </w:r>
      <w:r w:rsidR="0086310C" w:rsidRPr="005B46E8">
        <w:rPr>
          <w:rFonts w:ascii="Garamond" w:eastAsia="Times New Roman" w:hAnsi="Garamond" w:cs="Times New Roman"/>
          <w:i/>
          <w:iCs/>
          <w:kern w:val="0"/>
          <w:sz w:val="22"/>
          <w:szCs w:val="22"/>
          <w14:ligatures w14:val="none"/>
        </w:rPr>
        <w:t>m</w:t>
      </w:r>
      <w:r w:rsidR="0086310C" w:rsidRPr="005B46E8">
        <w:rPr>
          <w:rFonts w:ascii="Garamond" w:eastAsia="Times New Roman" w:hAnsi="Garamond" w:cs="Times New Roman"/>
          <w:kern w:val="0"/>
          <w:sz w:val="22"/>
          <w:szCs w:val="22"/>
          <w14:ligatures w14:val="none"/>
        </w:rPr>
        <w:t xml:space="preserve"> number of underlying states, then tested several R </w:t>
      </w:r>
      <w:r w:rsidR="00A323E6" w:rsidRPr="005B46E8">
        <w:rPr>
          <w:rFonts w:ascii="Garamond" w:eastAsia="Times New Roman" w:hAnsi="Garamond" w:cs="Times New Roman"/>
          <w:kern w:val="0"/>
          <w:sz w:val="22"/>
          <w:szCs w:val="22"/>
          <w14:ligatures w14:val="none"/>
        </w:rPr>
        <w:t>covariance</w:t>
      </w:r>
      <w:r w:rsidR="0086310C" w:rsidRPr="005B46E8">
        <w:rPr>
          <w:rFonts w:ascii="Garamond" w:eastAsia="Times New Roman" w:hAnsi="Garamond" w:cs="Times New Roman"/>
          <w:kern w:val="0"/>
          <w:sz w:val="22"/>
          <w:szCs w:val="22"/>
          <w14:ligatures w14:val="none"/>
        </w:rPr>
        <w:t xml:space="preserve"> </w:t>
      </w:r>
      <w:r w:rsidR="00AB2EBF" w:rsidRPr="005B46E8">
        <w:rPr>
          <w:rFonts w:ascii="Garamond" w:eastAsia="Times New Roman" w:hAnsi="Garamond" w:cs="Times New Roman"/>
          <w:kern w:val="0"/>
          <w:sz w:val="22"/>
          <w:szCs w:val="22"/>
          <w14:ligatures w14:val="none"/>
        </w:rPr>
        <w:t>matrices</w:t>
      </w:r>
      <w:r w:rsidR="0086310C" w:rsidRPr="005B46E8">
        <w:rPr>
          <w:rFonts w:ascii="Garamond" w:eastAsia="Times New Roman" w:hAnsi="Garamond" w:cs="Times New Roman"/>
          <w:kern w:val="0"/>
          <w:sz w:val="22"/>
          <w:szCs w:val="22"/>
          <w14:ligatures w14:val="none"/>
        </w:rPr>
        <w:t xml:space="preserve">, and finally tested the influence of covariates against a null model. We compared </w:t>
      </w:r>
      <w:r w:rsidR="0086310C" w:rsidRPr="005B46E8">
        <w:rPr>
          <w:rFonts w:ascii="Garamond" w:eastAsia="Times New Roman" w:hAnsi="Garamond" w:cs="Times New Roman"/>
          <w:i/>
          <w:iCs/>
          <w:kern w:val="0"/>
          <w:sz w:val="22"/>
          <w:szCs w:val="22"/>
          <w14:ligatures w14:val="none"/>
        </w:rPr>
        <w:t>m</w:t>
      </w:r>
      <w:r w:rsidR="0086310C" w:rsidRPr="005B46E8">
        <w:rPr>
          <w:rFonts w:ascii="Garamond" w:eastAsia="Times New Roman" w:hAnsi="Garamond" w:cs="Times New Roman"/>
          <w:kern w:val="0"/>
          <w:sz w:val="22"/>
          <w:szCs w:val="22"/>
          <w14:ligatures w14:val="none"/>
        </w:rPr>
        <w:t xml:space="preserve"> model fit </w:t>
      </w:r>
      <w:r w:rsidR="00A323E6" w:rsidRPr="005B46E8">
        <w:rPr>
          <w:rFonts w:ascii="Garamond" w:eastAsia="Times New Roman" w:hAnsi="Garamond" w:cs="Times New Roman"/>
          <w:kern w:val="0"/>
          <w:sz w:val="22"/>
          <w:szCs w:val="22"/>
          <w14:ligatures w14:val="none"/>
        </w:rPr>
        <w:t xml:space="preserve">for a 1-4 state model </w:t>
      </w:r>
      <w:r w:rsidR="0086310C" w:rsidRPr="005B46E8">
        <w:rPr>
          <w:rFonts w:ascii="Garamond" w:eastAsia="Times New Roman" w:hAnsi="Garamond" w:cs="Times New Roman"/>
          <w:kern w:val="0"/>
          <w:sz w:val="22"/>
          <w:szCs w:val="22"/>
          <w14:ligatures w14:val="none"/>
        </w:rPr>
        <w:t>by calculating a partial R</w:t>
      </w:r>
      <w:r w:rsidR="00AB2EBF">
        <w:rPr>
          <w:rFonts w:ascii="Garamond" w:eastAsia="Times New Roman" w:hAnsi="Garamond" w:cs="Times New Roman"/>
          <w:kern w:val="0"/>
          <w:sz w:val="22"/>
          <w:szCs w:val="22"/>
          <w:vertAlign w:val="superscript"/>
          <w14:ligatures w14:val="none"/>
        </w:rPr>
        <w:t xml:space="preserve">2 </w:t>
      </w:r>
      <w:r w:rsidR="00AB2EBF">
        <w:rPr>
          <w:rFonts w:ascii="Garamond" w:eastAsia="Times New Roman" w:hAnsi="Garamond" w:cs="Times New Roman"/>
          <w:kern w:val="0"/>
          <w:sz w:val="22"/>
          <w:szCs w:val="22"/>
          <w14:ligatures w14:val="none"/>
        </w:rPr>
        <w:t>value</w:t>
      </w:r>
      <w:r w:rsidR="0086310C" w:rsidRPr="005B46E8">
        <w:rPr>
          <w:rFonts w:ascii="Garamond" w:eastAsia="Times New Roman" w:hAnsi="Garamond" w:cs="Times New Roman"/>
          <w:kern w:val="0"/>
          <w:sz w:val="22"/>
          <w:szCs w:val="22"/>
          <w14:ligatures w14:val="none"/>
        </w:rPr>
        <w:t xml:space="preserve"> defined </w:t>
      </w:r>
      <w:proofErr w:type="gramStart"/>
      <w:r w:rsidR="0086310C" w:rsidRPr="005B46E8">
        <w:rPr>
          <w:rFonts w:ascii="Garamond" w:eastAsia="Times New Roman" w:hAnsi="Garamond" w:cs="Times New Roman"/>
          <w:kern w:val="0"/>
          <w:sz w:val="22"/>
          <w:szCs w:val="22"/>
          <w14:ligatures w14:val="none"/>
        </w:rPr>
        <w:t>as;</w:t>
      </w:r>
      <w:proofErr w:type="gramEnd"/>
      <w:r w:rsidR="0086310C" w:rsidRPr="005B46E8">
        <w:rPr>
          <w:rFonts w:ascii="Garamond" w:eastAsia="Times New Roman" w:hAnsi="Garamond" w:cs="Times New Roman"/>
          <w:kern w:val="0"/>
          <w:sz w:val="22"/>
          <w:szCs w:val="22"/>
          <w14:ligatures w14:val="none"/>
        </w:rPr>
        <w:t xml:space="preserve"> </w:t>
      </w:r>
    </w:p>
    <w:p w14:paraId="0594098D" w14:textId="1AB199C0" w:rsidR="0086310C" w:rsidRPr="005B46E8" w:rsidRDefault="00000000" w:rsidP="0086310C">
      <w:pPr>
        <w:spacing w:before="100" w:beforeAutospacing="1" w:after="100" w:afterAutospacing="1" w:line="480" w:lineRule="auto"/>
        <w:ind w:firstLine="720"/>
        <w:rPr>
          <w:rFonts w:ascii="Garamond" w:eastAsia="Times New Roman" w:hAnsi="Garamond" w:cs="Times New Roman"/>
          <w:kern w:val="0"/>
          <w:sz w:val="22"/>
          <w:szCs w:val="22"/>
          <w14:ligatures w14:val="none"/>
        </w:rPr>
      </w:pPr>
      <m:oMathPara>
        <m:oMath>
          <m:sSup>
            <m:sSupPr>
              <m:ctrlPr>
                <w:rPr>
                  <w:rFonts w:ascii="Cambria Math" w:eastAsia="Times New Roman" w:hAnsi="Cambria Math" w:cs="Times New Roman"/>
                  <w:i/>
                  <w:kern w:val="0"/>
                  <w:sz w:val="22"/>
                  <w:szCs w:val="22"/>
                  <w14:ligatures w14:val="none"/>
                </w:rPr>
              </m:ctrlPr>
            </m:sSupPr>
            <m:e>
              <m:r>
                <w:rPr>
                  <w:rFonts w:ascii="Cambria Math" w:eastAsia="Times New Roman" w:hAnsi="Cambria Math" w:cs="Times New Roman"/>
                  <w:kern w:val="0"/>
                  <w:sz w:val="22"/>
                  <w:szCs w:val="22"/>
                  <w14:ligatures w14:val="none"/>
                </w:rPr>
                <m:t>pR</m:t>
              </m:r>
            </m:e>
            <m:sup>
              <m:r>
                <w:rPr>
                  <w:rFonts w:ascii="Cambria Math" w:eastAsia="Times New Roman" w:hAnsi="Cambria Math" w:cs="Times New Roman"/>
                  <w:kern w:val="0"/>
                  <w:sz w:val="22"/>
                  <w:szCs w:val="22"/>
                  <w14:ligatures w14:val="none"/>
                </w:rPr>
                <m:t>2</m:t>
              </m:r>
            </m:sup>
          </m:sSup>
          <m:r>
            <w:rPr>
              <w:rFonts w:ascii="Cambria Math" w:eastAsia="Times New Roman" w:hAnsi="Cambria Math" w:cs="Times New Roman"/>
              <w:kern w:val="0"/>
              <w:sz w:val="22"/>
              <w:szCs w:val="22"/>
              <w14:ligatures w14:val="none"/>
            </w:rPr>
            <m:t xml:space="preserve">= </m:t>
          </m:r>
          <m:sSubSup>
            <m:sSubSupPr>
              <m:ctrlPr>
                <w:rPr>
                  <w:rFonts w:ascii="Cambria Math" w:eastAsia="Times New Roman" w:hAnsi="Cambria Math" w:cs="Times New Roman"/>
                  <w:i/>
                  <w:kern w:val="0"/>
                  <w:sz w:val="22"/>
                  <w:szCs w:val="22"/>
                  <w14:ligatures w14:val="none"/>
                </w:rPr>
              </m:ctrlPr>
            </m:sSubSupPr>
            <m:e>
              <m:r>
                <w:rPr>
                  <w:rFonts w:ascii="Cambria Math" w:eastAsia="Times New Roman" w:hAnsi="Cambria Math" w:cs="Times New Roman"/>
                  <w:kern w:val="0"/>
                  <w:sz w:val="22"/>
                  <w:szCs w:val="22"/>
                  <w14:ligatures w14:val="none"/>
                </w:rPr>
                <m:t>(R</m:t>
              </m:r>
            </m:e>
            <m:sub>
              <m:r>
                <w:rPr>
                  <w:rFonts w:ascii="Cambria Math" w:eastAsia="Times New Roman" w:hAnsi="Cambria Math" w:cs="Times New Roman"/>
                  <w:kern w:val="0"/>
                  <w:sz w:val="22"/>
                  <w:szCs w:val="22"/>
                  <w14:ligatures w14:val="none"/>
                </w:rPr>
                <m:t>m</m:t>
              </m:r>
            </m:sub>
            <m:sup>
              <m:r>
                <w:rPr>
                  <w:rFonts w:ascii="Cambria Math" w:eastAsia="Times New Roman" w:hAnsi="Cambria Math" w:cs="Times New Roman"/>
                  <w:kern w:val="0"/>
                  <w:sz w:val="22"/>
                  <w:szCs w:val="22"/>
                  <w14:ligatures w14:val="none"/>
                </w:rPr>
                <m:t>2</m:t>
              </m:r>
            </m:sup>
          </m:sSubSup>
          <m:r>
            <w:rPr>
              <w:rFonts w:ascii="Cambria Math" w:eastAsia="Times New Roman" w:hAnsi="Cambria Math" w:cs="Times New Roman"/>
              <w:kern w:val="0"/>
              <w:sz w:val="22"/>
              <w:szCs w:val="22"/>
              <w14:ligatures w14:val="none"/>
            </w:rPr>
            <m:t xml:space="preserve">- </m:t>
          </m:r>
          <m:sSubSup>
            <m:sSubSupPr>
              <m:ctrlPr>
                <w:rPr>
                  <w:rFonts w:ascii="Cambria Math" w:eastAsia="Times New Roman" w:hAnsi="Cambria Math" w:cs="Times New Roman"/>
                  <w:i/>
                  <w:kern w:val="0"/>
                  <w:sz w:val="22"/>
                  <w:szCs w:val="22"/>
                  <w14:ligatures w14:val="none"/>
                </w:rPr>
              </m:ctrlPr>
            </m:sSubSupPr>
            <m:e>
              <m:r>
                <w:rPr>
                  <w:rFonts w:ascii="Cambria Math" w:eastAsia="Times New Roman" w:hAnsi="Cambria Math" w:cs="Times New Roman"/>
                  <w:kern w:val="0"/>
                  <w:sz w:val="22"/>
                  <w:szCs w:val="22"/>
                  <w14:ligatures w14:val="none"/>
                </w:rPr>
                <m:t>R</m:t>
              </m:r>
            </m:e>
            <m:sub>
              <m:r>
                <w:rPr>
                  <w:rFonts w:ascii="Cambria Math" w:eastAsia="Times New Roman" w:hAnsi="Cambria Math" w:cs="Times New Roman"/>
                  <w:kern w:val="0"/>
                  <w:sz w:val="22"/>
                  <w:szCs w:val="22"/>
                  <w14:ligatures w14:val="none"/>
                </w:rPr>
                <m:t>m-1</m:t>
              </m:r>
            </m:sub>
            <m:sup>
              <m:r>
                <w:rPr>
                  <w:rFonts w:ascii="Cambria Math" w:eastAsia="Times New Roman" w:hAnsi="Cambria Math" w:cs="Times New Roman"/>
                  <w:kern w:val="0"/>
                  <w:sz w:val="22"/>
                  <w:szCs w:val="22"/>
                  <w14:ligatures w14:val="none"/>
                </w:rPr>
                <m:t>2</m:t>
              </m:r>
            </m:sup>
          </m:sSubSup>
          <m:r>
            <w:rPr>
              <w:rFonts w:ascii="Cambria Math" w:eastAsia="Times New Roman" w:hAnsi="Cambria Math" w:cs="Times New Roman"/>
              <w:kern w:val="0"/>
              <w:sz w:val="22"/>
              <w:szCs w:val="22"/>
              <w14:ligatures w14:val="none"/>
            </w:rPr>
            <m:t xml:space="preserve">)/(1- </m:t>
          </m:r>
          <m:sSubSup>
            <m:sSubSupPr>
              <m:ctrlPr>
                <w:rPr>
                  <w:rFonts w:ascii="Cambria Math" w:eastAsia="Times New Roman" w:hAnsi="Cambria Math" w:cs="Times New Roman"/>
                  <w:i/>
                  <w:kern w:val="0"/>
                  <w:sz w:val="22"/>
                  <w:szCs w:val="22"/>
                  <w14:ligatures w14:val="none"/>
                </w:rPr>
              </m:ctrlPr>
            </m:sSubSupPr>
            <m:e>
              <m:r>
                <w:rPr>
                  <w:rFonts w:ascii="Cambria Math" w:eastAsia="Times New Roman" w:hAnsi="Cambria Math" w:cs="Times New Roman"/>
                  <w:kern w:val="0"/>
                  <w:sz w:val="22"/>
                  <w:szCs w:val="22"/>
                  <w14:ligatures w14:val="none"/>
                </w:rPr>
                <m:t>R</m:t>
              </m:r>
            </m:e>
            <m:sub>
              <m:r>
                <w:rPr>
                  <w:rFonts w:ascii="Cambria Math" w:eastAsia="Times New Roman" w:hAnsi="Cambria Math" w:cs="Times New Roman"/>
                  <w:kern w:val="0"/>
                  <w:sz w:val="22"/>
                  <w:szCs w:val="22"/>
                  <w14:ligatures w14:val="none"/>
                </w:rPr>
                <m:t>m-1</m:t>
              </m:r>
            </m:sub>
            <m:sup>
              <m:r>
                <w:rPr>
                  <w:rFonts w:ascii="Cambria Math" w:eastAsia="Times New Roman" w:hAnsi="Cambria Math" w:cs="Times New Roman"/>
                  <w:kern w:val="0"/>
                  <w:sz w:val="22"/>
                  <w:szCs w:val="22"/>
                  <w14:ligatures w14:val="none"/>
                </w:rPr>
                <m:t>2</m:t>
              </m:r>
            </m:sup>
          </m:sSubSup>
          <m:r>
            <w:rPr>
              <w:rFonts w:ascii="Cambria Math" w:eastAsia="Times New Roman" w:hAnsi="Cambria Math" w:cs="Times New Roman"/>
              <w:kern w:val="0"/>
              <w:sz w:val="22"/>
              <w:szCs w:val="22"/>
              <w14:ligatures w14:val="none"/>
            </w:rPr>
            <m:t>)</m:t>
          </m:r>
        </m:oMath>
      </m:oMathPara>
    </w:p>
    <w:p w14:paraId="75AEAF73" w14:textId="77777777" w:rsidR="00AB2EBF" w:rsidRDefault="00B84613" w:rsidP="00A323E6">
      <w:pPr>
        <w:spacing w:before="100" w:beforeAutospacing="1" w:after="100" w:afterAutospacing="1" w:line="480" w:lineRule="auto"/>
        <w:rPr>
          <w:rFonts w:ascii="Garamond" w:eastAsia="Times New Roman" w:hAnsi="Garamond" w:cs="Times New Roman"/>
          <w:kern w:val="0"/>
          <w:sz w:val="22"/>
          <w:szCs w:val="22"/>
          <w14:ligatures w14:val="none"/>
        </w:rPr>
      </w:pPr>
      <w:r w:rsidRPr="005B46E8">
        <w:rPr>
          <w:rFonts w:ascii="Garamond" w:eastAsia="Times New Roman" w:hAnsi="Garamond" w:cs="Times New Roman"/>
          <w:kern w:val="0"/>
          <w:sz w:val="22"/>
          <w:szCs w:val="22"/>
          <w14:ligatures w14:val="none"/>
        </w:rPr>
        <w:t xml:space="preserve">This metric </w:t>
      </w:r>
      <w:r w:rsidR="00AB2EBF">
        <w:rPr>
          <w:rFonts w:ascii="Garamond" w:eastAsia="Times New Roman" w:hAnsi="Garamond" w:cs="Times New Roman"/>
          <w:kern w:val="0"/>
          <w:sz w:val="22"/>
          <w:szCs w:val="22"/>
          <w14:ligatures w14:val="none"/>
        </w:rPr>
        <w:t>allows</w:t>
      </w:r>
      <w:r w:rsidRPr="005B46E8">
        <w:rPr>
          <w:rFonts w:ascii="Garamond" w:eastAsia="Times New Roman" w:hAnsi="Garamond" w:cs="Times New Roman"/>
          <w:kern w:val="0"/>
          <w:sz w:val="22"/>
          <w:szCs w:val="22"/>
          <w14:ligatures w14:val="none"/>
        </w:rPr>
        <w:t xml:space="preserve"> us </w:t>
      </w:r>
      <w:proofErr w:type="gramStart"/>
      <w:r w:rsidR="00A323E6" w:rsidRPr="005B46E8">
        <w:rPr>
          <w:rFonts w:ascii="Garamond" w:eastAsia="Times New Roman" w:hAnsi="Garamond" w:cs="Times New Roman"/>
          <w:kern w:val="0"/>
          <w:sz w:val="22"/>
          <w:szCs w:val="22"/>
          <w14:ligatures w14:val="none"/>
        </w:rPr>
        <w:t>quantify</w:t>
      </w:r>
      <w:proofErr w:type="gramEnd"/>
      <w:r w:rsidR="00A323E6" w:rsidRPr="005B46E8">
        <w:rPr>
          <w:rFonts w:ascii="Garamond" w:eastAsia="Times New Roman" w:hAnsi="Garamond" w:cs="Times New Roman"/>
          <w:kern w:val="0"/>
          <w:sz w:val="22"/>
          <w:szCs w:val="22"/>
          <w14:ligatures w14:val="none"/>
        </w:rPr>
        <w:t xml:space="preserve"> the extra variation explained by the addition of each additional trend. </w:t>
      </w:r>
    </w:p>
    <w:p w14:paraId="0857169E" w14:textId="0F80A4A7" w:rsidR="000A4B6C" w:rsidRPr="005B46E8" w:rsidRDefault="005B46E8" w:rsidP="00AB2EBF">
      <w:pPr>
        <w:spacing w:before="100" w:beforeAutospacing="1" w:after="100" w:afterAutospacing="1" w:line="480" w:lineRule="auto"/>
        <w:ind w:firstLine="720"/>
        <w:rPr>
          <w:rFonts w:ascii="Garamond" w:eastAsia="Times New Roman" w:hAnsi="Garamond" w:cs="Times New Roman"/>
          <w:kern w:val="0"/>
          <w:sz w:val="22"/>
          <w:szCs w:val="22"/>
          <w14:ligatures w14:val="none"/>
        </w:rPr>
      </w:pPr>
      <w:r>
        <w:rPr>
          <w:rFonts w:ascii="Garamond" w:eastAsia="Times New Roman" w:hAnsi="Garamond" w:cs="Times New Roman"/>
          <w:kern w:val="0"/>
          <w:sz w:val="22"/>
          <w:szCs w:val="22"/>
          <w14:ligatures w14:val="none"/>
        </w:rPr>
        <w:t xml:space="preserve">R covariance structure and the inclusion of covariates were compared using AIC. </w:t>
      </w:r>
      <w:r w:rsidR="00A323E6" w:rsidRPr="005B46E8">
        <w:rPr>
          <w:rFonts w:ascii="Garamond" w:eastAsia="Times New Roman" w:hAnsi="Garamond" w:cs="Times New Roman"/>
          <w:kern w:val="0"/>
          <w:sz w:val="22"/>
          <w:szCs w:val="22"/>
          <w14:ligatures w14:val="none"/>
        </w:rPr>
        <w:t xml:space="preserve">We compared two common R matrix options including “diagonal and equal”, which assumes all timeseries have the same observation error variance and are uncorrelated, and “diagonal and unequal”, which also assumes no correlation between timeseries but allows each one to have its own error variance. Finally, we tested the effect </w:t>
      </w:r>
      <w:r w:rsidR="00A323E6" w:rsidRPr="005B46E8">
        <w:rPr>
          <w:rFonts w:ascii="Garamond" w:eastAsia="Times New Roman" w:hAnsi="Garamond" w:cs="Times New Roman"/>
          <w:kern w:val="0"/>
          <w:sz w:val="22"/>
          <w:szCs w:val="22"/>
          <w14:ligatures w14:val="none"/>
        </w:rPr>
        <w:lastRenderedPageBreak/>
        <w:t xml:space="preserve">of two covariates related to the size of returning cohorts in the year of analysis. These include a “run size” </w:t>
      </w:r>
      <w:r w:rsidR="00AB2EBF">
        <w:rPr>
          <w:rFonts w:ascii="Garamond" w:eastAsia="Times New Roman" w:hAnsi="Garamond" w:cs="Times New Roman"/>
          <w:kern w:val="0"/>
          <w:sz w:val="22"/>
          <w:szCs w:val="22"/>
          <w14:ligatures w14:val="none"/>
        </w:rPr>
        <w:t>covariate</w:t>
      </w:r>
      <w:r w:rsidR="00A323E6" w:rsidRPr="005B46E8">
        <w:rPr>
          <w:rFonts w:ascii="Garamond" w:eastAsia="Times New Roman" w:hAnsi="Garamond" w:cs="Times New Roman"/>
          <w:kern w:val="0"/>
          <w:sz w:val="22"/>
          <w:szCs w:val="22"/>
          <w14:ligatures w14:val="none"/>
        </w:rPr>
        <w:t xml:space="preserve"> which is the full run size for the given year of analysis and a CPUE covariate which is the proportion of CPUE contained within each quartile. </w:t>
      </w:r>
      <w:r w:rsidR="000A4B6C" w:rsidRPr="005B46E8">
        <w:rPr>
          <w:rFonts w:ascii="Garamond" w:eastAsia="Times New Roman" w:hAnsi="Garamond" w:cs="Times New Roman"/>
          <w:kern w:val="0"/>
          <w:sz w:val="22"/>
          <w:szCs w:val="22"/>
          <w14:ligatures w14:val="none"/>
        </w:rPr>
        <w:t>From the best-fitting model, we extracted the underlying latent trends and the corresponding loadings for each time series on each trend</w:t>
      </w:r>
      <w:r w:rsidR="00A323E6" w:rsidRPr="005B46E8">
        <w:rPr>
          <w:rFonts w:ascii="Garamond" w:eastAsia="Times New Roman" w:hAnsi="Garamond" w:cs="Times New Roman"/>
          <w:kern w:val="0"/>
          <w:sz w:val="22"/>
          <w:szCs w:val="22"/>
          <w14:ligatures w14:val="none"/>
        </w:rPr>
        <w:t xml:space="preserve"> and applied a varimax rotation. </w:t>
      </w:r>
      <w:r w:rsidR="000A4B6C" w:rsidRPr="005B46E8">
        <w:rPr>
          <w:rFonts w:ascii="Garamond" w:eastAsia="Times New Roman" w:hAnsi="Garamond" w:cs="Times New Roman"/>
          <w:kern w:val="0"/>
          <w:sz w:val="22"/>
          <w:szCs w:val="22"/>
          <w14:ligatures w14:val="none"/>
        </w:rPr>
        <w:t>Factor loadings were mapped onto their corresponding management units within the watershed to provide a clearer, spatially explicit understanding of the</w:t>
      </w:r>
      <w:r w:rsidR="00AB2EBF">
        <w:rPr>
          <w:rFonts w:ascii="Garamond" w:eastAsia="Times New Roman" w:hAnsi="Garamond" w:cs="Times New Roman"/>
          <w:kern w:val="0"/>
          <w:sz w:val="22"/>
          <w:szCs w:val="22"/>
          <w14:ligatures w14:val="none"/>
        </w:rPr>
        <w:t xml:space="preserve"> loadings onto the underlying trends</w:t>
      </w:r>
      <w:r w:rsidR="000A4B6C" w:rsidRPr="005B46E8">
        <w:rPr>
          <w:rFonts w:ascii="Garamond" w:eastAsia="Times New Roman" w:hAnsi="Garamond" w:cs="Times New Roman"/>
          <w:kern w:val="0"/>
          <w:sz w:val="22"/>
          <w:szCs w:val="22"/>
          <w14:ligatures w14:val="none"/>
        </w:rPr>
        <w:t>.</w:t>
      </w:r>
    </w:p>
    <w:p w14:paraId="74E43516" w14:textId="71D5815A" w:rsidR="005B46E8" w:rsidRDefault="005F3448" w:rsidP="006D1917">
      <w:pPr>
        <w:spacing w:before="100" w:beforeAutospacing="1" w:after="100" w:afterAutospacing="1" w:line="480" w:lineRule="auto"/>
        <w:rPr>
          <w:rFonts w:ascii="Garamond" w:hAnsi="Garamond"/>
          <w:b/>
          <w:bCs/>
          <w:u w:val="single"/>
        </w:rPr>
      </w:pPr>
      <w:r w:rsidRPr="005B46E8">
        <w:rPr>
          <w:rFonts w:ascii="Garamond" w:hAnsi="Garamond"/>
          <w:b/>
          <w:bCs/>
          <w:u w:val="single"/>
        </w:rPr>
        <w:t xml:space="preserve">Results: </w:t>
      </w:r>
    </w:p>
    <w:p w14:paraId="2C09A5EA" w14:textId="081F3B4C" w:rsidR="005B46E8" w:rsidRPr="00C52D33" w:rsidRDefault="005B46E8" w:rsidP="005B46E8">
      <w:pPr>
        <w:spacing w:before="100" w:beforeAutospacing="1" w:after="100" w:afterAutospacing="1" w:line="480" w:lineRule="auto"/>
        <w:ind w:firstLine="720"/>
        <w:rPr>
          <w:rFonts w:ascii="Garamond" w:hAnsi="Garamond"/>
          <w:sz w:val="22"/>
          <w:szCs w:val="22"/>
        </w:rPr>
      </w:pPr>
      <w:r w:rsidRPr="0030120F">
        <w:rPr>
          <w:rFonts w:ascii="Garamond" w:hAnsi="Garamond"/>
          <w:sz w:val="22"/>
          <w:szCs w:val="22"/>
        </w:rPr>
        <w:t xml:space="preserve">Model selection based on partial R² identified two underlying trends as optimal. </w:t>
      </w:r>
      <w:r w:rsidR="00AB2EBF">
        <w:rPr>
          <w:rFonts w:ascii="Garamond" w:hAnsi="Garamond"/>
          <w:sz w:val="22"/>
          <w:szCs w:val="22"/>
        </w:rPr>
        <w:t xml:space="preserve">Together, the first two trends </w:t>
      </w:r>
      <w:r w:rsidRPr="0030120F">
        <w:rPr>
          <w:rFonts w:ascii="Garamond" w:hAnsi="Garamond"/>
          <w:sz w:val="22"/>
          <w:szCs w:val="22"/>
        </w:rPr>
        <w:t xml:space="preserve">explained 89% of the variance among time series, while adding a third trend contributed only an additional 2.4% of explained variance. Comparison of observation error structures strongly favored a structure of "diagonal and unequal" </w:t>
      </w:r>
      <w:r w:rsidR="0030120F" w:rsidRPr="0030120F">
        <w:rPr>
          <w:rFonts w:ascii="Garamond" w:hAnsi="Garamond"/>
          <w:sz w:val="22"/>
          <w:szCs w:val="22"/>
        </w:rPr>
        <w:t xml:space="preserve">over “diagonal and equal” </w:t>
      </w:r>
      <w:r w:rsidRPr="0030120F">
        <w:rPr>
          <w:rFonts w:ascii="Garamond" w:hAnsi="Garamond"/>
          <w:sz w:val="22"/>
          <w:szCs w:val="22"/>
        </w:rPr>
        <w:t xml:space="preserve">(AIC </w:t>
      </w:r>
      <w:r w:rsidR="0030120F" w:rsidRPr="0030120F">
        <w:rPr>
          <w:rFonts w:ascii="Garamond" w:hAnsi="Garamond"/>
          <w:sz w:val="22"/>
          <w:szCs w:val="22"/>
        </w:rPr>
        <w:t xml:space="preserve">332.16 vs 521.75) </w:t>
      </w:r>
      <w:r w:rsidRPr="0030120F">
        <w:rPr>
          <w:rFonts w:ascii="Garamond" w:hAnsi="Garamond"/>
          <w:sz w:val="22"/>
          <w:szCs w:val="22"/>
        </w:rPr>
        <w:t xml:space="preserve">meaning each management unit time series was allowed to have its own unique observation error variance while maintaining the assumption that observation errors are uncorrelated between units. </w:t>
      </w:r>
      <w:r w:rsidR="0030120F" w:rsidRPr="0030120F">
        <w:rPr>
          <w:rFonts w:ascii="Garamond" w:hAnsi="Garamond"/>
          <w:sz w:val="22"/>
          <w:szCs w:val="22"/>
        </w:rPr>
        <w:t xml:space="preserve">This result tracks with our expectation that observation error across the basin would vary based in part on </w:t>
      </w:r>
      <w:proofErr w:type="spellStart"/>
      <w:r w:rsidR="0030120F" w:rsidRPr="0030120F">
        <w:rPr>
          <w:rFonts w:ascii="Garamond" w:hAnsi="Garamond"/>
          <w:sz w:val="22"/>
          <w:szCs w:val="22"/>
        </w:rPr>
        <w:t>isoscape</w:t>
      </w:r>
      <w:proofErr w:type="spellEnd"/>
      <w:r w:rsidR="0030120F" w:rsidRPr="0030120F">
        <w:rPr>
          <w:rFonts w:ascii="Garamond" w:hAnsi="Garamond"/>
          <w:sz w:val="22"/>
          <w:szCs w:val="22"/>
        </w:rPr>
        <w:t xml:space="preserve"> prediction error variance among management unit regions. </w:t>
      </w:r>
      <w:r w:rsidR="0030120F">
        <w:rPr>
          <w:rFonts w:ascii="Garamond" w:hAnsi="Garamond"/>
          <w:sz w:val="22"/>
          <w:szCs w:val="22"/>
        </w:rPr>
        <w:t xml:space="preserve">Finally, the best model contained neither CPUE </w:t>
      </w:r>
      <w:r w:rsidR="00C52D33">
        <w:rPr>
          <w:rFonts w:ascii="Garamond" w:hAnsi="Garamond"/>
          <w:sz w:val="22"/>
          <w:szCs w:val="22"/>
        </w:rPr>
        <w:t>nor</w:t>
      </w:r>
      <w:r w:rsidR="0030120F">
        <w:rPr>
          <w:rFonts w:ascii="Garamond" w:hAnsi="Garamond"/>
          <w:sz w:val="22"/>
          <w:szCs w:val="22"/>
        </w:rPr>
        <w:t xml:space="preserve"> run size covariates based on </w:t>
      </w:r>
      <w:r w:rsidR="0030120F" w:rsidRPr="00C52D33">
        <w:rPr>
          <w:rFonts w:ascii="Garamond" w:hAnsi="Garamond"/>
          <w:sz w:val="22"/>
          <w:szCs w:val="22"/>
        </w:rPr>
        <w:t xml:space="preserve">AIC. </w:t>
      </w:r>
    </w:p>
    <w:p w14:paraId="61C11306" w14:textId="77777777" w:rsidR="005B46E8" w:rsidRPr="00C52D33" w:rsidRDefault="005B46E8" w:rsidP="005B46E8">
      <w:pPr>
        <w:spacing w:before="100" w:beforeAutospacing="1" w:after="100" w:afterAutospacing="1" w:line="480" w:lineRule="auto"/>
        <w:ind w:firstLine="720"/>
        <w:rPr>
          <w:rFonts w:ascii="Garamond" w:hAnsi="Garamond"/>
          <w:sz w:val="22"/>
          <w:szCs w:val="22"/>
        </w:rPr>
      </w:pPr>
    </w:p>
    <w:p w14:paraId="70E5EB51" w14:textId="69A2E7ED" w:rsidR="00EF63C2" w:rsidRPr="00C52D33" w:rsidRDefault="00EF63C2" w:rsidP="006D1917">
      <w:pPr>
        <w:spacing w:before="100" w:beforeAutospacing="1" w:after="100" w:afterAutospacing="1" w:line="480" w:lineRule="auto"/>
        <w:rPr>
          <w:rFonts w:ascii="Garamond" w:hAnsi="Garamond"/>
          <w:b/>
          <w:bCs/>
          <w:sz w:val="22"/>
          <w:szCs w:val="22"/>
        </w:rPr>
      </w:pPr>
      <w:r w:rsidRPr="00C52D33">
        <w:rPr>
          <w:rFonts w:ascii="Garamond" w:hAnsi="Garamond"/>
          <w:b/>
          <w:bCs/>
          <w:sz w:val="22"/>
          <w:szCs w:val="22"/>
        </w:rPr>
        <w:t xml:space="preserve">Underlying Trends and spatial loadings </w:t>
      </w:r>
    </w:p>
    <w:p w14:paraId="7AFE4E3B" w14:textId="6177BA0D" w:rsidR="00FC16B4" w:rsidRPr="00FC16B4" w:rsidRDefault="00FC16B4" w:rsidP="00FC16B4">
      <w:pPr>
        <w:spacing w:line="480" w:lineRule="auto"/>
        <w:rPr>
          <w:rFonts w:ascii="Garamond" w:hAnsi="Garamond"/>
          <w:sz w:val="22"/>
          <w:szCs w:val="22"/>
        </w:rPr>
      </w:pPr>
      <w:r w:rsidRPr="00FC16B4">
        <w:rPr>
          <w:rFonts w:ascii="Garamond" w:hAnsi="Garamond"/>
          <w:sz w:val="22"/>
          <w:szCs w:val="22"/>
        </w:rPr>
        <w:t xml:space="preserve">Trend 1 (Figure </w:t>
      </w:r>
      <w:r w:rsidR="00C251B6">
        <w:rPr>
          <w:rFonts w:ascii="Garamond" w:hAnsi="Garamond"/>
          <w:sz w:val="22"/>
          <w:szCs w:val="22"/>
        </w:rPr>
        <w:t>4</w:t>
      </w:r>
      <w:r w:rsidRPr="00FC16B4">
        <w:rPr>
          <w:rFonts w:ascii="Garamond" w:hAnsi="Garamond"/>
          <w:sz w:val="22"/>
          <w:szCs w:val="22"/>
        </w:rPr>
        <w:t xml:space="preserve">) is characterized by an increase in mean proportional contribution starting in 2019, driven by increased Q3 and Q4 contributions. This trend is led by strong positive loadings from management units such as the </w:t>
      </w:r>
      <w:proofErr w:type="spellStart"/>
      <w:r w:rsidRPr="00FC16B4">
        <w:rPr>
          <w:rFonts w:ascii="Garamond" w:hAnsi="Garamond"/>
          <w:sz w:val="22"/>
          <w:szCs w:val="22"/>
        </w:rPr>
        <w:t>Hoholitna</w:t>
      </w:r>
      <w:proofErr w:type="spellEnd"/>
      <w:r w:rsidRPr="00FC16B4">
        <w:rPr>
          <w:rFonts w:ascii="Garamond" w:hAnsi="Garamond"/>
          <w:sz w:val="22"/>
          <w:szCs w:val="22"/>
        </w:rPr>
        <w:t xml:space="preserve">, </w:t>
      </w:r>
      <w:proofErr w:type="spellStart"/>
      <w:r w:rsidRPr="00FC16B4">
        <w:rPr>
          <w:rFonts w:ascii="Garamond" w:hAnsi="Garamond"/>
          <w:sz w:val="22"/>
          <w:szCs w:val="22"/>
        </w:rPr>
        <w:t>Takotna</w:t>
      </w:r>
      <w:proofErr w:type="spellEnd"/>
      <w:r w:rsidRPr="00FC16B4">
        <w:rPr>
          <w:rFonts w:ascii="Garamond" w:hAnsi="Garamond"/>
          <w:sz w:val="22"/>
          <w:szCs w:val="22"/>
        </w:rPr>
        <w:t xml:space="preserve">, Nixon Fork, and Stony Rivers. In contrast, several tributaries in the northernmost portion of the basin have strong negative loadings, including the East, North, and South Fork </w:t>
      </w:r>
      <w:r w:rsidRPr="00FC16B4">
        <w:rPr>
          <w:rFonts w:ascii="Garamond" w:hAnsi="Garamond"/>
          <w:sz w:val="22"/>
          <w:szCs w:val="22"/>
        </w:rPr>
        <w:lastRenderedPageBreak/>
        <w:t>Kuskokwim as well as the Kwethluk and Big Rivers, indicating the opposite trend of decreasing mean proportional contribution, particularly in the latter half of the run.</w:t>
      </w:r>
    </w:p>
    <w:p w14:paraId="361E7955" w14:textId="34E470E7" w:rsidR="00AF2884" w:rsidRPr="00FC16B4" w:rsidRDefault="00FC16B4" w:rsidP="00FC16B4">
      <w:pPr>
        <w:spacing w:line="480" w:lineRule="auto"/>
        <w:rPr>
          <w:rFonts w:ascii="Garamond" w:hAnsi="Garamond"/>
          <w:sz w:val="22"/>
          <w:szCs w:val="22"/>
        </w:rPr>
      </w:pPr>
      <w:r w:rsidRPr="00FC16B4">
        <w:rPr>
          <w:rFonts w:ascii="Garamond" w:hAnsi="Garamond"/>
          <w:sz w:val="22"/>
          <w:szCs w:val="22"/>
        </w:rPr>
        <w:t xml:space="preserve">Trend 2 (Figure </w:t>
      </w:r>
      <w:r w:rsidR="006607CD">
        <w:rPr>
          <w:rFonts w:ascii="Garamond" w:hAnsi="Garamond"/>
          <w:sz w:val="22"/>
          <w:szCs w:val="22"/>
        </w:rPr>
        <w:t>4</w:t>
      </w:r>
      <w:r w:rsidRPr="00FC16B4">
        <w:rPr>
          <w:rFonts w:ascii="Garamond" w:hAnsi="Garamond"/>
          <w:sz w:val="22"/>
          <w:szCs w:val="22"/>
        </w:rPr>
        <w:t xml:space="preserve">) contains a more stable mean across the dataset but shows a shift from patterns driven by relatively equal contributions from Q1 and Q2 to an increasing contribution from only the first quartile in the last two years of the dataset (2020 and 2021). This trend is driven by strong positive loadings from most tributaries in the upper portion of the river basin, including the Upper Kuskokwim mainstem, South Fork Kuskokwim, Kwethluk, Big River, and </w:t>
      </w:r>
      <w:proofErr w:type="spellStart"/>
      <w:r w:rsidRPr="00FC16B4">
        <w:rPr>
          <w:rFonts w:ascii="Garamond" w:hAnsi="Garamond"/>
          <w:sz w:val="22"/>
          <w:szCs w:val="22"/>
        </w:rPr>
        <w:t>Tatlawiksuk</w:t>
      </w:r>
      <w:proofErr w:type="spellEnd"/>
      <w:r w:rsidRPr="00FC16B4">
        <w:rPr>
          <w:rFonts w:ascii="Garamond" w:hAnsi="Garamond"/>
          <w:sz w:val="22"/>
          <w:szCs w:val="22"/>
        </w:rPr>
        <w:t xml:space="preserve"> Rivers. In contrast, the lower reaches of the Kuskokwim, including the </w:t>
      </w:r>
      <w:proofErr w:type="spellStart"/>
      <w:r w:rsidRPr="00FC16B4">
        <w:rPr>
          <w:rFonts w:ascii="Garamond" w:hAnsi="Garamond"/>
          <w:sz w:val="22"/>
          <w:szCs w:val="22"/>
        </w:rPr>
        <w:t>Oskawalik</w:t>
      </w:r>
      <w:proofErr w:type="spellEnd"/>
      <w:r w:rsidRPr="00FC16B4">
        <w:rPr>
          <w:rFonts w:ascii="Garamond" w:hAnsi="Garamond"/>
          <w:sz w:val="22"/>
          <w:szCs w:val="22"/>
        </w:rPr>
        <w:t xml:space="preserve">, </w:t>
      </w:r>
      <w:proofErr w:type="spellStart"/>
      <w:r w:rsidRPr="00FC16B4">
        <w:rPr>
          <w:rFonts w:ascii="Garamond" w:hAnsi="Garamond"/>
          <w:sz w:val="22"/>
          <w:szCs w:val="22"/>
        </w:rPr>
        <w:t>Tuluksak</w:t>
      </w:r>
      <w:proofErr w:type="spellEnd"/>
      <w:r w:rsidRPr="00FC16B4">
        <w:rPr>
          <w:rFonts w:ascii="Garamond" w:hAnsi="Garamond"/>
          <w:sz w:val="22"/>
          <w:szCs w:val="22"/>
        </w:rPr>
        <w:t xml:space="preserve">, Swing, Aniak, and </w:t>
      </w:r>
      <w:proofErr w:type="spellStart"/>
      <w:r w:rsidRPr="00FC16B4">
        <w:rPr>
          <w:rFonts w:ascii="Garamond" w:hAnsi="Garamond"/>
          <w:sz w:val="22"/>
          <w:szCs w:val="22"/>
        </w:rPr>
        <w:t>Holokuk</w:t>
      </w:r>
      <w:proofErr w:type="spellEnd"/>
      <w:r w:rsidRPr="00FC16B4">
        <w:rPr>
          <w:rFonts w:ascii="Garamond" w:hAnsi="Garamond"/>
          <w:sz w:val="22"/>
          <w:szCs w:val="22"/>
        </w:rPr>
        <w:t xml:space="preserve"> Rivers, contain strong negative loadings on this trend, indicating a shift towards higher proportional contribution away from the first quartile.</w:t>
      </w:r>
    </w:p>
    <w:p w14:paraId="378AB281" w14:textId="649EF710" w:rsidR="005F3448" w:rsidRDefault="005F3448" w:rsidP="006D1917">
      <w:pPr>
        <w:spacing w:line="480" w:lineRule="auto"/>
        <w:rPr>
          <w:rFonts w:ascii="Garamond" w:hAnsi="Garamond"/>
          <w:b/>
          <w:bCs/>
          <w:sz w:val="32"/>
          <w:szCs w:val="32"/>
        </w:rPr>
      </w:pPr>
      <w:r w:rsidRPr="006D1917">
        <w:rPr>
          <w:rFonts w:ascii="Garamond" w:hAnsi="Garamond"/>
          <w:b/>
          <w:bCs/>
          <w:sz w:val="32"/>
          <w:szCs w:val="32"/>
        </w:rPr>
        <w:t xml:space="preserve">Discussion: </w:t>
      </w:r>
    </w:p>
    <w:p w14:paraId="2ACB5F41" w14:textId="77777777" w:rsidR="001F1C29" w:rsidRPr="006607CD" w:rsidRDefault="000D5249" w:rsidP="001F1C29">
      <w:pPr>
        <w:pStyle w:val="NormalWeb"/>
        <w:spacing w:line="480" w:lineRule="auto"/>
        <w:ind w:firstLine="720"/>
        <w:rPr>
          <w:rFonts w:ascii="Garamond" w:hAnsi="Garamond"/>
          <w:sz w:val="22"/>
          <w:szCs w:val="22"/>
        </w:rPr>
      </w:pPr>
      <w:r w:rsidRPr="006607CD">
        <w:rPr>
          <w:rFonts w:ascii="Garamond" w:hAnsi="Garamond"/>
          <w:sz w:val="22"/>
          <w:szCs w:val="22"/>
        </w:rPr>
        <w:t>Our analysis identified two major latent trends in the spatiotemporal ecology of Chinook salmon in the Kuskokwim River basin, both reflecting shifts in the proportional contributions of different regions and time periods to the overall salmon run which may have implications for understanding metapopulation dynamics and assessing the effectiveness of current management strategies.</w:t>
      </w:r>
      <w:r w:rsidR="001F1C29" w:rsidRPr="006607CD">
        <w:rPr>
          <w:rFonts w:ascii="Garamond" w:hAnsi="Garamond"/>
          <w:sz w:val="22"/>
          <w:szCs w:val="22"/>
        </w:rPr>
        <w:t xml:space="preserve"> </w:t>
      </w:r>
    </w:p>
    <w:p w14:paraId="69F8838E" w14:textId="432F8BF8" w:rsidR="001F1C29" w:rsidRPr="006607CD" w:rsidRDefault="001F1C29" w:rsidP="001F1C29">
      <w:pPr>
        <w:pStyle w:val="NormalWeb"/>
        <w:spacing w:line="480" w:lineRule="auto"/>
        <w:rPr>
          <w:rFonts w:ascii="Garamond" w:hAnsi="Garamond"/>
          <w:sz w:val="22"/>
          <w:szCs w:val="22"/>
        </w:rPr>
      </w:pPr>
      <w:r w:rsidRPr="006607CD">
        <w:rPr>
          <w:rFonts w:ascii="Garamond" w:hAnsi="Garamond"/>
          <w:sz w:val="22"/>
          <w:szCs w:val="22"/>
        </w:rPr>
        <w:t xml:space="preserve">Such changes in spatial contributions have direct implications for subsistence communities distributed throughout the basin. Increasing contributions from the </w:t>
      </w:r>
      <w:proofErr w:type="spellStart"/>
      <w:r w:rsidRPr="006607CD">
        <w:rPr>
          <w:rFonts w:ascii="Garamond" w:hAnsi="Garamond"/>
          <w:sz w:val="22"/>
          <w:szCs w:val="22"/>
        </w:rPr>
        <w:t>Takotna</w:t>
      </w:r>
      <w:proofErr w:type="spellEnd"/>
      <w:r w:rsidRPr="006607CD">
        <w:rPr>
          <w:rFonts w:ascii="Garamond" w:hAnsi="Garamond"/>
          <w:sz w:val="22"/>
          <w:szCs w:val="22"/>
        </w:rPr>
        <w:t xml:space="preserve"> and Nixon Fork sub-basins, for example, may enhance salmon availability for upstream communities like McGrath, which sits at the confluence of these tributaries with the mainstem Kuskokwim. However, if these spatial shifts are accompanied by changes in stock-specific run timing or migration patterns, they could disrupt the alignment between local harvest strategies and historical salmon availability, as many subsistence practices have evolved to match the phenology of specific stocks (Brown &amp; </w:t>
      </w:r>
      <w:proofErr w:type="spellStart"/>
      <w:r w:rsidRPr="006607CD">
        <w:rPr>
          <w:rFonts w:ascii="Garamond" w:hAnsi="Garamond"/>
          <w:sz w:val="22"/>
          <w:szCs w:val="22"/>
        </w:rPr>
        <w:t>Godduhn</w:t>
      </w:r>
      <w:proofErr w:type="spellEnd"/>
      <w:r w:rsidRPr="006607CD">
        <w:rPr>
          <w:rFonts w:ascii="Garamond" w:hAnsi="Garamond"/>
          <w:sz w:val="22"/>
          <w:szCs w:val="22"/>
        </w:rPr>
        <w:t>, 2015).</w:t>
      </w:r>
    </w:p>
    <w:p w14:paraId="1F40087F" w14:textId="3CE52C92" w:rsidR="001F1C29" w:rsidRPr="006607CD" w:rsidRDefault="001F1C29" w:rsidP="001F1C29">
      <w:pPr>
        <w:pStyle w:val="NormalWeb"/>
        <w:spacing w:line="480" w:lineRule="auto"/>
        <w:ind w:firstLine="720"/>
        <w:rPr>
          <w:rFonts w:ascii="Garamond" w:hAnsi="Garamond"/>
          <w:sz w:val="22"/>
          <w:szCs w:val="22"/>
        </w:rPr>
      </w:pPr>
      <w:r w:rsidRPr="006607CD">
        <w:rPr>
          <w:rFonts w:ascii="Garamond" w:hAnsi="Garamond"/>
          <w:sz w:val="22"/>
          <w:szCs w:val="22"/>
        </w:rPr>
        <w:t xml:space="preserve">The second trend suggests a progressive consolidation of Upper Kuskokwim stocks into the first quartile of the run, particularly pronounced in 2020 and 2021. If true, this temporal shift has direct </w:t>
      </w:r>
      <w:r w:rsidRPr="006607CD">
        <w:rPr>
          <w:rFonts w:ascii="Garamond" w:hAnsi="Garamond"/>
          <w:sz w:val="22"/>
          <w:szCs w:val="22"/>
        </w:rPr>
        <w:lastRenderedPageBreak/>
        <w:t xml:space="preserve">implications for current harvest management strategies. The first </w:t>
      </w:r>
      <w:proofErr w:type="gramStart"/>
      <w:r w:rsidRPr="006607CD">
        <w:rPr>
          <w:rFonts w:ascii="Garamond" w:hAnsi="Garamond"/>
          <w:sz w:val="22"/>
          <w:szCs w:val="22"/>
        </w:rPr>
        <w:t>quartile  of</w:t>
      </w:r>
      <w:proofErr w:type="gramEnd"/>
      <w:r w:rsidRPr="006607CD">
        <w:rPr>
          <w:rFonts w:ascii="Garamond" w:hAnsi="Garamond"/>
          <w:sz w:val="22"/>
          <w:szCs w:val="22"/>
        </w:rPr>
        <w:t xml:space="preserve"> our dataset was selected to reflect the </w:t>
      </w:r>
      <w:proofErr w:type="spellStart"/>
      <w:r w:rsidRPr="006607CD">
        <w:rPr>
          <w:rFonts w:ascii="Garamond" w:hAnsi="Garamond"/>
          <w:sz w:val="22"/>
          <w:szCs w:val="22"/>
        </w:rPr>
        <w:t>timeperiod</w:t>
      </w:r>
      <w:proofErr w:type="spellEnd"/>
      <w:r w:rsidRPr="006607CD">
        <w:rPr>
          <w:rFonts w:ascii="Garamond" w:hAnsi="Garamond"/>
          <w:sz w:val="22"/>
          <w:szCs w:val="22"/>
        </w:rPr>
        <w:t xml:space="preserve"> protected by the Kuskokwim River's front-end closure (typically June 1-11), designed to allow </w:t>
      </w:r>
      <w:proofErr w:type="gramStart"/>
      <w:r w:rsidRPr="006607CD">
        <w:rPr>
          <w:rFonts w:ascii="Garamond" w:hAnsi="Garamond"/>
          <w:sz w:val="22"/>
          <w:szCs w:val="22"/>
        </w:rPr>
        <w:t>early-arriving</w:t>
      </w:r>
      <w:proofErr w:type="gramEnd"/>
      <w:r w:rsidRPr="006607CD">
        <w:rPr>
          <w:rFonts w:ascii="Garamond" w:hAnsi="Garamond"/>
          <w:sz w:val="22"/>
          <w:szCs w:val="22"/>
        </w:rPr>
        <w:t xml:space="preserve"> fish to escape upstream before harvest activities begin (Bechtol et al., 2025). Our findings suggest that this closure may be moving the run timing of upper Kuskokwim stocks earlier, and, subsequently, further into the window of protection afforded by the closure. As Upper Kuskokwim stocks increasingly arrive during the closure window, they receive enhanced protection relative to stocks arriving later in the season, often originating from downstream and mid-basin regions. This differential protection could establish a feedback loop whereby </w:t>
      </w:r>
      <w:proofErr w:type="gramStart"/>
      <w:r w:rsidRPr="006607CD">
        <w:rPr>
          <w:rFonts w:ascii="Garamond" w:hAnsi="Garamond"/>
          <w:sz w:val="22"/>
          <w:szCs w:val="22"/>
        </w:rPr>
        <w:t>early-timed</w:t>
      </w:r>
      <w:proofErr w:type="gramEnd"/>
      <w:r w:rsidRPr="006607CD">
        <w:rPr>
          <w:rFonts w:ascii="Garamond" w:hAnsi="Garamond"/>
          <w:sz w:val="22"/>
          <w:szCs w:val="22"/>
        </w:rPr>
        <w:t xml:space="preserve"> stocks experience reduced harvest pressure, while later-timed stocks remain more vulnerable to exploitation. Over time, such dynamics could reduce the diversity of run timing across the metapopulation, potentially affecting one of the key mechanisms that provides stability to the broader system (Schindler et al., 2010). Taken as a whole, the spatial redistribution documented in Trend 1, combined with the temporal consolidation shown in Trend 2, suggests potential changes in metapopulation structure that warrant monitoring.</w:t>
      </w:r>
    </w:p>
    <w:p w14:paraId="4A29DC7F" w14:textId="77777777" w:rsidR="00371BEC" w:rsidRPr="006607CD" w:rsidRDefault="00371BEC" w:rsidP="00371BEC">
      <w:pPr>
        <w:spacing w:line="480" w:lineRule="auto"/>
        <w:ind w:firstLine="720"/>
        <w:rPr>
          <w:rFonts w:ascii="Garamond" w:hAnsi="Garamond"/>
          <w:sz w:val="22"/>
          <w:szCs w:val="22"/>
        </w:rPr>
      </w:pPr>
      <w:r w:rsidRPr="006607CD">
        <w:rPr>
          <w:rFonts w:ascii="Garamond" w:hAnsi="Garamond"/>
          <w:sz w:val="22"/>
          <w:szCs w:val="22"/>
        </w:rPr>
        <w:t>While otolith-based natal origin reconstruction has been validated in similar systems and spatial scales (Brennan et al., 2015), explicit validation in the Kuskokwim system has not been conducted, and a thorough assessment of assignment error is therefore not possible. However, the consistency of our findings with documented ecological patterns, such as the general downstream progression of stock contributions throughout the season, provides support for the accuracy of our assignment results. Additionally, basin-scale salmon production patterns are inherently complex and dynamic at multiple spatiotemporal scales (Brennan, Schindler, et al., 2019), and it is possible that some portion of the variability observed in our dataset reflects natural life history variability rather than long-term trends. These considerations underscore the need for continued monitoring of these patterns over time, including with techniques that can recreate spatiotemporal patterns at fine spatial scales.</w:t>
      </w:r>
    </w:p>
    <w:p w14:paraId="7AED0DB8" w14:textId="77777777" w:rsidR="007168FB" w:rsidRPr="006607CD" w:rsidRDefault="00371BEC" w:rsidP="007168FB">
      <w:pPr>
        <w:spacing w:line="480" w:lineRule="auto"/>
        <w:ind w:firstLine="720"/>
        <w:rPr>
          <w:rFonts w:ascii="Garamond" w:hAnsi="Garamond"/>
          <w:sz w:val="22"/>
          <w:szCs w:val="22"/>
        </w:rPr>
      </w:pPr>
      <w:r w:rsidRPr="006607CD">
        <w:rPr>
          <w:rFonts w:ascii="Garamond" w:hAnsi="Garamond"/>
          <w:sz w:val="22"/>
          <w:szCs w:val="22"/>
        </w:rPr>
        <w:t xml:space="preserve">Despite these limitations, our findings emphasize the importance of studying spatiotemporal diversity in salmon metapopulations at the sub-basin scale and highlight the need for management approaches that </w:t>
      </w:r>
      <w:r w:rsidRPr="006607CD">
        <w:rPr>
          <w:rFonts w:ascii="Garamond" w:hAnsi="Garamond"/>
          <w:sz w:val="22"/>
          <w:szCs w:val="22"/>
        </w:rPr>
        <w:lastRenderedPageBreak/>
        <w:t>account for this complexity. As Western Alaska salmon populations face ongoing challenges, understanding and preserving the mechanisms that provide resilience, including portfolio effects generated by diverse, healthy stock components, will be important for maintaining both ecological integrity and the human communities that depend on these resources.</w:t>
      </w:r>
    </w:p>
    <w:p w14:paraId="2CCD6A6E" w14:textId="284BB1B4" w:rsidR="00BB7183" w:rsidRPr="007168FB" w:rsidRDefault="007168FB" w:rsidP="007168FB">
      <w:pPr>
        <w:spacing w:line="480" w:lineRule="auto"/>
        <w:jc w:val="center"/>
        <w:rPr>
          <w:rFonts w:ascii="Garamond" w:hAnsi="Garamond"/>
          <w:b/>
          <w:bCs/>
          <w:sz w:val="36"/>
          <w:szCs w:val="36"/>
        </w:rPr>
      </w:pPr>
      <w:r w:rsidRPr="007168FB">
        <w:rPr>
          <w:rFonts w:ascii="Garamond" w:hAnsi="Garamond"/>
          <w:b/>
          <w:bCs/>
          <w:sz w:val="36"/>
          <w:szCs w:val="36"/>
        </w:rPr>
        <w:t>Works Cited</w:t>
      </w:r>
    </w:p>
    <w:p w14:paraId="78FBB1C9" w14:textId="77777777" w:rsidR="00617050" w:rsidRPr="00617050" w:rsidRDefault="00BB7183" w:rsidP="00617050">
      <w:pPr>
        <w:pStyle w:val="Bibliography"/>
        <w:rPr>
          <w:rFonts w:ascii="Garamond" w:hAnsi="Garamond"/>
        </w:rPr>
      </w:pPr>
      <w:r w:rsidRPr="007168FB">
        <w:rPr>
          <w:rFonts w:ascii="Garamond" w:hAnsi="Garamond"/>
        </w:rPr>
        <w:fldChar w:fldCharType="begin"/>
      </w:r>
      <w:r w:rsidRPr="007168FB">
        <w:rPr>
          <w:rFonts w:ascii="Garamond" w:hAnsi="Garamond"/>
        </w:rPr>
        <w:instrText xml:space="preserve"> ADDIN ZOTERO_BIBL {"uncited":[],"omitted":[],"custom":[]} CSL_BIBLIOGRAPHY </w:instrText>
      </w:r>
      <w:r w:rsidRPr="007168FB">
        <w:rPr>
          <w:rFonts w:ascii="Garamond" w:hAnsi="Garamond"/>
        </w:rPr>
        <w:fldChar w:fldCharType="separate"/>
      </w:r>
      <w:r w:rsidR="00617050" w:rsidRPr="00617050">
        <w:rPr>
          <w:rFonts w:ascii="Garamond" w:hAnsi="Garamond"/>
        </w:rPr>
        <w:t xml:space="preserve">Atlas, W. I., Sloat, M. R., Satterthwaite, W. H., Buehrens, T. W., Parken, C. K., Moore, J. W., Mantua, N. J., Hart, J., &amp; Potapova, A. (2023). Trends in Chinook salmon spawner abundance and total run size highlight linkages between life history, geography and decline. </w:t>
      </w:r>
      <w:r w:rsidR="00617050" w:rsidRPr="00617050">
        <w:rPr>
          <w:rFonts w:ascii="Garamond" w:hAnsi="Garamond"/>
          <w:i/>
          <w:iCs/>
        </w:rPr>
        <w:t>Fish and Fisheries</w:t>
      </w:r>
      <w:r w:rsidR="00617050" w:rsidRPr="00617050">
        <w:rPr>
          <w:rFonts w:ascii="Garamond" w:hAnsi="Garamond"/>
        </w:rPr>
        <w:t xml:space="preserve">, </w:t>
      </w:r>
      <w:r w:rsidR="00617050" w:rsidRPr="00617050">
        <w:rPr>
          <w:rFonts w:ascii="Garamond" w:hAnsi="Garamond"/>
          <w:i/>
          <w:iCs/>
        </w:rPr>
        <w:t>24</w:t>
      </w:r>
      <w:r w:rsidR="00617050" w:rsidRPr="00617050">
        <w:rPr>
          <w:rFonts w:ascii="Garamond" w:hAnsi="Garamond"/>
        </w:rPr>
        <w:t>(4), 595–617. https://doi.org/10.1111/faf.12750</w:t>
      </w:r>
    </w:p>
    <w:p w14:paraId="6AE05F42" w14:textId="77777777" w:rsidR="00617050" w:rsidRPr="00617050" w:rsidRDefault="00617050" w:rsidP="00617050">
      <w:pPr>
        <w:pStyle w:val="Bibliography"/>
        <w:rPr>
          <w:rFonts w:ascii="Garamond" w:hAnsi="Garamond"/>
        </w:rPr>
      </w:pPr>
      <w:r w:rsidRPr="00617050">
        <w:rPr>
          <w:rFonts w:ascii="Garamond" w:hAnsi="Garamond"/>
        </w:rPr>
        <w:t xml:space="preserve">Bechtol, W. R., Vicente, T., Leon, J., Hoffman, A., Moses, A., &amp; Hooper, D. (2025). </w:t>
      </w:r>
      <w:r w:rsidRPr="00617050">
        <w:rPr>
          <w:rFonts w:ascii="Garamond" w:hAnsi="Garamond"/>
          <w:i/>
          <w:iCs/>
        </w:rPr>
        <w:t>Inseason Harvest and Effort Estimates for the 2024 Kuskokwim River Subsistence Salmon Fisheries During Block Openings</w:t>
      </w:r>
      <w:r w:rsidRPr="00617050">
        <w:rPr>
          <w:rFonts w:ascii="Garamond" w:hAnsi="Garamond"/>
        </w:rPr>
        <w:t>. Kuskokwim River Inter-Tribal Fish Commission, Bethel.</w:t>
      </w:r>
    </w:p>
    <w:p w14:paraId="3CB34EC1" w14:textId="77777777" w:rsidR="00617050" w:rsidRPr="00617050" w:rsidRDefault="00617050" w:rsidP="00617050">
      <w:pPr>
        <w:pStyle w:val="Bibliography"/>
        <w:rPr>
          <w:rFonts w:ascii="Garamond" w:hAnsi="Garamond"/>
        </w:rPr>
      </w:pPr>
      <w:r w:rsidRPr="00617050">
        <w:rPr>
          <w:rFonts w:ascii="Garamond" w:hAnsi="Garamond"/>
        </w:rPr>
        <w:t xml:space="preserve">Bolnick, D. I., Amarasekare, P., Araújo, M. S., Bürger, R., Levine, J. M., Novak, M., Rudolf, V. H. W., Schreiber, S. J., Urban, M. C., &amp; Vasseur, D. A. (2011). Why intraspecific trait variation matters in community ecology. </w:t>
      </w:r>
      <w:r w:rsidRPr="00617050">
        <w:rPr>
          <w:rFonts w:ascii="Garamond" w:hAnsi="Garamond"/>
          <w:i/>
          <w:iCs/>
        </w:rPr>
        <w:t>Trends in Ecology &amp; Evolution</w:t>
      </w:r>
      <w:r w:rsidRPr="00617050">
        <w:rPr>
          <w:rFonts w:ascii="Garamond" w:hAnsi="Garamond"/>
        </w:rPr>
        <w:t xml:space="preserve">, </w:t>
      </w:r>
      <w:r w:rsidRPr="00617050">
        <w:rPr>
          <w:rFonts w:ascii="Garamond" w:hAnsi="Garamond"/>
          <w:i/>
          <w:iCs/>
        </w:rPr>
        <w:t>26</w:t>
      </w:r>
      <w:r w:rsidRPr="00617050">
        <w:rPr>
          <w:rFonts w:ascii="Garamond" w:hAnsi="Garamond"/>
        </w:rPr>
        <w:t>(4), 183–192. https://doi.org/10.1016/j.tree.2011.01.009</w:t>
      </w:r>
    </w:p>
    <w:p w14:paraId="45E10B9E" w14:textId="77777777" w:rsidR="00617050" w:rsidRPr="00617050" w:rsidRDefault="00617050" w:rsidP="00617050">
      <w:pPr>
        <w:pStyle w:val="Bibliography"/>
        <w:rPr>
          <w:rFonts w:ascii="Garamond" w:hAnsi="Garamond"/>
        </w:rPr>
      </w:pPr>
      <w:r w:rsidRPr="00617050">
        <w:rPr>
          <w:rFonts w:ascii="Garamond" w:hAnsi="Garamond"/>
        </w:rPr>
        <w:t xml:space="preserve">Brennan, S. R., Cline, T. J., &amp; Schindler, D. E. (2019). Quantifying habitat use of migratory fish across riverscapes using space-time isotope models. </w:t>
      </w:r>
      <w:r w:rsidRPr="00617050">
        <w:rPr>
          <w:rFonts w:ascii="Garamond" w:hAnsi="Garamond"/>
          <w:i/>
          <w:iCs/>
        </w:rPr>
        <w:t>Methods in Ecology and Evolution</w:t>
      </w:r>
      <w:r w:rsidRPr="00617050">
        <w:rPr>
          <w:rFonts w:ascii="Garamond" w:hAnsi="Garamond"/>
        </w:rPr>
        <w:t xml:space="preserve">, </w:t>
      </w:r>
      <w:r w:rsidRPr="00617050">
        <w:rPr>
          <w:rFonts w:ascii="Garamond" w:hAnsi="Garamond"/>
          <w:i/>
          <w:iCs/>
        </w:rPr>
        <w:t>10</w:t>
      </w:r>
      <w:r w:rsidRPr="00617050">
        <w:rPr>
          <w:rFonts w:ascii="Garamond" w:hAnsi="Garamond"/>
        </w:rPr>
        <w:t>(7), 1036–1047. https://doi.org/10.1111/2041-210X.13191</w:t>
      </w:r>
    </w:p>
    <w:p w14:paraId="65878D81" w14:textId="77777777" w:rsidR="00617050" w:rsidRPr="00617050" w:rsidRDefault="00617050" w:rsidP="00617050">
      <w:pPr>
        <w:pStyle w:val="Bibliography"/>
        <w:rPr>
          <w:rFonts w:ascii="Garamond" w:hAnsi="Garamond"/>
        </w:rPr>
      </w:pPr>
      <w:r w:rsidRPr="00617050">
        <w:rPr>
          <w:rFonts w:ascii="Garamond" w:hAnsi="Garamond"/>
        </w:rPr>
        <w:t xml:space="preserve">Brennan, S. R., &amp; Schindler, D. E. (2017). Linking otolith microchemistry and dendritic isoscapes to map heterogeneous production of fish across river basins. </w:t>
      </w:r>
      <w:r w:rsidRPr="00617050">
        <w:rPr>
          <w:rFonts w:ascii="Garamond" w:hAnsi="Garamond"/>
          <w:i/>
          <w:iCs/>
        </w:rPr>
        <w:t>Ecological Applications</w:t>
      </w:r>
      <w:r w:rsidRPr="00617050">
        <w:rPr>
          <w:rFonts w:ascii="Garamond" w:hAnsi="Garamond"/>
        </w:rPr>
        <w:t xml:space="preserve">, </w:t>
      </w:r>
      <w:r w:rsidRPr="00617050">
        <w:rPr>
          <w:rFonts w:ascii="Garamond" w:hAnsi="Garamond"/>
          <w:i/>
          <w:iCs/>
        </w:rPr>
        <w:t>27</w:t>
      </w:r>
      <w:r w:rsidRPr="00617050">
        <w:rPr>
          <w:rFonts w:ascii="Garamond" w:hAnsi="Garamond"/>
        </w:rPr>
        <w:t>(2), 363–377. https://doi.org/10.1002/eap.1474</w:t>
      </w:r>
    </w:p>
    <w:p w14:paraId="1C4C774A" w14:textId="77777777" w:rsidR="00617050" w:rsidRPr="00617050" w:rsidRDefault="00617050" w:rsidP="00617050">
      <w:pPr>
        <w:pStyle w:val="Bibliography"/>
        <w:rPr>
          <w:rFonts w:ascii="Garamond" w:hAnsi="Garamond"/>
        </w:rPr>
      </w:pPr>
      <w:r w:rsidRPr="00617050">
        <w:rPr>
          <w:rFonts w:ascii="Garamond" w:hAnsi="Garamond"/>
        </w:rPr>
        <w:lastRenderedPageBreak/>
        <w:t xml:space="preserve">Brennan, S. R., Schindler, D. E., Cline, T. J., Walsworth, T. E., Buck, G., &amp; Fernandez, D. P. (2019). Shifting habitat mosaics and fish production across river basins. </w:t>
      </w:r>
      <w:r w:rsidRPr="00617050">
        <w:rPr>
          <w:rFonts w:ascii="Garamond" w:hAnsi="Garamond"/>
          <w:i/>
          <w:iCs/>
        </w:rPr>
        <w:t>Science</w:t>
      </w:r>
      <w:r w:rsidRPr="00617050">
        <w:rPr>
          <w:rFonts w:ascii="Garamond" w:hAnsi="Garamond"/>
        </w:rPr>
        <w:t xml:space="preserve">, </w:t>
      </w:r>
      <w:r w:rsidRPr="00617050">
        <w:rPr>
          <w:rFonts w:ascii="Garamond" w:hAnsi="Garamond"/>
          <w:i/>
          <w:iCs/>
        </w:rPr>
        <w:t>364</w:t>
      </w:r>
      <w:r w:rsidRPr="00617050">
        <w:rPr>
          <w:rFonts w:ascii="Garamond" w:hAnsi="Garamond"/>
        </w:rPr>
        <w:t>(6442), 783–786. https://doi.org/10.1126/science.aav4313</w:t>
      </w:r>
    </w:p>
    <w:p w14:paraId="3C891B2A" w14:textId="77777777" w:rsidR="00617050" w:rsidRPr="00617050" w:rsidRDefault="00617050" w:rsidP="00617050">
      <w:pPr>
        <w:pStyle w:val="Bibliography"/>
        <w:rPr>
          <w:rFonts w:ascii="Garamond" w:hAnsi="Garamond"/>
        </w:rPr>
      </w:pPr>
      <w:r w:rsidRPr="00617050">
        <w:rPr>
          <w:rFonts w:ascii="Garamond" w:hAnsi="Garamond"/>
        </w:rPr>
        <w:t xml:space="preserve">Brennan, S. R., Torgersen, C. E., Hollenbeck, J. P., Fernandez, D. P., Jensen, C. K., &amp; Schindler, D. E. (2016). Dendritic network models: Improving isoscapes and quantifying influence of landscape and in-stream processes on strontium isotopes in rivers. </w:t>
      </w:r>
      <w:r w:rsidRPr="00617050">
        <w:rPr>
          <w:rFonts w:ascii="Garamond" w:hAnsi="Garamond"/>
          <w:i/>
          <w:iCs/>
        </w:rPr>
        <w:t>Geophysical Research Letters</w:t>
      </w:r>
      <w:r w:rsidRPr="00617050">
        <w:rPr>
          <w:rFonts w:ascii="Garamond" w:hAnsi="Garamond"/>
        </w:rPr>
        <w:t xml:space="preserve">, </w:t>
      </w:r>
      <w:r w:rsidRPr="00617050">
        <w:rPr>
          <w:rFonts w:ascii="Garamond" w:hAnsi="Garamond"/>
          <w:i/>
          <w:iCs/>
        </w:rPr>
        <w:t>43</w:t>
      </w:r>
      <w:r w:rsidRPr="00617050">
        <w:rPr>
          <w:rFonts w:ascii="Garamond" w:hAnsi="Garamond"/>
        </w:rPr>
        <w:t>(10), 5043–5051. https://doi.org/10.1002/2016GL068904</w:t>
      </w:r>
    </w:p>
    <w:p w14:paraId="72E3E675" w14:textId="77777777" w:rsidR="00617050" w:rsidRPr="00617050" w:rsidRDefault="00617050" w:rsidP="00617050">
      <w:pPr>
        <w:pStyle w:val="Bibliography"/>
        <w:rPr>
          <w:rFonts w:ascii="Garamond" w:hAnsi="Garamond"/>
        </w:rPr>
      </w:pPr>
      <w:r w:rsidRPr="00617050">
        <w:rPr>
          <w:rFonts w:ascii="Garamond" w:hAnsi="Garamond"/>
        </w:rPr>
        <w:t xml:space="preserve">Brennan, S. R., Zimmerman, C. E., Fernandez, D. P., Cerling, T. E., McPhee, M. V., &amp; Wooller, M. J. (2015). Strontium isotopes delineate fine-scale natal origins and migration histories of Pacific salmon. </w:t>
      </w:r>
      <w:r w:rsidRPr="00617050">
        <w:rPr>
          <w:rFonts w:ascii="Garamond" w:hAnsi="Garamond"/>
          <w:i/>
          <w:iCs/>
        </w:rPr>
        <w:t>Science Advances</w:t>
      </w:r>
      <w:r w:rsidRPr="00617050">
        <w:rPr>
          <w:rFonts w:ascii="Garamond" w:hAnsi="Garamond"/>
        </w:rPr>
        <w:t xml:space="preserve">, </w:t>
      </w:r>
      <w:r w:rsidRPr="00617050">
        <w:rPr>
          <w:rFonts w:ascii="Garamond" w:hAnsi="Garamond"/>
          <w:i/>
          <w:iCs/>
        </w:rPr>
        <w:t>1</w:t>
      </w:r>
      <w:r w:rsidRPr="00617050">
        <w:rPr>
          <w:rFonts w:ascii="Garamond" w:hAnsi="Garamond"/>
        </w:rPr>
        <w:t>(4), e1400124. https://doi.org/10.1126/sciadv.1400124</w:t>
      </w:r>
    </w:p>
    <w:p w14:paraId="2C0D0C4B" w14:textId="77777777" w:rsidR="00617050" w:rsidRPr="00617050" w:rsidRDefault="00617050" w:rsidP="00617050">
      <w:pPr>
        <w:pStyle w:val="Bibliography"/>
        <w:rPr>
          <w:rFonts w:ascii="Garamond" w:hAnsi="Garamond"/>
        </w:rPr>
      </w:pPr>
      <w:r w:rsidRPr="00617050">
        <w:rPr>
          <w:rFonts w:ascii="Garamond" w:hAnsi="Garamond"/>
        </w:rPr>
        <w:t xml:space="preserve">Brown, C. L., &amp; Godduhn, A. (2015). </w:t>
      </w:r>
      <w:r w:rsidRPr="00617050">
        <w:rPr>
          <w:rFonts w:ascii="Garamond" w:hAnsi="Garamond"/>
          <w:i/>
          <w:iCs/>
        </w:rPr>
        <w:t>Socioeconomic effects of declining salmon runs on the Yukon River</w:t>
      </w:r>
      <w:r w:rsidRPr="00617050">
        <w:rPr>
          <w:rFonts w:ascii="Garamond" w:hAnsi="Garamond"/>
        </w:rPr>
        <w:t>.</w:t>
      </w:r>
    </w:p>
    <w:p w14:paraId="0B9D6168" w14:textId="77777777" w:rsidR="00617050" w:rsidRPr="00617050" w:rsidRDefault="00617050" w:rsidP="00617050">
      <w:pPr>
        <w:pStyle w:val="Bibliography"/>
        <w:rPr>
          <w:rFonts w:ascii="Garamond" w:hAnsi="Garamond"/>
        </w:rPr>
      </w:pPr>
      <w:r w:rsidRPr="00617050">
        <w:rPr>
          <w:rFonts w:ascii="Garamond" w:hAnsi="Garamond"/>
        </w:rPr>
        <w:t xml:space="preserve">Campana, S. (1999). Chemistry and composition of fish otoliths:pathways, mechanisms and applications. </w:t>
      </w:r>
      <w:r w:rsidRPr="00617050">
        <w:rPr>
          <w:rFonts w:ascii="Garamond" w:hAnsi="Garamond"/>
          <w:i/>
          <w:iCs/>
        </w:rPr>
        <w:t>Marine Ecology Progress Series</w:t>
      </w:r>
      <w:r w:rsidRPr="00617050">
        <w:rPr>
          <w:rFonts w:ascii="Garamond" w:hAnsi="Garamond"/>
        </w:rPr>
        <w:t xml:space="preserve">, </w:t>
      </w:r>
      <w:r w:rsidRPr="00617050">
        <w:rPr>
          <w:rFonts w:ascii="Garamond" w:hAnsi="Garamond"/>
          <w:i/>
          <w:iCs/>
        </w:rPr>
        <w:t>188</w:t>
      </w:r>
      <w:r w:rsidRPr="00617050">
        <w:rPr>
          <w:rFonts w:ascii="Garamond" w:hAnsi="Garamond"/>
        </w:rPr>
        <w:t>, 263–297. https://doi.org/10.3354/meps188263</w:t>
      </w:r>
    </w:p>
    <w:p w14:paraId="2FAE8330" w14:textId="77777777" w:rsidR="00617050" w:rsidRPr="00617050" w:rsidRDefault="00617050" w:rsidP="00617050">
      <w:pPr>
        <w:pStyle w:val="Bibliography"/>
        <w:rPr>
          <w:rFonts w:ascii="Garamond" w:hAnsi="Garamond"/>
        </w:rPr>
      </w:pPr>
      <w:r w:rsidRPr="00617050">
        <w:rPr>
          <w:rFonts w:ascii="Garamond" w:hAnsi="Garamond"/>
        </w:rPr>
        <w:t xml:space="preserve">Capo, R. C., Stewart, B. W., &amp; Chadwick, O. A. (1998). Strontium isotopes as tracers of ecosystem processes: Theory and methods. </w:t>
      </w:r>
      <w:r w:rsidRPr="00617050">
        <w:rPr>
          <w:rFonts w:ascii="Garamond" w:hAnsi="Garamond"/>
          <w:i/>
          <w:iCs/>
        </w:rPr>
        <w:t>Geoderma</w:t>
      </w:r>
      <w:r w:rsidRPr="00617050">
        <w:rPr>
          <w:rFonts w:ascii="Garamond" w:hAnsi="Garamond"/>
        </w:rPr>
        <w:t xml:space="preserve">, </w:t>
      </w:r>
      <w:r w:rsidRPr="00617050">
        <w:rPr>
          <w:rFonts w:ascii="Garamond" w:hAnsi="Garamond"/>
          <w:i/>
          <w:iCs/>
        </w:rPr>
        <w:t>82</w:t>
      </w:r>
      <w:r w:rsidRPr="00617050">
        <w:rPr>
          <w:rFonts w:ascii="Garamond" w:hAnsi="Garamond"/>
        </w:rPr>
        <w:t>(1), 197–225. https://doi.org/10.1016/S0016-7061(97)00102-X</w:t>
      </w:r>
    </w:p>
    <w:p w14:paraId="54EB88F3" w14:textId="77777777" w:rsidR="00617050" w:rsidRPr="00617050" w:rsidRDefault="00617050" w:rsidP="00617050">
      <w:pPr>
        <w:pStyle w:val="Bibliography"/>
        <w:rPr>
          <w:rFonts w:ascii="Garamond" w:hAnsi="Garamond"/>
        </w:rPr>
      </w:pPr>
      <w:r w:rsidRPr="00617050">
        <w:rPr>
          <w:rFonts w:ascii="Garamond" w:hAnsi="Garamond"/>
        </w:rPr>
        <w:t xml:space="preserve">Clark, S. C., Tanner, T. L., Sethi, S. A., Bentley, K. T., &amp; Schindler, D. E. (2015). Migration Timing of Adult Chinook Salmon into the Togiak River, Alaska, Watershed: Is There Evidence for Stock Structure? </w:t>
      </w:r>
      <w:r w:rsidRPr="00617050">
        <w:rPr>
          <w:rFonts w:ascii="Garamond" w:hAnsi="Garamond"/>
          <w:i/>
          <w:iCs/>
        </w:rPr>
        <w:t>Transactions of the American Fisheries Society</w:t>
      </w:r>
      <w:r w:rsidRPr="00617050">
        <w:rPr>
          <w:rFonts w:ascii="Garamond" w:hAnsi="Garamond"/>
        </w:rPr>
        <w:t xml:space="preserve">, </w:t>
      </w:r>
      <w:r w:rsidRPr="00617050">
        <w:rPr>
          <w:rFonts w:ascii="Garamond" w:hAnsi="Garamond"/>
          <w:i/>
          <w:iCs/>
        </w:rPr>
        <w:t>144</w:t>
      </w:r>
      <w:r w:rsidRPr="00617050">
        <w:rPr>
          <w:rFonts w:ascii="Garamond" w:hAnsi="Garamond"/>
        </w:rPr>
        <w:t>(4), 829–836. https://doi.org/10.1080/00028487.2015.1031281</w:t>
      </w:r>
    </w:p>
    <w:p w14:paraId="6AF1BB2D" w14:textId="77777777" w:rsidR="00617050" w:rsidRPr="00617050" w:rsidRDefault="00617050" w:rsidP="00617050">
      <w:pPr>
        <w:pStyle w:val="Bibliography"/>
        <w:rPr>
          <w:rFonts w:ascii="Garamond" w:hAnsi="Garamond"/>
        </w:rPr>
      </w:pPr>
      <w:r w:rsidRPr="00617050">
        <w:rPr>
          <w:rFonts w:ascii="Garamond" w:hAnsi="Garamond"/>
        </w:rPr>
        <w:t xml:space="preserve">Cline, T. J., Schindler, D. E., &amp; Hilborn, R. (2017). Fisheries portfolio diversification and turnover buffer Alaskan fishing communities from abrupt resource and market changes. </w:t>
      </w:r>
      <w:r w:rsidRPr="00617050">
        <w:rPr>
          <w:rFonts w:ascii="Garamond" w:hAnsi="Garamond"/>
          <w:i/>
          <w:iCs/>
        </w:rPr>
        <w:t>Nature Communications</w:t>
      </w:r>
      <w:r w:rsidRPr="00617050">
        <w:rPr>
          <w:rFonts w:ascii="Garamond" w:hAnsi="Garamond"/>
        </w:rPr>
        <w:t xml:space="preserve">, </w:t>
      </w:r>
      <w:r w:rsidRPr="00617050">
        <w:rPr>
          <w:rFonts w:ascii="Garamond" w:hAnsi="Garamond"/>
          <w:i/>
          <w:iCs/>
        </w:rPr>
        <w:t>8</w:t>
      </w:r>
      <w:r w:rsidRPr="00617050">
        <w:rPr>
          <w:rFonts w:ascii="Garamond" w:hAnsi="Garamond"/>
        </w:rPr>
        <w:t>(1), Article 1. https://doi.org/10.1038/ncomms14042</w:t>
      </w:r>
    </w:p>
    <w:p w14:paraId="56A69293" w14:textId="77777777" w:rsidR="00617050" w:rsidRPr="00617050" w:rsidRDefault="00617050" w:rsidP="00617050">
      <w:pPr>
        <w:pStyle w:val="Bibliography"/>
        <w:rPr>
          <w:rFonts w:ascii="Garamond" w:hAnsi="Garamond"/>
        </w:rPr>
      </w:pPr>
      <w:r w:rsidRPr="00617050">
        <w:rPr>
          <w:rFonts w:ascii="Garamond" w:hAnsi="Garamond"/>
        </w:rPr>
        <w:lastRenderedPageBreak/>
        <w:t xml:space="preserve">Connors, B. M., Siegle, M. R., Harding, J., Rossi, S., Staton, B. A., Jones, M. L., Bradford, M. J., Brown, R., Bechtol, B., Doherty, B., Cox, S., &amp; Sutherland, B. J. G. (2022). Chinook salmon diversity contributes to fishery stability and trade-offs with mixed-stock harvest. </w:t>
      </w:r>
      <w:r w:rsidRPr="00617050">
        <w:rPr>
          <w:rFonts w:ascii="Garamond" w:hAnsi="Garamond"/>
          <w:i/>
          <w:iCs/>
        </w:rPr>
        <w:t>Ecological Applications</w:t>
      </w:r>
      <w:r w:rsidRPr="00617050">
        <w:rPr>
          <w:rFonts w:ascii="Garamond" w:hAnsi="Garamond"/>
        </w:rPr>
        <w:t xml:space="preserve">, </w:t>
      </w:r>
      <w:r w:rsidRPr="00617050">
        <w:rPr>
          <w:rFonts w:ascii="Garamond" w:hAnsi="Garamond"/>
          <w:i/>
          <w:iCs/>
        </w:rPr>
        <w:t>32</w:t>
      </w:r>
      <w:r w:rsidRPr="00617050">
        <w:rPr>
          <w:rFonts w:ascii="Garamond" w:hAnsi="Garamond"/>
        </w:rPr>
        <w:t>(8), e2709. https://doi.org/10.1002/eap.2709</w:t>
      </w:r>
    </w:p>
    <w:p w14:paraId="4F51FA87" w14:textId="77777777" w:rsidR="00617050" w:rsidRPr="00617050" w:rsidRDefault="00617050" w:rsidP="00617050">
      <w:pPr>
        <w:pStyle w:val="Bibliography"/>
        <w:rPr>
          <w:rFonts w:ascii="Garamond" w:hAnsi="Garamond"/>
        </w:rPr>
      </w:pPr>
      <w:r w:rsidRPr="00617050">
        <w:rPr>
          <w:rFonts w:ascii="Garamond" w:hAnsi="Garamond"/>
        </w:rPr>
        <w:t xml:space="preserve">Connors, B. M., Staton, B., Coggins, L., Walters, C., Jones, M., Gwinn, D., Catalano, M., &amp; Fleischman, S. (2020). Incorporating harvest–population diversity trade-offs into harvest policy analyses of salmon management in large river basins. </w:t>
      </w:r>
      <w:r w:rsidRPr="00617050">
        <w:rPr>
          <w:rFonts w:ascii="Garamond" w:hAnsi="Garamond"/>
          <w:i/>
          <w:iCs/>
        </w:rPr>
        <w:t>Canadian Journal of Fisheries and Aquatic Sciences</w:t>
      </w:r>
      <w:r w:rsidRPr="00617050">
        <w:rPr>
          <w:rFonts w:ascii="Garamond" w:hAnsi="Garamond"/>
        </w:rPr>
        <w:t xml:space="preserve">, </w:t>
      </w:r>
      <w:r w:rsidRPr="00617050">
        <w:rPr>
          <w:rFonts w:ascii="Garamond" w:hAnsi="Garamond"/>
          <w:i/>
          <w:iCs/>
        </w:rPr>
        <w:t>77</w:t>
      </w:r>
      <w:r w:rsidRPr="00617050">
        <w:rPr>
          <w:rFonts w:ascii="Garamond" w:hAnsi="Garamond"/>
        </w:rPr>
        <w:t>(6), 1076–1089. https://doi.org/10.1139/cjfas-2019-0282</w:t>
      </w:r>
    </w:p>
    <w:p w14:paraId="1704E0D1" w14:textId="77777777" w:rsidR="00617050" w:rsidRPr="00617050" w:rsidRDefault="00617050" w:rsidP="00617050">
      <w:pPr>
        <w:pStyle w:val="Bibliography"/>
        <w:rPr>
          <w:rFonts w:ascii="Garamond" w:hAnsi="Garamond"/>
        </w:rPr>
      </w:pPr>
      <w:r w:rsidRPr="00617050">
        <w:rPr>
          <w:rFonts w:ascii="Garamond" w:hAnsi="Garamond"/>
        </w:rPr>
        <w:t xml:space="preserve">Donohoe, C. J., &amp; Zimmerman, C. E. (2010). A method of mounting multiple otoliths for beam-based microchemical analyses. </w:t>
      </w:r>
      <w:r w:rsidRPr="00617050">
        <w:rPr>
          <w:rFonts w:ascii="Garamond" w:hAnsi="Garamond"/>
          <w:i/>
          <w:iCs/>
        </w:rPr>
        <w:t>Environmental Biology of Fishes</w:t>
      </w:r>
      <w:r w:rsidRPr="00617050">
        <w:rPr>
          <w:rFonts w:ascii="Garamond" w:hAnsi="Garamond"/>
        </w:rPr>
        <w:t xml:space="preserve">, </w:t>
      </w:r>
      <w:r w:rsidRPr="00617050">
        <w:rPr>
          <w:rFonts w:ascii="Garamond" w:hAnsi="Garamond"/>
          <w:i/>
          <w:iCs/>
        </w:rPr>
        <w:t>89</w:t>
      </w:r>
      <w:r w:rsidRPr="00617050">
        <w:rPr>
          <w:rFonts w:ascii="Garamond" w:hAnsi="Garamond"/>
        </w:rPr>
        <w:t>(3), 473–477. https://doi.org/10.1007/s10641-010-9680-3</w:t>
      </w:r>
    </w:p>
    <w:p w14:paraId="31316840" w14:textId="77777777" w:rsidR="00617050" w:rsidRPr="00617050" w:rsidRDefault="00617050" w:rsidP="00617050">
      <w:pPr>
        <w:pStyle w:val="Bibliography"/>
        <w:rPr>
          <w:rFonts w:ascii="Garamond" w:hAnsi="Garamond"/>
        </w:rPr>
      </w:pPr>
      <w:r w:rsidRPr="00617050">
        <w:rPr>
          <w:rFonts w:ascii="Garamond" w:hAnsi="Garamond"/>
        </w:rPr>
        <w:t xml:space="preserve">Falke, &amp; Paul. (2025). </w:t>
      </w:r>
      <w:r w:rsidRPr="00617050">
        <w:rPr>
          <w:rFonts w:ascii="Garamond" w:hAnsi="Garamond"/>
          <w:i/>
          <w:iCs/>
        </w:rPr>
        <w:t>Stream Attributes and Habitat Intrinsic Potential Model Results to examine Freshwater Habitat Potential for Chinook Salmon in the Yukon and Kuskokwim River Basins, Alaska</w:t>
      </w:r>
      <w:r w:rsidRPr="00617050">
        <w:rPr>
          <w:rFonts w:ascii="Garamond" w:hAnsi="Garamond"/>
        </w:rPr>
        <w:t xml:space="preserve"> [Csv,xml,shp]. U.S. Geological Survey. https://doi.org/10.5066/P95AV4JO</w:t>
      </w:r>
    </w:p>
    <w:p w14:paraId="4F792D2D" w14:textId="77777777" w:rsidR="00617050" w:rsidRPr="00617050" w:rsidRDefault="00617050" w:rsidP="00617050">
      <w:pPr>
        <w:pStyle w:val="Bibliography"/>
        <w:rPr>
          <w:rFonts w:ascii="Garamond" w:hAnsi="Garamond"/>
        </w:rPr>
      </w:pPr>
      <w:r w:rsidRPr="00617050">
        <w:rPr>
          <w:rFonts w:ascii="Garamond" w:hAnsi="Garamond"/>
        </w:rPr>
        <w:t xml:space="preserve">Griffiths, J. R., Schindler, D. E., Armstrong, J. B., Scheuerell, M. D., Whited, D. C., Clark, R. A., Hilborn, R., Holt, C. A., Lindley, S. T., Stanford, J. A., &amp; Volk, E. C. (2014). Performance of salmon fishery portfolios across western North America. </w:t>
      </w:r>
      <w:r w:rsidRPr="00617050">
        <w:rPr>
          <w:rFonts w:ascii="Garamond" w:hAnsi="Garamond"/>
          <w:i/>
          <w:iCs/>
        </w:rPr>
        <w:t>JOURNAL OF APPLIED ECOLOGY</w:t>
      </w:r>
      <w:r w:rsidRPr="00617050">
        <w:rPr>
          <w:rFonts w:ascii="Garamond" w:hAnsi="Garamond"/>
        </w:rPr>
        <w:t xml:space="preserve">, </w:t>
      </w:r>
      <w:r w:rsidRPr="00617050">
        <w:rPr>
          <w:rFonts w:ascii="Garamond" w:hAnsi="Garamond"/>
          <w:i/>
          <w:iCs/>
        </w:rPr>
        <w:t>51</w:t>
      </w:r>
      <w:r w:rsidRPr="00617050">
        <w:rPr>
          <w:rFonts w:ascii="Garamond" w:hAnsi="Garamond"/>
        </w:rPr>
        <w:t>(6), 1554–1563. https://doi.org/10.1111/1365-2664.12341</w:t>
      </w:r>
    </w:p>
    <w:p w14:paraId="76C6ED96" w14:textId="77777777" w:rsidR="00617050" w:rsidRPr="00617050" w:rsidRDefault="00617050" w:rsidP="00617050">
      <w:pPr>
        <w:pStyle w:val="Bibliography"/>
        <w:rPr>
          <w:rFonts w:ascii="Garamond" w:hAnsi="Garamond"/>
        </w:rPr>
      </w:pPr>
      <w:r w:rsidRPr="00617050">
        <w:rPr>
          <w:rFonts w:ascii="Garamond" w:hAnsi="Garamond"/>
        </w:rPr>
        <w:t xml:space="preserve">Lamborn, C. C., Ohlberger, J., Walsworth, T. E., Westley, P. A. H., Cunningham, C. J., Wynsma, S., &amp; Smith, J. W. (2025). A Synthesis of Factors Related to Trends in Abundance and Demography of Alaska Chinook Salmon (Oncorhynchus tshawytscha, Salmonidae): Implications for Research, Management, and Policy. </w:t>
      </w:r>
      <w:r w:rsidRPr="00617050">
        <w:rPr>
          <w:rFonts w:ascii="Garamond" w:hAnsi="Garamond"/>
          <w:i/>
          <w:iCs/>
        </w:rPr>
        <w:t>Fish and Fisheries</w:t>
      </w:r>
      <w:r w:rsidRPr="00617050">
        <w:rPr>
          <w:rFonts w:ascii="Garamond" w:hAnsi="Garamond"/>
        </w:rPr>
        <w:t xml:space="preserve">, </w:t>
      </w:r>
      <w:r w:rsidRPr="00617050">
        <w:rPr>
          <w:rFonts w:ascii="Garamond" w:hAnsi="Garamond"/>
          <w:i/>
          <w:iCs/>
        </w:rPr>
        <w:t>n/a</w:t>
      </w:r>
      <w:r w:rsidRPr="00617050">
        <w:rPr>
          <w:rFonts w:ascii="Garamond" w:hAnsi="Garamond"/>
        </w:rPr>
        <w:t>(n/a). https://doi.org/10.1111/faf.12895</w:t>
      </w:r>
    </w:p>
    <w:p w14:paraId="48959651" w14:textId="77777777" w:rsidR="00617050" w:rsidRPr="00617050" w:rsidRDefault="00617050" w:rsidP="00617050">
      <w:pPr>
        <w:pStyle w:val="Bibliography"/>
        <w:rPr>
          <w:rFonts w:ascii="Garamond" w:hAnsi="Garamond"/>
        </w:rPr>
      </w:pPr>
      <w:r w:rsidRPr="00617050">
        <w:rPr>
          <w:rFonts w:ascii="Garamond" w:hAnsi="Garamond"/>
        </w:rPr>
        <w:lastRenderedPageBreak/>
        <w:t xml:space="preserve">Makhlouf, B., Cline, T. J., Fernandez, D., Seeb, L., Lee, E., Gilk-Baumer, S., Whited, D., Zimmerman, C. E., &amp; Schindler, D. E. (2025). Combining genetic and isotope frameworks improves reconstruction of fish provenance across riverscapes. </w:t>
      </w:r>
      <w:r w:rsidRPr="00617050">
        <w:rPr>
          <w:rFonts w:ascii="Garamond" w:hAnsi="Garamond"/>
          <w:i/>
          <w:iCs/>
        </w:rPr>
        <w:t>Limnology and Oceanography Letters</w:t>
      </w:r>
      <w:r w:rsidRPr="00617050">
        <w:rPr>
          <w:rFonts w:ascii="Garamond" w:hAnsi="Garamond"/>
        </w:rPr>
        <w:t xml:space="preserve">, </w:t>
      </w:r>
      <w:r w:rsidRPr="00617050">
        <w:rPr>
          <w:rFonts w:ascii="Garamond" w:hAnsi="Garamond"/>
          <w:i/>
          <w:iCs/>
        </w:rPr>
        <w:t>n/a</w:t>
      </w:r>
      <w:r w:rsidRPr="00617050">
        <w:rPr>
          <w:rFonts w:ascii="Garamond" w:hAnsi="Garamond"/>
        </w:rPr>
        <w:t>(n/a). https://doi.org/10.1002/lol2.70025</w:t>
      </w:r>
    </w:p>
    <w:p w14:paraId="2DB480D0" w14:textId="77777777" w:rsidR="00617050" w:rsidRPr="00617050" w:rsidRDefault="00617050" w:rsidP="00617050">
      <w:pPr>
        <w:pStyle w:val="Bibliography"/>
        <w:rPr>
          <w:rFonts w:ascii="Garamond" w:hAnsi="Garamond"/>
        </w:rPr>
      </w:pPr>
      <w:r w:rsidRPr="00617050">
        <w:rPr>
          <w:rFonts w:ascii="Garamond" w:hAnsi="Garamond"/>
        </w:rPr>
        <w:t xml:space="preserve">Markowitz, H. (1952). Portfolio Selection. </w:t>
      </w:r>
      <w:r w:rsidRPr="00617050">
        <w:rPr>
          <w:rFonts w:ascii="Garamond" w:hAnsi="Garamond"/>
          <w:i/>
          <w:iCs/>
        </w:rPr>
        <w:t>The Journal of Finance</w:t>
      </w:r>
      <w:r w:rsidRPr="00617050">
        <w:rPr>
          <w:rFonts w:ascii="Garamond" w:hAnsi="Garamond"/>
        </w:rPr>
        <w:t xml:space="preserve">, </w:t>
      </w:r>
      <w:r w:rsidRPr="00617050">
        <w:rPr>
          <w:rFonts w:ascii="Garamond" w:hAnsi="Garamond"/>
          <w:i/>
          <w:iCs/>
        </w:rPr>
        <w:t>7</w:t>
      </w:r>
      <w:r w:rsidRPr="00617050">
        <w:rPr>
          <w:rFonts w:ascii="Garamond" w:hAnsi="Garamond"/>
        </w:rPr>
        <w:t>(1), 77–91. https://doi.org/10.2307/2975974</w:t>
      </w:r>
    </w:p>
    <w:p w14:paraId="00BE67CF" w14:textId="77777777" w:rsidR="00617050" w:rsidRPr="00617050" w:rsidRDefault="00617050" w:rsidP="00617050">
      <w:pPr>
        <w:pStyle w:val="Bibliography"/>
        <w:rPr>
          <w:rFonts w:ascii="Garamond" w:hAnsi="Garamond"/>
        </w:rPr>
      </w:pPr>
      <w:r w:rsidRPr="00617050">
        <w:rPr>
          <w:rFonts w:ascii="Garamond" w:hAnsi="Garamond"/>
        </w:rPr>
        <w:t xml:space="preserve">Murdoch, A., Connors, B. M., Lapointe, N. W. R., Flemming, J. M., Cooke, S. J., &amp; Mantyka-Pringle, C. (2024). Multiple environmental drivers across life stages influence Yukon River Chinook salmon productivity. </w:t>
      </w:r>
      <w:r w:rsidRPr="00617050">
        <w:rPr>
          <w:rFonts w:ascii="Garamond" w:hAnsi="Garamond"/>
          <w:i/>
          <w:iCs/>
        </w:rPr>
        <w:t>CANADIAN JOURNAL OF FISHERIES AND AQUATIC SCIENCES</w:t>
      </w:r>
      <w:r w:rsidRPr="00617050">
        <w:rPr>
          <w:rFonts w:ascii="Garamond" w:hAnsi="Garamond"/>
        </w:rPr>
        <w:t xml:space="preserve">, </w:t>
      </w:r>
      <w:r w:rsidRPr="00617050">
        <w:rPr>
          <w:rFonts w:ascii="Garamond" w:hAnsi="Garamond"/>
          <w:i/>
          <w:iCs/>
        </w:rPr>
        <w:t>81</w:t>
      </w:r>
      <w:r w:rsidRPr="00617050">
        <w:rPr>
          <w:rFonts w:ascii="Garamond" w:hAnsi="Garamond"/>
        </w:rPr>
        <w:t>(1), 97–114. https://doi.org/10.1139/cjfas-2022-0254</w:t>
      </w:r>
    </w:p>
    <w:p w14:paraId="23A1252D" w14:textId="77777777" w:rsidR="00617050" w:rsidRPr="00617050" w:rsidRDefault="00617050" w:rsidP="00617050">
      <w:pPr>
        <w:pStyle w:val="Bibliography"/>
        <w:rPr>
          <w:rFonts w:ascii="Garamond" w:hAnsi="Garamond"/>
        </w:rPr>
      </w:pPr>
      <w:r w:rsidRPr="00617050">
        <w:rPr>
          <w:rFonts w:ascii="Garamond" w:hAnsi="Garamond"/>
        </w:rPr>
        <w:t xml:space="preserve">Nesbitt, H. K., &amp; Moore, J. W. (2016). Species and population diversity in Pacific salmon fisheries underpin indigenous food security. </w:t>
      </w:r>
      <w:r w:rsidRPr="00617050">
        <w:rPr>
          <w:rFonts w:ascii="Garamond" w:hAnsi="Garamond"/>
          <w:i/>
          <w:iCs/>
        </w:rPr>
        <w:t>Journal of Applied Ecology</w:t>
      </w:r>
      <w:r w:rsidRPr="00617050">
        <w:rPr>
          <w:rFonts w:ascii="Garamond" w:hAnsi="Garamond"/>
        </w:rPr>
        <w:t xml:space="preserve">, </w:t>
      </w:r>
      <w:r w:rsidRPr="00617050">
        <w:rPr>
          <w:rFonts w:ascii="Garamond" w:hAnsi="Garamond"/>
          <w:i/>
          <w:iCs/>
        </w:rPr>
        <w:t>53</w:t>
      </w:r>
      <w:r w:rsidRPr="00617050">
        <w:rPr>
          <w:rFonts w:ascii="Garamond" w:hAnsi="Garamond"/>
        </w:rPr>
        <w:t>(5), 1489–1499. https://doi.org/10.1111/1365-2664.12717</w:t>
      </w:r>
    </w:p>
    <w:p w14:paraId="781BF2EE" w14:textId="77777777" w:rsidR="00617050" w:rsidRPr="00617050" w:rsidRDefault="00617050" w:rsidP="00617050">
      <w:pPr>
        <w:pStyle w:val="Bibliography"/>
        <w:rPr>
          <w:rFonts w:ascii="Garamond" w:hAnsi="Garamond"/>
        </w:rPr>
      </w:pPr>
      <w:r w:rsidRPr="00617050">
        <w:rPr>
          <w:rFonts w:ascii="Garamond" w:hAnsi="Garamond"/>
        </w:rPr>
        <w:t xml:space="preserve">Ohlberger, J., Scheuerell, M. D., &amp; Schindler, D. E. (2016). Population coherence and environmental impacts across spatial scales: A case study of Chinook salmon. </w:t>
      </w:r>
      <w:r w:rsidRPr="00617050">
        <w:rPr>
          <w:rFonts w:ascii="Garamond" w:hAnsi="Garamond"/>
          <w:i/>
          <w:iCs/>
        </w:rPr>
        <w:t>Ecosphere</w:t>
      </w:r>
      <w:r w:rsidRPr="00617050">
        <w:rPr>
          <w:rFonts w:ascii="Garamond" w:hAnsi="Garamond"/>
        </w:rPr>
        <w:t xml:space="preserve">, </w:t>
      </w:r>
      <w:r w:rsidRPr="00617050">
        <w:rPr>
          <w:rFonts w:ascii="Garamond" w:hAnsi="Garamond"/>
          <w:i/>
          <w:iCs/>
        </w:rPr>
        <w:t>7</w:t>
      </w:r>
      <w:r w:rsidRPr="00617050">
        <w:rPr>
          <w:rFonts w:ascii="Garamond" w:hAnsi="Garamond"/>
        </w:rPr>
        <w:t>(4), e01333. https://doi.org/10.1002/ecs2.1333</w:t>
      </w:r>
    </w:p>
    <w:p w14:paraId="63439A05" w14:textId="77777777" w:rsidR="00617050" w:rsidRPr="00617050" w:rsidRDefault="00617050" w:rsidP="00617050">
      <w:pPr>
        <w:pStyle w:val="Bibliography"/>
        <w:rPr>
          <w:rFonts w:ascii="Garamond" w:hAnsi="Garamond"/>
        </w:rPr>
      </w:pPr>
      <w:r w:rsidRPr="00617050">
        <w:rPr>
          <w:rFonts w:ascii="Garamond" w:hAnsi="Garamond"/>
        </w:rPr>
        <w:t xml:space="preserve">Ohlberger, J., Ward, E. J., Schindler, D. E., &amp; Lewis, B. (2018). Demographic changes in Chinook salmon across the Northeast Pacific Ocean. </w:t>
      </w:r>
      <w:r w:rsidRPr="00617050">
        <w:rPr>
          <w:rFonts w:ascii="Garamond" w:hAnsi="Garamond"/>
          <w:i/>
          <w:iCs/>
        </w:rPr>
        <w:t>Fish and Fisheries</w:t>
      </w:r>
      <w:r w:rsidRPr="00617050">
        <w:rPr>
          <w:rFonts w:ascii="Garamond" w:hAnsi="Garamond"/>
        </w:rPr>
        <w:t xml:space="preserve">, </w:t>
      </w:r>
      <w:r w:rsidRPr="00617050">
        <w:rPr>
          <w:rFonts w:ascii="Garamond" w:hAnsi="Garamond"/>
          <w:i/>
          <w:iCs/>
        </w:rPr>
        <w:t>19</w:t>
      </w:r>
      <w:r w:rsidRPr="00617050">
        <w:rPr>
          <w:rFonts w:ascii="Garamond" w:hAnsi="Garamond"/>
        </w:rPr>
        <w:t>(3), 533–546. https://doi.org/10.1111/faf.12272</w:t>
      </w:r>
    </w:p>
    <w:p w14:paraId="33789625" w14:textId="77777777" w:rsidR="00617050" w:rsidRPr="00617050" w:rsidRDefault="00617050" w:rsidP="00617050">
      <w:pPr>
        <w:pStyle w:val="Bibliography"/>
        <w:rPr>
          <w:rFonts w:ascii="Garamond" w:hAnsi="Garamond"/>
        </w:rPr>
      </w:pPr>
      <w:r w:rsidRPr="00617050">
        <w:rPr>
          <w:rFonts w:ascii="Garamond" w:hAnsi="Garamond"/>
        </w:rPr>
        <w:t xml:space="preserve">Schindler, D. E., Armstrong, J. B., &amp; Reed, T. E. (2015). The portfolio concept in ecology and evolution. </w:t>
      </w:r>
      <w:r w:rsidRPr="00617050">
        <w:rPr>
          <w:rFonts w:ascii="Garamond" w:hAnsi="Garamond"/>
          <w:i/>
          <w:iCs/>
        </w:rPr>
        <w:t>Frontiers in Ecology and the Environment</w:t>
      </w:r>
      <w:r w:rsidRPr="00617050">
        <w:rPr>
          <w:rFonts w:ascii="Garamond" w:hAnsi="Garamond"/>
        </w:rPr>
        <w:t xml:space="preserve">, </w:t>
      </w:r>
      <w:r w:rsidRPr="00617050">
        <w:rPr>
          <w:rFonts w:ascii="Garamond" w:hAnsi="Garamond"/>
          <w:i/>
          <w:iCs/>
        </w:rPr>
        <w:t>13</w:t>
      </w:r>
      <w:r w:rsidRPr="00617050">
        <w:rPr>
          <w:rFonts w:ascii="Garamond" w:hAnsi="Garamond"/>
        </w:rPr>
        <w:t>(5), 257–263.</w:t>
      </w:r>
    </w:p>
    <w:p w14:paraId="3424EB99" w14:textId="77777777" w:rsidR="00617050" w:rsidRPr="00617050" w:rsidRDefault="00617050" w:rsidP="00617050">
      <w:pPr>
        <w:pStyle w:val="Bibliography"/>
        <w:rPr>
          <w:rFonts w:ascii="Garamond" w:hAnsi="Garamond"/>
        </w:rPr>
      </w:pPr>
      <w:r w:rsidRPr="00617050">
        <w:rPr>
          <w:rFonts w:ascii="Garamond" w:hAnsi="Garamond"/>
        </w:rPr>
        <w:t xml:space="preserve">Schindler, D. E., Hilborn, R., Chasco, B., Boatright, C. P., Quinn, T. P., Rogers, L. A., &amp; Webster, M. S. (2010). Population diversity and the portfolio effect in an exploited species. </w:t>
      </w:r>
      <w:r w:rsidRPr="00617050">
        <w:rPr>
          <w:rFonts w:ascii="Garamond" w:hAnsi="Garamond"/>
          <w:i/>
          <w:iCs/>
        </w:rPr>
        <w:t>Nature</w:t>
      </w:r>
      <w:r w:rsidRPr="00617050">
        <w:rPr>
          <w:rFonts w:ascii="Garamond" w:hAnsi="Garamond"/>
        </w:rPr>
        <w:t xml:space="preserve">, </w:t>
      </w:r>
      <w:r w:rsidRPr="00617050">
        <w:rPr>
          <w:rFonts w:ascii="Garamond" w:hAnsi="Garamond"/>
          <w:i/>
          <w:iCs/>
        </w:rPr>
        <w:t>465</w:t>
      </w:r>
      <w:r w:rsidRPr="00617050">
        <w:rPr>
          <w:rFonts w:ascii="Garamond" w:hAnsi="Garamond"/>
        </w:rPr>
        <w:t>(7298). https://doi-org.prox.lib.ncsu.edu/10.1038/nature09060</w:t>
      </w:r>
    </w:p>
    <w:p w14:paraId="076F247A" w14:textId="77777777" w:rsidR="00617050" w:rsidRPr="00617050" w:rsidRDefault="00617050" w:rsidP="00617050">
      <w:pPr>
        <w:pStyle w:val="Bibliography"/>
        <w:rPr>
          <w:rFonts w:ascii="Garamond" w:hAnsi="Garamond"/>
        </w:rPr>
      </w:pPr>
      <w:r w:rsidRPr="00617050">
        <w:rPr>
          <w:rFonts w:ascii="Garamond" w:hAnsi="Garamond"/>
        </w:rPr>
        <w:lastRenderedPageBreak/>
        <w:t xml:space="preserve">Ver Hoef, J. M., &amp; Peterson, E. E. (2010). A Moving Average Approach for Spatial Statistical Models of Stream Networks. </w:t>
      </w:r>
      <w:r w:rsidRPr="00617050">
        <w:rPr>
          <w:rFonts w:ascii="Garamond" w:hAnsi="Garamond"/>
          <w:i/>
          <w:iCs/>
        </w:rPr>
        <w:t>Journal of the American Statistical Association</w:t>
      </w:r>
      <w:r w:rsidRPr="00617050">
        <w:rPr>
          <w:rFonts w:ascii="Garamond" w:hAnsi="Garamond"/>
        </w:rPr>
        <w:t xml:space="preserve">, </w:t>
      </w:r>
      <w:r w:rsidRPr="00617050">
        <w:rPr>
          <w:rFonts w:ascii="Garamond" w:hAnsi="Garamond"/>
          <w:i/>
          <w:iCs/>
        </w:rPr>
        <w:t>105</w:t>
      </w:r>
      <w:r w:rsidRPr="00617050">
        <w:rPr>
          <w:rFonts w:ascii="Garamond" w:hAnsi="Garamond"/>
        </w:rPr>
        <w:t>(489), 6–18. https://doi.org/10.1198/jasa.2009.ap08248</w:t>
      </w:r>
    </w:p>
    <w:p w14:paraId="4DD71245" w14:textId="77777777" w:rsidR="00617050" w:rsidRPr="00617050" w:rsidRDefault="00617050" w:rsidP="00617050">
      <w:pPr>
        <w:pStyle w:val="Bibliography"/>
        <w:rPr>
          <w:rFonts w:ascii="Garamond" w:hAnsi="Garamond"/>
        </w:rPr>
      </w:pPr>
      <w:r w:rsidRPr="00617050">
        <w:rPr>
          <w:rFonts w:ascii="Garamond" w:hAnsi="Garamond"/>
        </w:rPr>
        <w:t xml:space="preserve">Wunder, M. B. (2010). Using Isoscapes to Model Probability Surfaces for Determining Geographic Origins. In J. B. West, G. J. Bowen, T. E. Dawson, &amp; K. P. Tu (Eds.), </w:t>
      </w:r>
      <w:r w:rsidRPr="00617050">
        <w:rPr>
          <w:rFonts w:ascii="Garamond" w:hAnsi="Garamond"/>
          <w:i/>
          <w:iCs/>
        </w:rPr>
        <w:t>Isoscapes</w:t>
      </w:r>
      <w:r w:rsidRPr="00617050">
        <w:rPr>
          <w:rFonts w:ascii="Garamond" w:hAnsi="Garamond"/>
        </w:rPr>
        <w:t xml:space="preserve"> (pp. 251–270). Springer Netherlands. https://doi.org/10.1007/978-90-481-3354-3_12</w:t>
      </w:r>
    </w:p>
    <w:p w14:paraId="4EE4B283" w14:textId="77777777" w:rsidR="00617050" w:rsidRPr="00617050" w:rsidRDefault="00617050" w:rsidP="00617050">
      <w:pPr>
        <w:pStyle w:val="Bibliography"/>
        <w:rPr>
          <w:rFonts w:ascii="Garamond" w:hAnsi="Garamond"/>
        </w:rPr>
      </w:pPr>
      <w:r w:rsidRPr="00617050">
        <w:rPr>
          <w:rFonts w:ascii="Garamond" w:hAnsi="Garamond"/>
        </w:rPr>
        <w:t xml:space="preserve">Zimmerman, C. E., &amp; Reeves, G. H. (2002). Identification of Steelhead and Resident Rainbow Trout Progeny in the Deschutes River, Oregon, Revealed with Otolith Microchemistry. </w:t>
      </w:r>
      <w:r w:rsidRPr="00617050">
        <w:rPr>
          <w:rFonts w:ascii="Garamond" w:hAnsi="Garamond"/>
          <w:i/>
          <w:iCs/>
        </w:rPr>
        <w:t>Transactions of the American Fisheries Society</w:t>
      </w:r>
      <w:r w:rsidRPr="00617050">
        <w:rPr>
          <w:rFonts w:ascii="Garamond" w:hAnsi="Garamond"/>
        </w:rPr>
        <w:t xml:space="preserve">, </w:t>
      </w:r>
      <w:r w:rsidRPr="00617050">
        <w:rPr>
          <w:rFonts w:ascii="Garamond" w:hAnsi="Garamond"/>
          <w:i/>
          <w:iCs/>
        </w:rPr>
        <w:t>131</w:t>
      </w:r>
      <w:r w:rsidRPr="00617050">
        <w:rPr>
          <w:rFonts w:ascii="Garamond" w:hAnsi="Garamond"/>
        </w:rPr>
        <w:t>(5), 986–993. https://doi.org/10.1577/1548-8659(2002)131&lt;0986:IOSARR&gt;2.0.CO;2</w:t>
      </w:r>
    </w:p>
    <w:p w14:paraId="39D926B2" w14:textId="6ED86BC4" w:rsidR="00BB7183" w:rsidRPr="007168FB" w:rsidRDefault="00BB7183" w:rsidP="005C3605">
      <w:pPr>
        <w:spacing w:line="480" w:lineRule="auto"/>
        <w:rPr>
          <w:rFonts w:ascii="Garamond" w:hAnsi="Garamond"/>
        </w:rPr>
      </w:pPr>
      <w:r w:rsidRPr="007168FB">
        <w:rPr>
          <w:rFonts w:ascii="Garamond" w:hAnsi="Garamond"/>
        </w:rPr>
        <w:fldChar w:fldCharType="end"/>
      </w:r>
    </w:p>
    <w:sectPr w:rsidR="00BB7183" w:rsidRPr="007168FB" w:rsidSect="005C3605">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49BD7" w14:textId="77777777" w:rsidR="000A0041" w:rsidRDefault="000A0041" w:rsidP="005C3605">
      <w:pPr>
        <w:spacing w:after="0" w:line="240" w:lineRule="auto"/>
      </w:pPr>
      <w:r>
        <w:separator/>
      </w:r>
    </w:p>
  </w:endnote>
  <w:endnote w:type="continuationSeparator" w:id="0">
    <w:p w14:paraId="613687BF" w14:textId="77777777" w:rsidR="000A0041" w:rsidRDefault="000A0041" w:rsidP="005C3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1923762"/>
      <w:docPartObj>
        <w:docPartGallery w:val="Page Numbers (Bottom of Page)"/>
        <w:docPartUnique/>
      </w:docPartObj>
    </w:sdtPr>
    <w:sdtContent>
      <w:p w14:paraId="33A638A6" w14:textId="19D630D1" w:rsidR="005C3605" w:rsidRDefault="005C3605" w:rsidP="009E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33216ED" w14:textId="77777777" w:rsidR="005C3605" w:rsidRDefault="005C3605" w:rsidP="005C36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0426579"/>
      <w:docPartObj>
        <w:docPartGallery w:val="Page Numbers (Bottom of Page)"/>
        <w:docPartUnique/>
      </w:docPartObj>
    </w:sdtPr>
    <w:sdtContent>
      <w:p w14:paraId="0DBFDD98" w14:textId="43F31A37" w:rsidR="005C3605" w:rsidRDefault="005C3605" w:rsidP="009E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29C037" w14:textId="77777777" w:rsidR="005C3605" w:rsidRDefault="005C3605" w:rsidP="005C36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86806" w14:textId="77777777" w:rsidR="000A0041" w:rsidRDefault="000A0041" w:rsidP="005C3605">
      <w:pPr>
        <w:spacing w:after="0" w:line="240" w:lineRule="auto"/>
      </w:pPr>
      <w:r>
        <w:separator/>
      </w:r>
    </w:p>
  </w:footnote>
  <w:footnote w:type="continuationSeparator" w:id="0">
    <w:p w14:paraId="5A5B8DC0" w14:textId="77777777" w:rsidR="000A0041" w:rsidRDefault="000A0041" w:rsidP="005C3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20A01"/>
    <w:multiLevelType w:val="hybridMultilevel"/>
    <w:tmpl w:val="A24E35DA"/>
    <w:lvl w:ilvl="0" w:tplc="53AA1C3C">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 w:numId="2" w16cid:durableId="73709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64EDF"/>
    <w:rsid w:val="00087B1B"/>
    <w:rsid w:val="000941AF"/>
    <w:rsid w:val="000979CB"/>
    <w:rsid w:val="000A0041"/>
    <w:rsid w:val="000A4B6C"/>
    <w:rsid w:val="000C384D"/>
    <w:rsid w:val="000D2FD1"/>
    <w:rsid w:val="000D5249"/>
    <w:rsid w:val="00103582"/>
    <w:rsid w:val="00120202"/>
    <w:rsid w:val="00131432"/>
    <w:rsid w:val="00162958"/>
    <w:rsid w:val="0017407A"/>
    <w:rsid w:val="001844EB"/>
    <w:rsid w:val="001F1C29"/>
    <w:rsid w:val="00206F6C"/>
    <w:rsid w:val="00226D96"/>
    <w:rsid w:val="002438CB"/>
    <w:rsid w:val="00282822"/>
    <w:rsid w:val="00293B26"/>
    <w:rsid w:val="002C21B7"/>
    <w:rsid w:val="002D60DB"/>
    <w:rsid w:val="002F1DC7"/>
    <w:rsid w:val="0030120F"/>
    <w:rsid w:val="0032232D"/>
    <w:rsid w:val="003508BF"/>
    <w:rsid w:val="003642FE"/>
    <w:rsid w:val="00371BEC"/>
    <w:rsid w:val="00374558"/>
    <w:rsid w:val="0039598A"/>
    <w:rsid w:val="003A58F7"/>
    <w:rsid w:val="003B0A46"/>
    <w:rsid w:val="003D0402"/>
    <w:rsid w:val="00413B87"/>
    <w:rsid w:val="004261EE"/>
    <w:rsid w:val="00464971"/>
    <w:rsid w:val="00481088"/>
    <w:rsid w:val="004A56B9"/>
    <w:rsid w:val="004B12B3"/>
    <w:rsid w:val="004F04C2"/>
    <w:rsid w:val="00530411"/>
    <w:rsid w:val="005416E6"/>
    <w:rsid w:val="00544AA0"/>
    <w:rsid w:val="005549AA"/>
    <w:rsid w:val="005560A6"/>
    <w:rsid w:val="00557824"/>
    <w:rsid w:val="00565BB5"/>
    <w:rsid w:val="00573579"/>
    <w:rsid w:val="005805EB"/>
    <w:rsid w:val="005A0F4E"/>
    <w:rsid w:val="005B46E8"/>
    <w:rsid w:val="005C3605"/>
    <w:rsid w:val="005D5AB7"/>
    <w:rsid w:val="005E64F6"/>
    <w:rsid w:val="005F3448"/>
    <w:rsid w:val="006135E9"/>
    <w:rsid w:val="00617050"/>
    <w:rsid w:val="006607CD"/>
    <w:rsid w:val="006617C0"/>
    <w:rsid w:val="0067222D"/>
    <w:rsid w:val="00682611"/>
    <w:rsid w:val="006B418B"/>
    <w:rsid w:val="006B764B"/>
    <w:rsid w:val="006D1917"/>
    <w:rsid w:val="00700F8D"/>
    <w:rsid w:val="007168FB"/>
    <w:rsid w:val="007266BC"/>
    <w:rsid w:val="00742E6F"/>
    <w:rsid w:val="007561E4"/>
    <w:rsid w:val="00780305"/>
    <w:rsid w:val="00784BA9"/>
    <w:rsid w:val="007942D8"/>
    <w:rsid w:val="007C20CB"/>
    <w:rsid w:val="00807290"/>
    <w:rsid w:val="00811477"/>
    <w:rsid w:val="00831047"/>
    <w:rsid w:val="00855E39"/>
    <w:rsid w:val="00856168"/>
    <w:rsid w:val="0086310C"/>
    <w:rsid w:val="008872F5"/>
    <w:rsid w:val="008A2375"/>
    <w:rsid w:val="008B4FCB"/>
    <w:rsid w:val="008C378F"/>
    <w:rsid w:val="008C3841"/>
    <w:rsid w:val="008D173A"/>
    <w:rsid w:val="008F2D5D"/>
    <w:rsid w:val="00907410"/>
    <w:rsid w:val="009076B8"/>
    <w:rsid w:val="00916784"/>
    <w:rsid w:val="00920CA6"/>
    <w:rsid w:val="00986BAC"/>
    <w:rsid w:val="009873E7"/>
    <w:rsid w:val="009C308C"/>
    <w:rsid w:val="009D66DA"/>
    <w:rsid w:val="00A052F8"/>
    <w:rsid w:val="00A06CC6"/>
    <w:rsid w:val="00A13EDE"/>
    <w:rsid w:val="00A323E6"/>
    <w:rsid w:val="00A400C6"/>
    <w:rsid w:val="00A44879"/>
    <w:rsid w:val="00A4712A"/>
    <w:rsid w:val="00A524AD"/>
    <w:rsid w:val="00AB0BD5"/>
    <w:rsid w:val="00AB2EBF"/>
    <w:rsid w:val="00AF2884"/>
    <w:rsid w:val="00AF6E03"/>
    <w:rsid w:val="00B22112"/>
    <w:rsid w:val="00B30111"/>
    <w:rsid w:val="00B34846"/>
    <w:rsid w:val="00B71156"/>
    <w:rsid w:val="00B74D8D"/>
    <w:rsid w:val="00B84613"/>
    <w:rsid w:val="00B93552"/>
    <w:rsid w:val="00B9705F"/>
    <w:rsid w:val="00BB27C2"/>
    <w:rsid w:val="00BB7183"/>
    <w:rsid w:val="00C07057"/>
    <w:rsid w:val="00C2372A"/>
    <w:rsid w:val="00C251B6"/>
    <w:rsid w:val="00C31CB4"/>
    <w:rsid w:val="00C32D99"/>
    <w:rsid w:val="00C3570A"/>
    <w:rsid w:val="00C377F1"/>
    <w:rsid w:val="00C52D33"/>
    <w:rsid w:val="00C9741A"/>
    <w:rsid w:val="00CA262D"/>
    <w:rsid w:val="00CB741F"/>
    <w:rsid w:val="00CD4717"/>
    <w:rsid w:val="00CF45A1"/>
    <w:rsid w:val="00CF720A"/>
    <w:rsid w:val="00CF7277"/>
    <w:rsid w:val="00D75D9A"/>
    <w:rsid w:val="00D92E56"/>
    <w:rsid w:val="00DA10B0"/>
    <w:rsid w:val="00DA2545"/>
    <w:rsid w:val="00DA52E2"/>
    <w:rsid w:val="00DA7E79"/>
    <w:rsid w:val="00DB1156"/>
    <w:rsid w:val="00E06A56"/>
    <w:rsid w:val="00E1058B"/>
    <w:rsid w:val="00E34007"/>
    <w:rsid w:val="00E454BB"/>
    <w:rsid w:val="00E67DF1"/>
    <w:rsid w:val="00E7441D"/>
    <w:rsid w:val="00E774B6"/>
    <w:rsid w:val="00E81268"/>
    <w:rsid w:val="00EB7BFF"/>
    <w:rsid w:val="00EC47D6"/>
    <w:rsid w:val="00ED22A3"/>
    <w:rsid w:val="00ED6B2A"/>
    <w:rsid w:val="00ED7C6A"/>
    <w:rsid w:val="00EE55A4"/>
    <w:rsid w:val="00EE7EB5"/>
    <w:rsid w:val="00EF63C2"/>
    <w:rsid w:val="00F06D5A"/>
    <w:rsid w:val="00F210C2"/>
    <w:rsid w:val="00F463C7"/>
    <w:rsid w:val="00F51DB9"/>
    <w:rsid w:val="00F621F7"/>
    <w:rsid w:val="00F626FB"/>
    <w:rsid w:val="00F7188E"/>
    <w:rsid w:val="00F75AB6"/>
    <w:rsid w:val="00FB2460"/>
    <w:rsid w:val="00FC16B4"/>
    <w:rsid w:val="00FC42A0"/>
    <w:rsid w:val="00FD6CE5"/>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EF63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F63C2"/>
    <w:rPr>
      <w:b/>
      <w:bCs/>
    </w:rPr>
  </w:style>
  <w:style w:type="character" w:styleId="Hyperlink">
    <w:name w:val="Hyperlink"/>
    <w:basedOn w:val="DefaultParagraphFont"/>
    <w:uiPriority w:val="99"/>
    <w:semiHidden/>
    <w:unhideWhenUsed/>
    <w:rsid w:val="002438CB"/>
    <w:rPr>
      <w:color w:val="0000FF"/>
      <w:u w:val="single"/>
    </w:rPr>
  </w:style>
  <w:style w:type="character" w:customStyle="1" w:styleId="katex-mathml">
    <w:name w:val="katex-mathml"/>
    <w:basedOn w:val="DefaultParagraphFont"/>
    <w:rsid w:val="00D75D9A"/>
  </w:style>
  <w:style w:type="character" w:customStyle="1" w:styleId="mord">
    <w:name w:val="mord"/>
    <w:basedOn w:val="DefaultParagraphFont"/>
    <w:rsid w:val="00D75D9A"/>
  </w:style>
  <w:style w:type="character" w:customStyle="1" w:styleId="vlist-s">
    <w:name w:val="vlist-s"/>
    <w:basedOn w:val="DefaultParagraphFont"/>
    <w:rsid w:val="00D75D9A"/>
  </w:style>
  <w:style w:type="character" w:customStyle="1" w:styleId="mrel">
    <w:name w:val="mrel"/>
    <w:basedOn w:val="DefaultParagraphFont"/>
    <w:rsid w:val="00D75D9A"/>
  </w:style>
  <w:style w:type="character" w:customStyle="1" w:styleId="mbin">
    <w:name w:val="mbin"/>
    <w:basedOn w:val="DefaultParagraphFont"/>
    <w:rsid w:val="00D75D9A"/>
  </w:style>
  <w:style w:type="paragraph" w:customStyle="1" w:styleId="whitespace-pre-wrap">
    <w:name w:val="whitespace-pre-wrap"/>
    <w:basedOn w:val="Normal"/>
    <w:rsid w:val="00D75D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open">
    <w:name w:val="mopen"/>
    <w:basedOn w:val="DefaultParagraphFont"/>
    <w:rsid w:val="00D75D9A"/>
  </w:style>
  <w:style w:type="character" w:customStyle="1" w:styleId="mpunct">
    <w:name w:val="mpunct"/>
    <w:basedOn w:val="DefaultParagraphFont"/>
    <w:rsid w:val="00D75D9A"/>
  </w:style>
  <w:style w:type="character" w:customStyle="1" w:styleId="mclose">
    <w:name w:val="mclose"/>
    <w:basedOn w:val="DefaultParagraphFont"/>
    <w:rsid w:val="00D75D9A"/>
  </w:style>
  <w:style w:type="character" w:styleId="PlaceholderText">
    <w:name w:val="Placeholder Text"/>
    <w:basedOn w:val="DefaultParagraphFont"/>
    <w:uiPriority w:val="99"/>
    <w:semiHidden/>
    <w:rsid w:val="00E7441D"/>
    <w:rPr>
      <w:color w:val="666666"/>
    </w:rPr>
  </w:style>
  <w:style w:type="paragraph" w:styleId="Bibliography">
    <w:name w:val="Bibliography"/>
    <w:basedOn w:val="Normal"/>
    <w:next w:val="Normal"/>
    <w:uiPriority w:val="37"/>
    <w:unhideWhenUsed/>
    <w:rsid w:val="00BB7183"/>
    <w:pPr>
      <w:spacing w:after="0" w:line="480" w:lineRule="auto"/>
      <w:ind w:left="720" w:hanging="720"/>
    </w:pPr>
  </w:style>
  <w:style w:type="paragraph" w:styleId="Footer">
    <w:name w:val="footer"/>
    <w:basedOn w:val="Normal"/>
    <w:link w:val="FooterChar"/>
    <w:uiPriority w:val="99"/>
    <w:unhideWhenUsed/>
    <w:rsid w:val="005C3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605"/>
  </w:style>
  <w:style w:type="character" w:styleId="PageNumber">
    <w:name w:val="page number"/>
    <w:basedOn w:val="DefaultParagraphFont"/>
    <w:uiPriority w:val="99"/>
    <w:semiHidden/>
    <w:unhideWhenUsed/>
    <w:rsid w:val="005C3605"/>
  </w:style>
  <w:style w:type="character" w:styleId="LineNumber">
    <w:name w:val="line number"/>
    <w:basedOn w:val="DefaultParagraphFont"/>
    <w:uiPriority w:val="99"/>
    <w:semiHidden/>
    <w:unhideWhenUsed/>
    <w:rsid w:val="005C3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4443">
      <w:bodyDiv w:val="1"/>
      <w:marLeft w:val="0"/>
      <w:marRight w:val="0"/>
      <w:marTop w:val="0"/>
      <w:marBottom w:val="0"/>
      <w:divBdr>
        <w:top w:val="none" w:sz="0" w:space="0" w:color="auto"/>
        <w:left w:val="none" w:sz="0" w:space="0" w:color="auto"/>
        <w:bottom w:val="none" w:sz="0" w:space="0" w:color="auto"/>
        <w:right w:val="none" w:sz="0" w:space="0" w:color="auto"/>
      </w:divBdr>
    </w:div>
    <w:div w:id="46032037">
      <w:bodyDiv w:val="1"/>
      <w:marLeft w:val="0"/>
      <w:marRight w:val="0"/>
      <w:marTop w:val="0"/>
      <w:marBottom w:val="0"/>
      <w:divBdr>
        <w:top w:val="none" w:sz="0" w:space="0" w:color="auto"/>
        <w:left w:val="none" w:sz="0" w:space="0" w:color="auto"/>
        <w:bottom w:val="none" w:sz="0" w:space="0" w:color="auto"/>
        <w:right w:val="none" w:sz="0" w:space="0" w:color="auto"/>
      </w:divBdr>
    </w:div>
    <w:div w:id="82069636">
      <w:bodyDiv w:val="1"/>
      <w:marLeft w:val="0"/>
      <w:marRight w:val="0"/>
      <w:marTop w:val="0"/>
      <w:marBottom w:val="0"/>
      <w:divBdr>
        <w:top w:val="none" w:sz="0" w:space="0" w:color="auto"/>
        <w:left w:val="none" w:sz="0" w:space="0" w:color="auto"/>
        <w:bottom w:val="none" w:sz="0" w:space="0" w:color="auto"/>
        <w:right w:val="none" w:sz="0" w:space="0" w:color="auto"/>
      </w:divBdr>
    </w:div>
    <w:div w:id="128981033">
      <w:bodyDiv w:val="1"/>
      <w:marLeft w:val="0"/>
      <w:marRight w:val="0"/>
      <w:marTop w:val="0"/>
      <w:marBottom w:val="0"/>
      <w:divBdr>
        <w:top w:val="none" w:sz="0" w:space="0" w:color="auto"/>
        <w:left w:val="none" w:sz="0" w:space="0" w:color="auto"/>
        <w:bottom w:val="none" w:sz="0" w:space="0" w:color="auto"/>
        <w:right w:val="none" w:sz="0" w:space="0" w:color="auto"/>
      </w:divBdr>
    </w:div>
    <w:div w:id="133573565">
      <w:bodyDiv w:val="1"/>
      <w:marLeft w:val="0"/>
      <w:marRight w:val="0"/>
      <w:marTop w:val="0"/>
      <w:marBottom w:val="0"/>
      <w:divBdr>
        <w:top w:val="none" w:sz="0" w:space="0" w:color="auto"/>
        <w:left w:val="none" w:sz="0" w:space="0" w:color="auto"/>
        <w:bottom w:val="none" w:sz="0" w:space="0" w:color="auto"/>
        <w:right w:val="none" w:sz="0" w:space="0" w:color="auto"/>
      </w:divBdr>
    </w:div>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191497488">
      <w:bodyDiv w:val="1"/>
      <w:marLeft w:val="0"/>
      <w:marRight w:val="0"/>
      <w:marTop w:val="0"/>
      <w:marBottom w:val="0"/>
      <w:divBdr>
        <w:top w:val="none" w:sz="0" w:space="0" w:color="auto"/>
        <w:left w:val="none" w:sz="0" w:space="0" w:color="auto"/>
        <w:bottom w:val="none" w:sz="0" w:space="0" w:color="auto"/>
        <w:right w:val="none" w:sz="0" w:space="0" w:color="auto"/>
      </w:divBdr>
    </w:div>
    <w:div w:id="370035142">
      <w:bodyDiv w:val="1"/>
      <w:marLeft w:val="0"/>
      <w:marRight w:val="0"/>
      <w:marTop w:val="0"/>
      <w:marBottom w:val="0"/>
      <w:divBdr>
        <w:top w:val="none" w:sz="0" w:space="0" w:color="auto"/>
        <w:left w:val="none" w:sz="0" w:space="0" w:color="auto"/>
        <w:bottom w:val="none" w:sz="0" w:space="0" w:color="auto"/>
        <w:right w:val="none" w:sz="0" w:space="0" w:color="auto"/>
      </w:divBdr>
    </w:div>
    <w:div w:id="490292424">
      <w:bodyDiv w:val="1"/>
      <w:marLeft w:val="0"/>
      <w:marRight w:val="0"/>
      <w:marTop w:val="0"/>
      <w:marBottom w:val="0"/>
      <w:divBdr>
        <w:top w:val="none" w:sz="0" w:space="0" w:color="auto"/>
        <w:left w:val="none" w:sz="0" w:space="0" w:color="auto"/>
        <w:bottom w:val="none" w:sz="0" w:space="0" w:color="auto"/>
        <w:right w:val="none" w:sz="0" w:space="0" w:color="auto"/>
      </w:divBdr>
    </w:div>
    <w:div w:id="518813662">
      <w:bodyDiv w:val="1"/>
      <w:marLeft w:val="0"/>
      <w:marRight w:val="0"/>
      <w:marTop w:val="0"/>
      <w:marBottom w:val="0"/>
      <w:divBdr>
        <w:top w:val="none" w:sz="0" w:space="0" w:color="auto"/>
        <w:left w:val="none" w:sz="0" w:space="0" w:color="auto"/>
        <w:bottom w:val="none" w:sz="0" w:space="0" w:color="auto"/>
        <w:right w:val="none" w:sz="0" w:space="0" w:color="auto"/>
      </w:divBdr>
    </w:div>
    <w:div w:id="625501952">
      <w:bodyDiv w:val="1"/>
      <w:marLeft w:val="0"/>
      <w:marRight w:val="0"/>
      <w:marTop w:val="0"/>
      <w:marBottom w:val="0"/>
      <w:divBdr>
        <w:top w:val="none" w:sz="0" w:space="0" w:color="auto"/>
        <w:left w:val="none" w:sz="0" w:space="0" w:color="auto"/>
        <w:bottom w:val="none" w:sz="0" w:space="0" w:color="auto"/>
        <w:right w:val="none" w:sz="0" w:space="0" w:color="auto"/>
      </w:divBdr>
    </w:div>
    <w:div w:id="631441691">
      <w:bodyDiv w:val="1"/>
      <w:marLeft w:val="0"/>
      <w:marRight w:val="0"/>
      <w:marTop w:val="0"/>
      <w:marBottom w:val="0"/>
      <w:divBdr>
        <w:top w:val="none" w:sz="0" w:space="0" w:color="auto"/>
        <w:left w:val="none" w:sz="0" w:space="0" w:color="auto"/>
        <w:bottom w:val="none" w:sz="0" w:space="0" w:color="auto"/>
        <w:right w:val="none" w:sz="0" w:space="0" w:color="auto"/>
      </w:divBdr>
    </w:div>
    <w:div w:id="635648579">
      <w:bodyDiv w:val="1"/>
      <w:marLeft w:val="0"/>
      <w:marRight w:val="0"/>
      <w:marTop w:val="0"/>
      <w:marBottom w:val="0"/>
      <w:divBdr>
        <w:top w:val="none" w:sz="0" w:space="0" w:color="auto"/>
        <w:left w:val="none" w:sz="0" w:space="0" w:color="auto"/>
        <w:bottom w:val="none" w:sz="0" w:space="0" w:color="auto"/>
        <w:right w:val="none" w:sz="0" w:space="0" w:color="auto"/>
      </w:divBdr>
    </w:div>
    <w:div w:id="736977422">
      <w:bodyDiv w:val="1"/>
      <w:marLeft w:val="0"/>
      <w:marRight w:val="0"/>
      <w:marTop w:val="0"/>
      <w:marBottom w:val="0"/>
      <w:divBdr>
        <w:top w:val="none" w:sz="0" w:space="0" w:color="auto"/>
        <w:left w:val="none" w:sz="0" w:space="0" w:color="auto"/>
        <w:bottom w:val="none" w:sz="0" w:space="0" w:color="auto"/>
        <w:right w:val="none" w:sz="0" w:space="0" w:color="auto"/>
      </w:divBdr>
    </w:div>
    <w:div w:id="788624100">
      <w:bodyDiv w:val="1"/>
      <w:marLeft w:val="0"/>
      <w:marRight w:val="0"/>
      <w:marTop w:val="0"/>
      <w:marBottom w:val="0"/>
      <w:divBdr>
        <w:top w:val="none" w:sz="0" w:space="0" w:color="auto"/>
        <w:left w:val="none" w:sz="0" w:space="0" w:color="auto"/>
        <w:bottom w:val="none" w:sz="0" w:space="0" w:color="auto"/>
        <w:right w:val="none" w:sz="0" w:space="0" w:color="auto"/>
      </w:divBdr>
    </w:div>
    <w:div w:id="798113147">
      <w:bodyDiv w:val="1"/>
      <w:marLeft w:val="0"/>
      <w:marRight w:val="0"/>
      <w:marTop w:val="0"/>
      <w:marBottom w:val="0"/>
      <w:divBdr>
        <w:top w:val="none" w:sz="0" w:space="0" w:color="auto"/>
        <w:left w:val="none" w:sz="0" w:space="0" w:color="auto"/>
        <w:bottom w:val="none" w:sz="0" w:space="0" w:color="auto"/>
        <w:right w:val="none" w:sz="0" w:space="0" w:color="auto"/>
      </w:divBdr>
    </w:div>
    <w:div w:id="803888901">
      <w:bodyDiv w:val="1"/>
      <w:marLeft w:val="0"/>
      <w:marRight w:val="0"/>
      <w:marTop w:val="0"/>
      <w:marBottom w:val="0"/>
      <w:divBdr>
        <w:top w:val="none" w:sz="0" w:space="0" w:color="auto"/>
        <w:left w:val="none" w:sz="0" w:space="0" w:color="auto"/>
        <w:bottom w:val="none" w:sz="0" w:space="0" w:color="auto"/>
        <w:right w:val="none" w:sz="0" w:space="0" w:color="auto"/>
      </w:divBdr>
    </w:div>
    <w:div w:id="804663539">
      <w:bodyDiv w:val="1"/>
      <w:marLeft w:val="0"/>
      <w:marRight w:val="0"/>
      <w:marTop w:val="0"/>
      <w:marBottom w:val="0"/>
      <w:divBdr>
        <w:top w:val="none" w:sz="0" w:space="0" w:color="auto"/>
        <w:left w:val="none" w:sz="0" w:space="0" w:color="auto"/>
        <w:bottom w:val="none" w:sz="0" w:space="0" w:color="auto"/>
        <w:right w:val="none" w:sz="0" w:space="0" w:color="auto"/>
      </w:divBdr>
    </w:div>
    <w:div w:id="819076898">
      <w:bodyDiv w:val="1"/>
      <w:marLeft w:val="0"/>
      <w:marRight w:val="0"/>
      <w:marTop w:val="0"/>
      <w:marBottom w:val="0"/>
      <w:divBdr>
        <w:top w:val="none" w:sz="0" w:space="0" w:color="auto"/>
        <w:left w:val="none" w:sz="0" w:space="0" w:color="auto"/>
        <w:bottom w:val="none" w:sz="0" w:space="0" w:color="auto"/>
        <w:right w:val="none" w:sz="0" w:space="0" w:color="auto"/>
      </w:divBdr>
    </w:div>
    <w:div w:id="843520380">
      <w:bodyDiv w:val="1"/>
      <w:marLeft w:val="0"/>
      <w:marRight w:val="0"/>
      <w:marTop w:val="0"/>
      <w:marBottom w:val="0"/>
      <w:divBdr>
        <w:top w:val="none" w:sz="0" w:space="0" w:color="auto"/>
        <w:left w:val="none" w:sz="0" w:space="0" w:color="auto"/>
        <w:bottom w:val="none" w:sz="0" w:space="0" w:color="auto"/>
        <w:right w:val="none" w:sz="0" w:space="0" w:color="auto"/>
      </w:divBdr>
      <w:divsChild>
        <w:div w:id="227612617">
          <w:marLeft w:val="0"/>
          <w:marRight w:val="0"/>
          <w:marTop w:val="0"/>
          <w:marBottom w:val="0"/>
          <w:divBdr>
            <w:top w:val="none" w:sz="0" w:space="0" w:color="auto"/>
            <w:left w:val="none" w:sz="0" w:space="0" w:color="auto"/>
            <w:bottom w:val="none" w:sz="0" w:space="0" w:color="auto"/>
            <w:right w:val="none" w:sz="0" w:space="0" w:color="auto"/>
          </w:divBdr>
        </w:div>
        <w:div w:id="2009163651">
          <w:marLeft w:val="0"/>
          <w:marRight w:val="0"/>
          <w:marTop w:val="0"/>
          <w:marBottom w:val="0"/>
          <w:divBdr>
            <w:top w:val="none" w:sz="0" w:space="0" w:color="auto"/>
            <w:left w:val="none" w:sz="0" w:space="0" w:color="auto"/>
            <w:bottom w:val="none" w:sz="0" w:space="0" w:color="auto"/>
            <w:right w:val="none" w:sz="0" w:space="0" w:color="auto"/>
          </w:divBdr>
        </w:div>
      </w:divsChild>
    </w:div>
    <w:div w:id="873808578">
      <w:bodyDiv w:val="1"/>
      <w:marLeft w:val="0"/>
      <w:marRight w:val="0"/>
      <w:marTop w:val="0"/>
      <w:marBottom w:val="0"/>
      <w:divBdr>
        <w:top w:val="none" w:sz="0" w:space="0" w:color="auto"/>
        <w:left w:val="none" w:sz="0" w:space="0" w:color="auto"/>
        <w:bottom w:val="none" w:sz="0" w:space="0" w:color="auto"/>
        <w:right w:val="none" w:sz="0" w:space="0" w:color="auto"/>
      </w:divBdr>
    </w:div>
    <w:div w:id="877618944">
      <w:bodyDiv w:val="1"/>
      <w:marLeft w:val="0"/>
      <w:marRight w:val="0"/>
      <w:marTop w:val="0"/>
      <w:marBottom w:val="0"/>
      <w:divBdr>
        <w:top w:val="none" w:sz="0" w:space="0" w:color="auto"/>
        <w:left w:val="none" w:sz="0" w:space="0" w:color="auto"/>
        <w:bottom w:val="none" w:sz="0" w:space="0" w:color="auto"/>
        <w:right w:val="none" w:sz="0" w:space="0" w:color="auto"/>
      </w:divBdr>
    </w:div>
    <w:div w:id="942879762">
      <w:bodyDiv w:val="1"/>
      <w:marLeft w:val="0"/>
      <w:marRight w:val="0"/>
      <w:marTop w:val="0"/>
      <w:marBottom w:val="0"/>
      <w:divBdr>
        <w:top w:val="none" w:sz="0" w:space="0" w:color="auto"/>
        <w:left w:val="none" w:sz="0" w:space="0" w:color="auto"/>
        <w:bottom w:val="none" w:sz="0" w:space="0" w:color="auto"/>
        <w:right w:val="none" w:sz="0" w:space="0" w:color="auto"/>
      </w:divBdr>
    </w:div>
    <w:div w:id="1046442124">
      <w:bodyDiv w:val="1"/>
      <w:marLeft w:val="0"/>
      <w:marRight w:val="0"/>
      <w:marTop w:val="0"/>
      <w:marBottom w:val="0"/>
      <w:divBdr>
        <w:top w:val="none" w:sz="0" w:space="0" w:color="auto"/>
        <w:left w:val="none" w:sz="0" w:space="0" w:color="auto"/>
        <w:bottom w:val="none" w:sz="0" w:space="0" w:color="auto"/>
        <w:right w:val="none" w:sz="0" w:space="0" w:color="auto"/>
      </w:divBdr>
    </w:div>
    <w:div w:id="1150440970">
      <w:bodyDiv w:val="1"/>
      <w:marLeft w:val="0"/>
      <w:marRight w:val="0"/>
      <w:marTop w:val="0"/>
      <w:marBottom w:val="0"/>
      <w:divBdr>
        <w:top w:val="none" w:sz="0" w:space="0" w:color="auto"/>
        <w:left w:val="none" w:sz="0" w:space="0" w:color="auto"/>
        <w:bottom w:val="none" w:sz="0" w:space="0" w:color="auto"/>
        <w:right w:val="none" w:sz="0" w:space="0" w:color="auto"/>
      </w:divBdr>
    </w:div>
    <w:div w:id="1264729812">
      <w:bodyDiv w:val="1"/>
      <w:marLeft w:val="0"/>
      <w:marRight w:val="0"/>
      <w:marTop w:val="0"/>
      <w:marBottom w:val="0"/>
      <w:divBdr>
        <w:top w:val="none" w:sz="0" w:space="0" w:color="auto"/>
        <w:left w:val="none" w:sz="0" w:space="0" w:color="auto"/>
        <w:bottom w:val="none" w:sz="0" w:space="0" w:color="auto"/>
        <w:right w:val="none" w:sz="0" w:space="0" w:color="auto"/>
      </w:divBdr>
    </w:div>
    <w:div w:id="1275208440">
      <w:bodyDiv w:val="1"/>
      <w:marLeft w:val="0"/>
      <w:marRight w:val="0"/>
      <w:marTop w:val="0"/>
      <w:marBottom w:val="0"/>
      <w:divBdr>
        <w:top w:val="none" w:sz="0" w:space="0" w:color="auto"/>
        <w:left w:val="none" w:sz="0" w:space="0" w:color="auto"/>
        <w:bottom w:val="none" w:sz="0" w:space="0" w:color="auto"/>
        <w:right w:val="none" w:sz="0" w:space="0" w:color="auto"/>
      </w:divBdr>
    </w:div>
    <w:div w:id="1321040300">
      <w:bodyDiv w:val="1"/>
      <w:marLeft w:val="0"/>
      <w:marRight w:val="0"/>
      <w:marTop w:val="0"/>
      <w:marBottom w:val="0"/>
      <w:divBdr>
        <w:top w:val="none" w:sz="0" w:space="0" w:color="auto"/>
        <w:left w:val="none" w:sz="0" w:space="0" w:color="auto"/>
        <w:bottom w:val="none" w:sz="0" w:space="0" w:color="auto"/>
        <w:right w:val="none" w:sz="0" w:space="0" w:color="auto"/>
      </w:divBdr>
    </w:div>
    <w:div w:id="1336422481">
      <w:bodyDiv w:val="1"/>
      <w:marLeft w:val="0"/>
      <w:marRight w:val="0"/>
      <w:marTop w:val="0"/>
      <w:marBottom w:val="0"/>
      <w:divBdr>
        <w:top w:val="none" w:sz="0" w:space="0" w:color="auto"/>
        <w:left w:val="none" w:sz="0" w:space="0" w:color="auto"/>
        <w:bottom w:val="none" w:sz="0" w:space="0" w:color="auto"/>
        <w:right w:val="none" w:sz="0" w:space="0" w:color="auto"/>
      </w:divBdr>
    </w:div>
    <w:div w:id="1380472852">
      <w:bodyDiv w:val="1"/>
      <w:marLeft w:val="0"/>
      <w:marRight w:val="0"/>
      <w:marTop w:val="0"/>
      <w:marBottom w:val="0"/>
      <w:divBdr>
        <w:top w:val="none" w:sz="0" w:space="0" w:color="auto"/>
        <w:left w:val="none" w:sz="0" w:space="0" w:color="auto"/>
        <w:bottom w:val="none" w:sz="0" w:space="0" w:color="auto"/>
        <w:right w:val="none" w:sz="0" w:space="0" w:color="auto"/>
      </w:divBdr>
    </w:div>
    <w:div w:id="1410420205">
      <w:bodyDiv w:val="1"/>
      <w:marLeft w:val="0"/>
      <w:marRight w:val="0"/>
      <w:marTop w:val="0"/>
      <w:marBottom w:val="0"/>
      <w:divBdr>
        <w:top w:val="none" w:sz="0" w:space="0" w:color="auto"/>
        <w:left w:val="none" w:sz="0" w:space="0" w:color="auto"/>
        <w:bottom w:val="none" w:sz="0" w:space="0" w:color="auto"/>
        <w:right w:val="none" w:sz="0" w:space="0" w:color="auto"/>
      </w:divBdr>
      <w:divsChild>
        <w:div w:id="359167356">
          <w:marLeft w:val="0"/>
          <w:marRight w:val="0"/>
          <w:marTop w:val="0"/>
          <w:marBottom w:val="0"/>
          <w:divBdr>
            <w:top w:val="none" w:sz="0" w:space="0" w:color="auto"/>
            <w:left w:val="none" w:sz="0" w:space="0" w:color="auto"/>
            <w:bottom w:val="none" w:sz="0" w:space="0" w:color="auto"/>
            <w:right w:val="none" w:sz="0" w:space="0" w:color="auto"/>
          </w:divBdr>
          <w:divsChild>
            <w:div w:id="290868686">
              <w:marLeft w:val="0"/>
              <w:marRight w:val="0"/>
              <w:marTop w:val="0"/>
              <w:marBottom w:val="0"/>
              <w:divBdr>
                <w:top w:val="none" w:sz="0" w:space="0" w:color="auto"/>
                <w:left w:val="none" w:sz="0" w:space="0" w:color="auto"/>
                <w:bottom w:val="none" w:sz="0" w:space="0" w:color="auto"/>
                <w:right w:val="none" w:sz="0" w:space="0" w:color="auto"/>
              </w:divBdr>
              <w:divsChild>
                <w:div w:id="1750540848">
                  <w:marLeft w:val="0"/>
                  <w:marRight w:val="0"/>
                  <w:marTop w:val="0"/>
                  <w:marBottom w:val="0"/>
                  <w:divBdr>
                    <w:top w:val="none" w:sz="0" w:space="0" w:color="auto"/>
                    <w:left w:val="none" w:sz="0" w:space="0" w:color="auto"/>
                    <w:bottom w:val="none" w:sz="0" w:space="0" w:color="auto"/>
                    <w:right w:val="none" w:sz="0" w:space="0" w:color="auto"/>
                  </w:divBdr>
                  <w:divsChild>
                    <w:div w:id="1674722287">
                      <w:marLeft w:val="0"/>
                      <w:marRight w:val="0"/>
                      <w:marTop w:val="0"/>
                      <w:marBottom w:val="0"/>
                      <w:divBdr>
                        <w:top w:val="none" w:sz="0" w:space="0" w:color="auto"/>
                        <w:left w:val="none" w:sz="0" w:space="0" w:color="auto"/>
                        <w:bottom w:val="none" w:sz="0" w:space="0" w:color="auto"/>
                        <w:right w:val="none" w:sz="0" w:space="0" w:color="auto"/>
                      </w:divBdr>
                      <w:divsChild>
                        <w:div w:id="424568992">
                          <w:marLeft w:val="0"/>
                          <w:marRight w:val="0"/>
                          <w:marTop w:val="0"/>
                          <w:marBottom w:val="0"/>
                          <w:divBdr>
                            <w:top w:val="none" w:sz="0" w:space="0" w:color="auto"/>
                            <w:left w:val="none" w:sz="0" w:space="0" w:color="auto"/>
                            <w:bottom w:val="none" w:sz="0" w:space="0" w:color="auto"/>
                            <w:right w:val="none" w:sz="0" w:space="0" w:color="auto"/>
                          </w:divBdr>
                          <w:divsChild>
                            <w:div w:id="1285847746">
                              <w:marLeft w:val="0"/>
                              <w:marRight w:val="0"/>
                              <w:marTop w:val="0"/>
                              <w:marBottom w:val="0"/>
                              <w:divBdr>
                                <w:top w:val="none" w:sz="0" w:space="0" w:color="auto"/>
                                <w:left w:val="none" w:sz="0" w:space="0" w:color="auto"/>
                                <w:bottom w:val="none" w:sz="0" w:space="0" w:color="auto"/>
                                <w:right w:val="none" w:sz="0" w:space="0" w:color="auto"/>
                              </w:divBdr>
                              <w:divsChild>
                                <w:div w:id="21193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31068">
                          <w:marLeft w:val="0"/>
                          <w:marRight w:val="0"/>
                          <w:marTop w:val="0"/>
                          <w:marBottom w:val="0"/>
                          <w:divBdr>
                            <w:top w:val="none" w:sz="0" w:space="0" w:color="auto"/>
                            <w:left w:val="none" w:sz="0" w:space="0" w:color="auto"/>
                            <w:bottom w:val="none" w:sz="0" w:space="0" w:color="auto"/>
                            <w:right w:val="none" w:sz="0" w:space="0" w:color="auto"/>
                          </w:divBdr>
                          <w:divsChild>
                            <w:div w:id="397098899">
                              <w:marLeft w:val="0"/>
                              <w:marRight w:val="0"/>
                              <w:marTop w:val="0"/>
                              <w:marBottom w:val="0"/>
                              <w:divBdr>
                                <w:top w:val="none" w:sz="0" w:space="0" w:color="auto"/>
                                <w:left w:val="none" w:sz="0" w:space="0" w:color="auto"/>
                                <w:bottom w:val="none" w:sz="0" w:space="0" w:color="auto"/>
                                <w:right w:val="none" w:sz="0" w:space="0" w:color="auto"/>
                              </w:divBdr>
                              <w:divsChild>
                                <w:div w:id="39869570">
                                  <w:marLeft w:val="0"/>
                                  <w:marRight w:val="0"/>
                                  <w:marTop w:val="0"/>
                                  <w:marBottom w:val="0"/>
                                  <w:divBdr>
                                    <w:top w:val="none" w:sz="0" w:space="0" w:color="auto"/>
                                    <w:left w:val="none" w:sz="0" w:space="0" w:color="auto"/>
                                    <w:bottom w:val="none" w:sz="0" w:space="0" w:color="auto"/>
                                    <w:right w:val="none" w:sz="0" w:space="0" w:color="auto"/>
                                  </w:divBdr>
                                  <w:divsChild>
                                    <w:div w:id="20613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408913">
              <w:marLeft w:val="0"/>
              <w:marRight w:val="0"/>
              <w:marTop w:val="0"/>
              <w:marBottom w:val="0"/>
              <w:divBdr>
                <w:top w:val="none" w:sz="0" w:space="0" w:color="auto"/>
                <w:left w:val="none" w:sz="0" w:space="0" w:color="auto"/>
                <w:bottom w:val="none" w:sz="0" w:space="0" w:color="auto"/>
                <w:right w:val="none" w:sz="0" w:space="0" w:color="auto"/>
              </w:divBdr>
              <w:divsChild>
                <w:div w:id="161549514">
                  <w:marLeft w:val="0"/>
                  <w:marRight w:val="0"/>
                  <w:marTop w:val="0"/>
                  <w:marBottom w:val="0"/>
                  <w:divBdr>
                    <w:top w:val="none" w:sz="0" w:space="0" w:color="auto"/>
                    <w:left w:val="none" w:sz="0" w:space="0" w:color="auto"/>
                    <w:bottom w:val="none" w:sz="0" w:space="0" w:color="auto"/>
                    <w:right w:val="none" w:sz="0" w:space="0" w:color="auto"/>
                  </w:divBdr>
                  <w:divsChild>
                    <w:div w:id="18147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6653">
          <w:marLeft w:val="0"/>
          <w:marRight w:val="0"/>
          <w:marTop w:val="0"/>
          <w:marBottom w:val="0"/>
          <w:divBdr>
            <w:top w:val="none" w:sz="0" w:space="0" w:color="auto"/>
            <w:left w:val="none" w:sz="0" w:space="0" w:color="auto"/>
            <w:bottom w:val="none" w:sz="0" w:space="0" w:color="auto"/>
            <w:right w:val="none" w:sz="0" w:space="0" w:color="auto"/>
          </w:divBdr>
          <w:divsChild>
            <w:div w:id="1730766030">
              <w:marLeft w:val="0"/>
              <w:marRight w:val="0"/>
              <w:marTop w:val="0"/>
              <w:marBottom w:val="0"/>
              <w:divBdr>
                <w:top w:val="none" w:sz="0" w:space="0" w:color="auto"/>
                <w:left w:val="none" w:sz="0" w:space="0" w:color="auto"/>
                <w:bottom w:val="none" w:sz="0" w:space="0" w:color="auto"/>
                <w:right w:val="none" w:sz="0" w:space="0" w:color="auto"/>
              </w:divBdr>
              <w:divsChild>
                <w:div w:id="653922414">
                  <w:marLeft w:val="0"/>
                  <w:marRight w:val="0"/>
                  <w:marTop w:val="0"/>
                  <w:marBottom w:val="0"/>
                  <w:divBdr>
                    <w:top w:val="none" w:sz="0" w:space="0" w:color="auto"/>
                    <w:left w:val="none" w:sz="0" w:space="0" w:color="auto"/>
                    <w:bottom w:val="none" w:sz="0" w:space="0" w:color="auto"/>
                    <w:right w:val="none" w:sz="0" w:space="0" w:color="auto"/>
                  </w:divBdr>
                  <w:divsChild>
                    <w:div w:id="728646789">
                      <w:marLeft w:val="0"/>
                      <w:marRight w:val="0"/>
                      <w:marTop w:val="0"/>
                      <w:marBottom w:val="0"/>
                      <w:divBdr>
                        <w:top w:val="none" w:sz="0" w:space="0" w:color="auto"/>
                        <w:left w:val="none" w:sz="0" w:space="0" w:color="auto"/>
                        <w:bottom w:val="none" w:sz="0" w:space="0" w:color="auto"/>
                        <w:right w:val="none" w:sz="0" w:space="0" w:color="auto"/>
                      </w:divBdr>
                      <w:divsChild>
                        <w:div w:id="1287197582">
                          <w:marLeft w:val="0"/>
                          <w:marRight w:val="0"/>
                          <w:marTop w:val="0"/>
                          <w:marBottom w:val="0"/>
                          <w:divBdr>
                            <w:top w:val="none" w:sz="0" w:space="0" w:color="auto"/>
                            <w:left w:val="none" w:sz="0" w:space="0" w:color="auto"/>
                            <w:bottom w:val="none" w:sz="0" w:space="0" w:color="auto"/>
                            <w:right w:val="none" w:sz="0" w:space="0" w:color="auto"/>
                          </w:divBdr>
                          <w:divsChild>
                            <w:div w:id="9567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4102">
                      <w:marLeft w:val="0"/>
                      <w:marRight w:val="0"/>
                      <w:marTop w:val="0"/>
                      <w:marBottom w:val="0"/>
                      <w:divBdr>
                        <w:top w:val="none" w:sz="0" w:space="0" w:color="auto"/>
                        <w:left w:val="none" w:sz="0" w:space="0" w:color="auto"/>
                        <w:bottom w:val="none" w:sz="0" w:space="0" w:color="auto"/>
                        <w:right w:val="none" w:sz="0" w:space="0" w:color="auto"/>
                      </w:divBdr>
                      <w:divsChild>
                        <w:div w:id="287928926">
                          <w:marLeft w:val="0"/>
                          <w:marRight w:val="0"/>
                          <w:marTop w:val="0"/>
                          <w:marBottom w:val="0"/>
                          <w:divBdr>
                            <w:top w:val="none" w:sz="0" w:space="0" w:color="auto"/>
                            <w:left w:val="none" w:sz="0" w:space="0" w:color="auto"/>
                            <w:bottom w:val="none" w:sz="0" w:space="0" w:color="auto"/>
                            <w:right w:val="none" w:sz="0" w:space="0" w:color="auto"/>
                          </w:divBdr>
                          <w:divsChild>
                            <w:div w:id="1343631817">
                              <w:marLeft w:val="0"/>
                              <w:marRight w:val="0"/>
                              <w:marTop w:val="0"/>
                              <w:marBottom w:val="0"/>
                              <w:divBdr>
                                <w:top w:val="none" w:sz="0" w:space="0" w:color="auto"/>
                                <w:left w:val="none" w:sz="0" w:space="0" w:color="auto"/>
                                <w:bottom w:val="none" w:sz="0" w:space="0" w:color="auto"/>
                                <w:right w:val="none" w:sz="0" w:space="0" w:color="auto"/>
                              </w:divBdr>
                              <w:divsChild>
                                <w:div w:id="376901822">
                                  <w:marLeft w:val="0"/>
                                  <w:marRight w:val="0"/>
                                  <w:marTop w:val="0"/>
                                  <w:marBottom w:val="0"/>
                                  <w:divBdr>
                                    <w:top w:val="none" w:sz="0" w:space="0" w:color="auto"/>
                                    <w:left w:val="none" w:sz="0" w:space="0" w:color="auto"/>
                                    <w:bottom w:val="none" w:sz="0" w:space="0" w:color="auto"/>
                                    <w:right w:val="none" w:sz="0" w:space="0" w:color="auto"/>
                                  </w:divBdr>
                                  <w:divsChild>
                                    <w:div w:id="11626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2906">
                          <w:marLeft w:val="0"/>
                          <w:marRight w:val="0"/>
                          <w:marTop w:val="0"/>
                          <w:marBottom w:val="0"/>
                          <w:divBdr>
                            <w:top w:val="none" w:sz="0" w:space="0" w:color="auto"/>
                            <w:left w:val="none" w:sz="0" w:space="0" w:color="auto"/>
                            <w:bottom w:val="none" w:sz="0" w:space="0" w:color="auto"/>
                            <w:right w:val="none" w:sz="0" w:space="0" w:color="auto"/>
                          </w:divBdr>
                          <w:divsChild>
                            <w:div w:id="1115447595">
                              <w:marLeft w:val="0"/>
                              <w:marRight w:val="0"/>
                              <w:marTop w:val="0"/>
                              <w:marBottom w:val="0"/>
                              <w:divBdr>
                                <w:top w:val="none" w:sz="0" w:space="0" w:color="auto"/>
                                <w:left w:val="none" w:sz="0" w:space="0" w:color="auto"/>
                                <w:bottom w:val="none" w:sz="0" w:space="0" w:color="auto"/>
                                <w:right w:val="none" w:sz="0" w:space="0" w:color="auto"/>
                              </w:divBdr>
                              <w:divsChild>
                                <w:div w:id="1076245579">
                                  <w:marLeft w:val="0"/>
                                  <w:marRight w:val="0"/>
                                  <w:marTop w:val="0"/>
                                  <w:marBottom w:val="0"/>
                                  <w:divBdr>
                                    <w:top w:val="none" w:sz="0" w:space="0" w:color="auto"/>
                                    <w:left w:val="none" w:sz="0" w:space="0" w:color="auto"/>
                                    <w:bottom w:val="none" w:sz="0" w:space="0" w:color="auto"/>
                                    <w:right w:val="none" w:sz="0" w:space="0" w:color="auto"/>
                                  </w:divBdr>
                                  <w:divsChild>
                                    <w:div w:id="6159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570072636">
      <w:bodyDiv w:val="1"/>
      <w:marLeft w:val="0"/>
      <w:marRight w:val="0"/>
      <w:marTop w:val="0"/>
      <w:marBottom w:val="0"/>
      <w:divBdr>
        <w:top w:val="none" w:sz="0" w:space="0" w:color="auto"/>
        <w:left w:val="none" w:sz="0" w:space="0" w:color="auto"/>
        <w:bottom w:val="none" w:sz="0" w:space="0" w:color="auto"/>
        <w:right w:val="none" w:sz="0" w:space="0" w:color="auto"/>
      </w:divBdr>
    </w:div>
    <w:div w:id="1578054477">
      <w:bodyDiv w:val="1"/>
      <w:marLeft w:val="0"/>
      <w:marRight w:val="0"/>
      <w:marTop w:val="0"/>
      <w:marBottom w:val="0"/>
      <w:divBdr>
        <w:top w:val="none" w:sz="0" w:space="0" w:color="auto"/>
        <w:left w:val="none" w:sz="0" w:space="0" w:color="auto"/>
        <w:bottom w:val="none" w:sz="0" w:space="0" w:color="auto"/>
        <w:right w:val="none" w:sz="0" w:space="0" w:color="auto"/>
      </w:divBdr>
    </w:div>
    <w:div w:id="1645352079">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1801653315">
      <w:bodyDiv w:val="1"/>
      <w:marLeft w:val="0"/>
      <w:marRight w:val="0"/>
      <w:marTop w:val="0"/>
      <w:marBottom w:val="0"/>
      <w:divBdr>
        <w:top w:val="none" w:sz="0" w:space="0" w:color="auto"/>
        <w:left w:val="none" w:sz="0" w:space="0" w:color="auto"/>
        <w:bottom w:val="none" w:sz="0" w:space="0" w:color="auto"/>
        <w:right w:val="none" w:sz="0" w:space="0" w:color="auto"/>
      </w:divBdr>
    </w:div>
    <w:div w:id="1804500439">
      <w:bodyDiv w:val="1"/>
      <w:marLeft w:val="0"/>
      <w:marRight w:val="0"/>
      <w:marTop w:val="0"/>
      <w:marBottom w:val="0"/>
      <w:divBdr>
        <w:top w:val="none" w:sz="0" w:space="0" w:color="auto"/>
        <w:left w:val="none" w:sz="0" w:space="0" w:color="auto"/>
        <w:bottom w:val="none" w:sz="0" w:space="0" w:color="auto"/>
        <w:right w:val="none" w:sz="0" w:space="0" w:color="auto"/>
      </w:divBdr>
    </w:div>
    <w:div w:id="1818493024">
      <w:bodyDiv w:val="1"/>
      <w:marLeft w:val="0"/>
      <w:marRight w:val="0"/>
      <w:marTop w:val="0"/>
      <w:marBottom w:val="0"/>
      <w:divBdr>
        <w:top w:val="none" w:sz="0" w:space="0" w:color="auto"/>
        <w:left w:val="none" w:sz="0" w:space="0" w:color="auto"/>
        <w:bottom w:val="none" w:sz="0" w:space="0" w:color="auto"/>
        <w:right w:val="none" w:sz="0" w:space="0" w:color="auto"/>
      </w:divBdr>
    </w:div>
    <w:div w:id="1832479482">
      <w:bodyDiv w:val="1"/>
      <w:marLeft w:val="0"/>
      <w:marRight w:val="0"/>
      <w:marTop w:val="0"/>
      <w:marBottom w:val="0"/>
      <w:divBdr>
        <w:top w:val="none" w:sz="0" w:space="0" w:color="auto"/>
        <w:left w:val="none" w:sz="0" w:space="0" w:color="auto"/>
        <w:bottom w:val="none" w:sz="0" w:space="0" w:color="auto"/>
        <w:right w:val="none" w:sz="0" w:space="0" w:color="auto"/>
      </w:divBdr>
    </w:div>
    <w:div w:id="1867208528">
      <w:bodyDiv w:val="1"/>
      <w:marLeft w:val="0"/>
      <w:marRight w:val="0"/>
      <w:marTop w:val="0"/>
      <w:marBottom w:val="0"/>
      <w:divBdr>
        <w:top w:val="none" w:sz="0" w:space="0" w:color="auto"/>
        <w:left w:val="none" w:sz="0" w:space="0" w:color="auto"/>
        <w:bottom w:val="none" w:sz="0" w:space="0" w:color="auto"/>
        <w:right w:val="none" w:sz="0" w:space="0" w:color="auto"/>
      </w:divBdr>
    </w:div>
    <w:div w:id="1948196480">
      <w:bodyDiv w:val="1"/>
      <w:marLeft w:val="0"/>
      <w:marRight w:val="0"/>
      <w:marTop w:val="0"/>
      <w:marBottom w:val="0"/>
      <w:divBdr>
        <w:top w:val="none" w:sz="0" w:space="0" w:color="auto"/>
        <w:left w:val="none" w:sz="0" w:space="0" w:color="auto"/>
        <w:bottom w:val="none" w:sz="0" w:space="0" w:color="auto"/>
        <w:right w:val="none" w:sz="0" w:space="0" w:color="auto"/>
      </w:divBdr>
    </w:div>
    <w:div w:id="1965191219">
      <w:bodyDiv w:val="1"/>
      <w:marLeft w:val="0"/>
      <w:marRight w:val="0"/>
      <w:marTop w:val="0"/>
      <w:marBottom w:val="0"/>
      <w:divBdr>
        <w:top w:val="none" w:sz="0" w:space="0" w:color="auto"/>
        <w:left w:val="none" w:sz="0" w:space="0" w:color="auto"/>
        <w:bottom w:val="none" w:sz="0" w:space="0" w:color="auto"/>
        <w:right w:val="none" w:sz="0" w:space="0" w:color="auto"/>
      </w:divBdr>
    </w:div>
    <w:div w:id="2013096056">
      <w:bodyDiv w:val="1"/>
      <w:marLeft w:val="0"/>
      <w:marRight w:val="0"/>
      <w:marTop w:val="0"/>
      <w:marBottom w:val="0"/>
      <w:divBdr>
        <w:top w:val="none" w:sz="0" w:space="0" w:color="auto"/>
        <w:left w:val="none" w:sz="0" w:space="0" w:color="auto"/>
        <w:bottom w:val="none" w:sz="0" w:space="0" w:color="auto"/>
        <w:right w:val="none" w:sz="0" w:space="0" w:color="auto"/>
      </w:divBdr>
    </w:div>
    <w:div w:id="2102339056">
      <w:bodyDiv w:val="1"/>
      <w:marLeft w:val="0"/>
      <w:marRight w:val="0"/>
      <w:marTop w:val="0"/>
      <w:marBottom w:val="0"/>
      <w:divBdr>
        <w:top w:val="none" w:sz="0" w:space="0" w:color="auto"/>
        <w:left w:val="none" w:sz="0" w:space="0" w:color="auto"/>
        <w:bottom w:val="none" w:sz="0" w:space="0" w:color="auto"/>
        <w:right w:val="none" w:sz="0" w:space="0" w:color="auto"/>
      </w:divBdr>
    </w:div>
    <w:div w:id="2110730574">
      <w:bodyDiv w:val="1"/>
      <w:marLeft w:val="0"/>
      <w:marRight w:val="0"/>
      <w:marTop w:val="0"/>
      <w:marBottom w:val="0"/>
      <w:divBdr>
        <w:top w:val="none" w:sz="0" w:space="0" w:color="auto"/>
        <w:left w:val="none" w:sz="0" w:space="0" w:color="auto"/>
        <w:bottom w:val="none" w:sz="0" w:space="0" w:color="auto"/>
        <w:right w:val="none" w:sz="0" w:space="0" w:color="auto"/>
      </w:divBdr>
    </w:div>
    <w:div w:id="2138255823">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18</Pages>
  <Words>18756</Words>
  <Characters>106915</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Makhlouf</dc:creator>
  <cp:keywords/>
  <dc:description/>
  <cp:lastModifiedBy>Benjamin J. Makhlouf</cp:lastModifiedBy>
  <cp:revision>43</cp:revision>
  <dcterms:created xsi:type="dcterms:W3CDTF">2025-05-30T01:02:00Z</dcterms:created>
  <dcterms:modified xsi:type="dcterms:W3CDTF">2025-06-05T17:43:00Z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id="dI01jIsp"/&gt;&lt;style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