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DA52E2">
      <w:pPr>
        <w:jc w:val="center"/>
        <w:rPr>
          <w:rFonts w:ascii="Garamond" w:hAnsi="Garamond"/>
          <w:b/>
          <w:bCs/>
          <w:sz w:val="20"/>
          <w:szCs w:val="20"/>
        </w:rPr>
      </w:pPr>
    </w:p>
    <w:p w14:paraId="033ED441" w14:textId="0909BDD8" w:rsidR="00EB7BFF" w:rsidRPr="00EB7BFF" w:rsidRDefault="00EB7BFF" w:rsidP="00DA52E2">
      <w:pPr>
        <w:jc w:val="center"/>
        <w:rPr>
          <w:rFonts w:ascii="Garamond" w:hAnsi="Garamond"/>
          <w:b/>
          <w:bCs/>
          <w:sz w:val="20"/>
          <w:szCs w:val="20"/>
        </w:rPr>
      </w:pPr>
      <w:r w:rsidRPr="00EB7BFF">
        <w:rPr>
          <w:rFonts w:ascii="Garamond" w:hAnsi="Garamond"/>
          <w:b/>
          <w:bCs/>
          <w:sz w:val="20"/>
          <w:szCs w:val="20"/>
        </w:rPr>
        <w:t>Ben Makhlouf, Daniel Schindler, Tim Cline, Mark Scheuerell</w:t>
      </w:r>
    </w:p>
    <w:p w14:paraId="66F9D978" w14:textId="77777777" w:rsidR="00DA52E2" w:rsidRDefault="00DA52E2" w:rsidP="009076B8">
      <w:pPr>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0A40051"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21ECE2AC" w:rsidR="00C3570A" w:rsidRDefault="00033E6D" w:rsidP="00C3570A">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 shaped by the statistical averaging of multiple distinct, semi-independent sub-units distributed across space and time. Weak or negative covariance among these stocks helps buffer the broader population against the poor performance of any individual subunit, whose success may fluctuate in response to a dynamic mosaic of multi-dimensional environmental conditions. </w:t>
      </w:r>
      <w:r w:rsidRPr="006D1917">
        <w:rPr>
          <w:rFonts w:ascii="Garamond" w:hAnsi="Garamond"/>
          <w:sz w:val="22"/>
          <w:szCs w:val="22"/>
        </w:rPr>
        <w:t>This “portfolio effect” 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040237" w:rsidRPr="006D1917">
        <w:rPr>
          <w:rFonts w:ascii="Garamond" w:hAnsi="Garamond"/>
          <w:sz w:val="22"/>
          <w:szCs w:val="22"/>
        </w:rPr>
        <w:t xml:space="preserve"> </w:t>
      </w:r>
      <w:r w:rsidRPr="006D1917">
        <w:rPr>
          <w:rFonts w:ascii="Garamond" w:hAnsi="Garamond"/>
          <w:sz w:val="22"/>
          <w:szCs w:val="22"/>
        </w:rPr>
        <w:t xml:space="preserve">Ecosystems composed of numerous </w:t>
      </w:r>
      <w:r w:rsidRPr="006D1917">
        <w:rPr>
          <w:rFonts w:ascii="Garamond" w:hAnsi="Garamond"/>
          <w:sz w:val="22"/>
          <w:szCs w:val="22"/>
        </w:rPr>
        <w:lastRenderedPageBreak/>
        <w:t>negatively or weakly correlated “assets” are therefore better equipped to withstand both localized and system-wide disturbances, as such events may favor some components while disadvantaging others.</w:t>
      </w:r>
      <w:r w:rsidR="005549AA">
        <w:rPr>
          <w:rFonts w:ascii="Garamond" w:hAnsi="Garamond"/>
          <w:sz w:val="22"/>
          <w:szCs w:val="22"/>
        </w:rPr>
        <w:t xml:space="preserve"> </w:t>
      </w:r>
      <w:r w:rsidR="00C3570A" w:rsidRPr="00C3570A">
        <w:rPr>
          <w:rFonts w:ascii="Garamond" w:hAnsi="Garamond"/>
          <w:sz w:val="22"/>
          <w:szCs w:val="22"/>
        </w:rPr>
        <w:t>Additionally, both the duration and magnitude of resources available to communities depend on preserving this natural phenotypic diversity. 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C3570A" w:rsidRPr="00C3570A">
        <w:rPr>
          <w:rFonts w:ascii="Garamond" w:hAnsi="Garamond"/>
          <w:sz w:val="22"/>
          <w:szCs w:val="22"/>
        </w:rPr>
        <w:t>.</w:t>
      </w:r>
    </w:p>
    <w:p w14:paraId="146363ED" w14:textId="11EA54B2"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These include designing harvest methods which consider both overall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stock specific exploitation rate, which may vary throughout the season </w:t>
      </w:r>
      <w:r w:rsidR="005560A6">
        <w:rPr>
          <w:rFonts w:ascii="Garamond" w:hAnsi="Garamond"/>
          <w:sz w:val="22"/>
          <w:szCs w:val="22"/>
        </w:rPr>
        <w:fldChar w:fldCharType="begin"/>
      </w:r>
      <w:r w:rsidR="005560A6">
        <w:rPr>
          <w:rFonts w:ascii="Garamond" w:hAnsi="Garamond"/>
          <w:sz w:val="22"/>
          <w:szCs w:val="22"/>
        </w:rPr>
        <w:instrText xml:space="preserve"> ADDIN ZOTERO_ITEM CSL_CITATION {"citationID":"Pp73dZyx","properties":{"formattedCitation":"(Connors et al., 2020)","plainCitation":"(Connors et al., 2020)","noteIndex":0},"citationItems":[{"id":4530,"uris":["http://zotero.org/users/8421274/items/YSBPWJJ4"],"itemData":{"id":4530,"type":"article-journal","abstract":"Accounting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5560A6">
        <w:rPr>
          <w:rFonts w:ascii="Garamond" w:hAnsi="Garamond"/>
          <w:sz w:val="22"/>
          <w:szCs w:val="22"/>
        </w:rPr>
        <w:fldChar w:fldCharType="separate"/>
      </w:r>
      <w:r w:rsidR="005560A6" w:rsidRPr="005560A6">
        <w:rPr>
          <w:rFonts w:ascii="Garamond" w:hAnsi="Garamond"/>
          <w:sz w:val="22"/>
        </w:rPr>
        <w:t>(Connors et al., 2020)</w:t>
      </w:r>
      <w:r w:rsidR="005560A6">
        <w:rPr>
          <w:rFonts w:ascii="Garamond" w:hAnsi="Garamond"/>
          <w:sz w:val="22"/>
          <w:szCs w:val="22"/>
        </w:rPr>
        <w:fldChar w:fldCharType="end"/>
      </w:r>
      <w:r w:rsidR="00A06CC6" w:rsidRPr="006D1917">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 xml:space="preserve">harvest opportunities on healthy stocks while minimizing the risk of overexploitation for co-migrating weak stocks.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 xml:space="preserve">at sufficiently fine spatial and temporal scales. </w:t>
      </w:r>
    </w:p>
    <w:p w14:paraId="149BF2F0" w14:textId="7C948576" w:rsidR="003D0402" w:rsidRPr="006D1917" w:rsidRDefault="00DB1156" w:rsidP="008B4FCB">
      <w:pPr>
        <w:spacing w:line="480" w:lineRule="auto"/>
        <w:ind w:firstLine="720"/>
        <w:rPr>
          <w:rFonts w:ascii="Garamond" w:hAnsi="Garamond"/>
          <w:sz w:val="22"/>
          <w:szCs w:val="22"/>
        </w:rPr>
      </w:pPr>
      <w:r w:rsidRPr="006D1917">
        <w:rPr>
          <w:rFonts w:ascii="Garamond" w:hAnsi="Garamond"/>
          <w:sz w:val="22"/>
          <w:szCs w:val="22"/>
        </w:rPr>
        <w:lastRenderedPageBreak/>
        <w:t xml:space="preserve">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8B4FCB">
        <w:rPr>
          <w:rFonts w:ascii="Garamond" w:hAnsi="Garamond"/>
          <w:sz w:val="22"/>
          <w:szCs w:val="22"/>
        </w:rPr>
        <w:instrText xml:space="preserve"> ADDIN ZOTERO_ITEM CSL_CITATION {"citationID":"7EzFVXNC","properties":{"formattedCitation":"(Clark et al., 2015)","plainCitation":"(Clark et al., 2015)","noteIndex":0},"citationItems":[{"id":4532,"uris":["http://zotero.org/users/8421274/items/CSEI4Y28"],"itemData":{"id":4532,"type":"article-journal","abstract":"Variation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8B4FCB">
        <w:rPr>
          <w:rFonts w:ascii="Cambria Math" w:hAnsi="Cambria Math" w:cs="Cambria Math"/>
          <w:sz w:val="22"/>
          <w:szCs w:val="22"/>
        </w:rPr>
        <w:instrText>‐</w:instrText>
      </w:r>
      <w:r w:rsidR="008B4FCB">
        <w:rPr>
          <w:rFonts w:ascii="Garamond" w:hAnsi="Garamond"/>
          <w:sz w:val="22"/>
          <w:szCs w:val="22"/>
        </w:rPr>
        <w:instrText>wide effects of body size, sex, spawning location, and year on the timing of spawning</w:instrText>
      </w:r>
      <w:r w:rsidR="008B4FCB">
        <w:rPr>
          <w:rFonts w:ascii="Cambria Math" w:hAnsi="Cambria Math" w:cs="Cambria Math"/>
          <w:sz w:val="22"/>
          <w:szCs w:val="22"/>
        </w:rPr>
        <w:instrText>‐</w:instrText>
      </w:r>
      <w:r w:rsidR="008B4FCB">
        <w:rPr>
          <w:rFonts w:ascii="Garamond" w:hAnsi="Garamond"/>
          <w:sz w:val="22"/>
          <w:szCs w:val="22"/>
        </w:rPr>
        <w:instrText>run migration into the Togiak River. Migration data and spawning fate were collected using radiotelemetry and analyzed with mixed effects models to account for among</w:instrText>
      </w:r>
      <w:r w:rsidR="008B4FCB">
        <w:rPr>
          <w:rFonts w:ascii="Cambria Math" w:hAnsi="Cambria Math" w:cs="Cambria Math"/>
          <w:sz w:val="22"/>
          <w:szCs w:val="22"/>
        </w:rPr>
        <w:instrText>‐</w:instrText>
      </w:r>
      <w:r w:rsidR="008B4F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 basins</w:t>
      </w:r>
      <w:r w:rsidR="00FF4FD4" w:rsidRPr="006D1917">
        <w:rPr>
          <w:rFonts w:ascii="Garamond" w:hAnsi="Garamond"/>
          <w:sz w:val="22"/>
          <w:szCs w:val="22"/>
        </w:rPr>
        <w:t xml:space="preserve"> </w:t>
      </w:r>
      <w:r w:rsidR="006617C0" w:rsidRPr="006D1917">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00D38641" w14:textId="2F3E1504"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0455EBF9" w14:textId="7B3E570D" w:rsidR="007C20CB" w:rsidRPr="0032232D" w:rsidRDefault="009873E7" w:rsidP="0032232D">
      <w:pPr>
        <w:spacing w:line="480" w:lineRule="auto"/>
        <w:ind w:firstLine="720"/>
        <w:rPr>
          <w:rFonts w:ascii="Garamond" w:hAnsi="Garamond"/>
          <w:b/>
          <w:bCs/>
          <w:sz w:val="22"/>
          <w:szCs w:val="22"/>
          <w:u w:val="single"/>
        </w:rPr>
      </w:pPr>
      <w:r w:rsidRPr="006D1917">
        <w:rPr>
          <w:rFonts w:ascii="Garamond" w:eastAsia="Times New Roman" w:hAnsi="Garamond" w:cs="Times New Roman"/>
          <w:kern w:val="0"/>
          <w:sz w:val="22"/>
          <w:szCs w:val="22"/>
          <w14:ligatures w14:val="none"/>
        </w:rPr>
        <w:t xml:space="preserve">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w:t>
      </w:r>
      <w:r w:rsidRPr="006D1917">
        <w:rPr>
          <w:rFonts w:ascii="Garamond" w:eastAsia="Times New Roman" w:hAnsi="Garamond" w:cs="Times New Roman"/>
          <w:kern w:val="0"/>
          <w:sz w:val="22"/>
          <w:szCs w:val="22"/>
          <w14:ligatures w14:val="none"/>
        </w:rPr>
        <w:lastRenderedPageBreak/>
        <w:t xml:space="preserve">composition of returning salmon 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p>
    <w:p w14:paraId="1FD51603" w14:textId="77777777" w:rsidR="0032232D" w:rsidRDefault="0032232D"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
    <w:p w14:paraId="20862D65" w14:textId="77777777" w:rsidR="0032232D" w:rsidRDefault="0032232D"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
    <w:p w14:paraId="14EA6D50" w14:textId="4CBA4216" w:rsidR="00557824" w:rsidRPr="006D1917" w:rsidRDefault="009873E7"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Sample Prep and LA-ICPMS</w:t>
      </w:r>
    </w:p>
    <w:p w14:paraId="335FB6BC" w14:textId="5502F6B2" w:rsidR="00A524AD" w:rsidRPr="006D1917" w:rsidRDefault="0017407A" w:rsidP="006D191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sectioned along the transverse plane, mounted on microscope slides, and polished to expose internal growth structures (CITE). Prepared samples were analyzed at the University of Utah Strontium Isotope Laboratory using laser ablation inductively coupled plasma mass spectrometry (LA-ICP-MS). Laser ablation was conducted along a transect from the otolith core to just beyond the inferred onset of marine growth. </w:t>
      </w:r>
      <w:r w:rsidR="00A524AD" w:rsidRPr="006D1917">
        <w:rPr>
          <w:rFonts w:ascii="Garamond" w:eastAsia="Times New Roman" w:hAnsi="Garamond" w:cs="Times New Roman"/>
          <w:kern w:val="0"/>
          <w:sz w:val="22"/>
          <w:szCs w:val="22"/>
          <w14:ligatures w14:val="none"/>
        </w:rPr>
        <w:t xml:space="preserve">The result is a continuous measurement of Sr87/86 from early development until movement to the marine environment. From these data, the Sr8786 value associated with the natal freshwater rearing period was manually extracted </w:t>
      </w:r>
      <w:r w:rsidRPr="006D1917">
        <w:rPr>
          <w:rFonts w:ascii="Garamond" w:eastAsia="Times New Roman" w:hAnsi="Garamond" w:cs="Times New Roman"/>
          <w:kern w:val="0"/>
          <w:sz w:val="22"/>
          <w:szCs w:val="22"/>
          <w14:ligatures w14:val="none"/>
        </w:rPr>
        <w:t xml:space="preserve">by examining </w:t>
      </w:r>
      <w:r w:rsidR="00A524AD" w:rsidRPr="006D1917">
        <w:rPr>
          <w:rFonts w:ascii="Garamond" w:eastAsia="Times New Roman" w:hAnsi="Garamond" w:cs="Times New Roman"/>
          <w:kern w:val="0"/>
          <w:sz w:val="22"/>
          <w:szCs w:val="22"/>
          <w14:ligatures w14:val="none"/>
        </w:rPr>
        <w:t xml:space="preserve">changes in Sr8786 and Sr88 from the core region and morphological features of the otolith visible among the ablation path.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6967B9FC" w14:textId="568848A4" w:rsidR="00A524AD" w:rsidRPr="006D1917" w:rsidRDefault="00855E39"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A524AD" w:rsidRPr="006D1917">
        <w:rPr>
          <w:rFonts w:ascii="Garamond" w:eastAsia="Times New Roman" w:hAnsi="Garamond" w:cs="Times New Roman"/>
          <w:kern w:val="0"/>
          <w:sz w:val="22"/>
          <w:szCs w:val="22"/>
          <w14:ligatures w14:val="none"/>
        </w:rPr>
        <w:t xml:space="preserve">Sr87/86 </w:t>
      </w:r>
      <w:r w:rsidRPr="006D1917">
        <w:rPr>
          <w:rFonts w:ascii="Garamond" w:eastAsia="Times New Roman" w:hAnsi="Garamond" w:cs="Times New Roman"/>
          <w:kern w:val="0"/>
          <w:sz w:val="22"/>
          <w:szCs w:val="22"/>
          <w14:ligatures w14:val="none"/>
        </w:rPr>
        <w:t>ratios across the river basin, following the methodology described in Brennan et al. (2016) and Makhlouf et al. (2025). Briefly, Sr87</w:t>
      </w:r>
      <w:r w:rsidR="0032232D">
        <w:rPr>
          <w:rFonts w:ascii="Garamond" w:eastAsia="Times New Roman" w:hAnsi="Garamond" w:cs="Times New Roman"/>
          <w:kern w:val="0"/>
          <w:sz w:val="22"/>
          <w:szCs w:val="22"/>
          <w14:ligatures w14:val="none"/>
        </w:rPr>
        <w:t>/86</w:t>
      </w:r>
      <w:r w:rsidRPr="006D1917">
        <w:rPr>
          <w:rFonts w:ascii="Garamond" w:eastAsia="Times New Roman" w:hAnsi="Garamond" w:cs="Times New Roman"/>
          <w:kern w:val="0"/>
          <w:sz w:val="22"/>
          <w:szCs w:val="22"/>
          <w14:ligatures w14:val="none"/>
        </w:rPr>
        <w:t xml:space="preserve"> 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 The result is a spatially continuous estimate of Sr87/86 and associated uncertainty for all tributaries in the basin</w:t>
      </w:r>
      <w:r w:rsidR="0032232D">
        <w:rPr>
          <w:rFonts w:ascii="Garamond" w:eastAsia="Times New Roman" w:hAnsi="Garamond" w:cs="Times New Roman"/>
          <w:kern w:val="0"/>
          <w:sz w:val="22"/>
          <w:szCs w:val="22"/>
          <w14:ligatures w14:val="none"/>
        </w:rPr>
        <w:t xml:space="preserve"> (Figure 2).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lastRenderedPageBreak/>
        <w:t>Assignment framework and priors</w:t>
      </w:r>
    </w:p>
    <w:p w14:paraId="3829CEFD" w14:textId="717122DB" w:rsidR="00855E39" w:rsidRPr="006D1917" w:rsidRDefault="00855E39"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For each fish, a posterior probability of origin was calculated by comparing </w:t>
      </w:r>
      <w:r w:rsidR="0032232D">
        <w:rPr>
          <w:rFonts w:ascii="Garamond" w:eastAsia="Times New Roman" w:hAnsi="Garamond" w:cs="Times New Roman"/>
          <w:kern w:val="0"/>
          <w:sz w:val="22"/>
          <w:szCs w:val="22"/>
          <w14:ligatures w14:val="none"/>
        </w:rPr>
        <w:t xml:space="preserve">the </w:t>
      </w:r>
      <w:r w:rsidRPr="006D1917">
        <w:rPr>
          <w:rFonts w:ascii="Garamond" w:eastAsia="Times New Roman" w:hAnsi="Garamond" w:cs="Times New Roman"/>
          <w:kern w:val="0"/>
          <w:sz w:val="22"/>
          <w:szCs w:val="22"/>
          <w14:ligatures w14:val="none"/>
        </w:rPr>
        <w:t xml:space="preserve">extracted natal Sr8786 value to values predicted across the </w:t>
      </w:r>
      <w:proofErr w:type="spellStart"/>
      <w:r w:rsidRPr="006D1917">
        <w:rPr>
          <w:rFonts w:ascii="Garamond" w:eastAsia="Times New Roman" w:hAnsi="Garamond" w:cs="Times New Roman"/>
          <w:kern w:val="0"/>
          <w:sz w:val="22"/>
          <w:szCs w:val="22"/>
          <w14:ligatures w14:val="none"/>
        </w:rPr>
        <w:t>isoscape</w:t>
      </w:r>
      <w:proofErr w:type="spellEnd"/>
      <w:r w:rsidRPr="006D1917">
        <w:rPr>
          <w:rFonts w:ascii="Garamond" w:eastAsia="Times New Roman" w:hAnsi="Garamond" w:cs="Times New Roman"/>
          <w:kern w:val="0"/>
          <w:sz w:val="22"/>
          <w:szCs w:val="22"/>
          <w14:ligatures w14:val="none"/>
        </w:rPr>
        <w:t xml:space="preserve"> using a Bayesian probabilistic framework. This approach incorporates both spatial variation in isotopic ratios and associated error; </w:t>
      </w:r>
    </w:p>
    <w:p w14:paraId="18225ADD" w14:textId="4421D4B7" w:rsidR="0017407A" w:rsidRPr="0032232D" w:rsidRDefault="00855E39"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t xml:space="preserve">[ </w:t>
      </w:r>
      <w:r w:rsidR="0017407A" w:rsidRPr="0032232D">
        <w:rPr>
          <w:rFonts w:ascii="Garamond" w:eastAsia="Times New Roman" w:hAnsi="Garamond" w:cs="Times New Roman"/>
          <w:b/>
          <w:bCs/>
          <w:kern w:val="0"/>
          <w:sz w:val="22"/>
          <w:szCs w:val="22"/>
          <w14:ligatures w14:val="none"/>
        </w:rPr>
        <w:t xml:space="preserve">Insert Model Here] </w:t>
      </w:r>
    </w:p>
    <w:p w14:paraId="5F4F9A08" w14:textId="39BBC7BB" w:rsidR="0017407A" w:rsidRPr="0032232D" w:rsidRDefault="0017407A"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t xml:space="preserve">In which.. </w:t>
      </w:r>
    </w:p>
    <w:p w14:paraId="3D1614CC" w14:textId="5A6ABD23" w:rsidR="00855E39" w:rsidRPr="0032232D" w:rsidRDefault="0017407A"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t xml:space="preserve">[ Describe the Model Here] </w:t>
      </w:r>
    </w:p>
    <w:p w14:paraId="40BCFB4A" w14:textId="2912460C" w:rsidR="0017407A" w:rsidRPr="0032232D" w:rsidRDefault="00855E39"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t xml:space="preserve">Presence and habitat priors </w:t>
      </w:r>
    </w:p>
    <w:p w14:paraId="4EA37D89" w14:textId="38CCEB8D" w:rsidR="0032232D" w:rsidRPr="000A4B6C" w:rsidRDefault="00855E39" w:rsidP="000A4B6C">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008C3841" w:rsidRPr="006D1917">
        <w:rPr>
          <w:rFonts w:ascii="Garamond" w:hAnsi="Garamond"/>
          <w:sz w:val="22"/>
          <w:szCs w:val="22"/>
        </w:rPr>
        <w:t xml:space="preserve">First, a </w:t>
      </w:r>
      <w:r w:rsidR="008C3841" w:rsidRPr="006D1917">
        <w:rPr>
          <w:rFonts w:ascii="Garamond" w:eastAsia="Times New Roman" w:hAnsi="Garamond"/>
          <w:sz w:val="22"/>
          <w:szCs w:val="22"/>
        </w:rPr>
        <w:t>stream order prior</w:t>
      </w:r>
      <w:r w:rsidR="008C3841" w:rsidRPr="006D1917">
        <w:rPr>
          <w:rFonts w:ascii="Garamond" w:hAnsi="Garamond"/>
          <w:sz w:val="22"/>
          <w:szCs w:val="22"/>
        </w:rPr>
        <w:t xml:space="preserve"> was applied to limit assignments to higher-order tributaries, reflecting </w:t>
      </w:r>
      <w:r w:rsidR="00FB2460" w:rsidRPr="006D1917">
        <w:rPr>
          <w:rFonts w:ascii="Garamond" w:hAnsi="Garamond"/>
          <w:sz w:val="22"/>
          <w:szCs w:val="22"/>
        </w:rPr>
        <w:t xml:space="preserve">Chinook Salmon’s </w:t>
      </w:r>
      <w:r w:rsidR="008C3841" w:rsidRPr="006D1917">
        <w:rPr>
          <w:rFonts w:ascii="Garamond" w:hAnsi="Garamond"/>
          <w:sz w:val="22"/>
          <w:szCs w:val="22"/>
        </w:rPr>
        <w:t xml:space="preserve">known preference for spawning in larger streams. Only reaches with </w:t>
      </w:r>
      <w:r w:rsidR="00FB2460" w:rsidRPr="006D1917">
        <w:rPr>
          <w:rFonts w:ascii="Garamond" w:hAnsi="Garamond"/>
          <w:sz w:val="22"/>
          <w:szCs w:val="22"/>
        </w:rPr>
        <w:t xml:space="preserve">a </w:t>
      </w:r>
      <w:r w:rsidR="008C3841" w:rsidRPr="006D1917">
        <w:rPr>
          <w:rFonts w:ascii="Garamond" w:hAnsi="Garamond"/>
          <w:sz w:val="22"/>
          <w:szCs w:val="22"/>
        </w:rPr>
        <w:t>stream order of 4 or greater we</w:t>
      </w:r>
      <w:r w:rsidR="00FB2460" w:rsidRPr="006D1917">
        <w:rPr>
          <w:rFonts w:ascii="Garamond" w:hAnsi="Garamond"/>
          <w:sz w:val="22"/>
          <w:szCs w:val="22"/>
        </w:rPr>
        <w:t xml:space="preserve">re </w:t>
      </w:r>
      <w:r w:rsidR="0032232D" w:rsidRPr="006D1917">
        <w:rPr>
          <w:rFonts w:ascii="Garamond" w:hAnsi="Garamond"/>
          <w:sz w:val="22"/>
          <w:szCs w:val="22"/>
        </w:rPr>
        <w:t>included</w:t>
      </w:r>
      <w:r w:rsidR="00FB2460" w:rsidRPr="006D1917">
        <w:rPr>
          <w:rFonts w:ascii="Garamond" w:hAnsi="Garamond"/>
          <w:sz w:val="22"/>
          <w:szCs w:val="22"/>
        </w:rPr>
        <w:t xml:space="preserve"> in assignments (</w:t>
      </w:r>
      <w:r w:rsidR="008C3841" w:rsidRPr="006D1917">
        <w:rPr>
          <w:rFonts w:ascii="Garamond" w:hAnsi="Garamond"/>
          <w:sz w:val="22"/>
          <w:szCs w:val="22"/>
        </w:rPr>
        <w:t>assigned a prior value of 1), while smaller tributaries were excluded (assigned a value of 0).</w:t>
      </w:r>
      <w:r w:rsidR="00FB2460" w:rsidRPr="006D1917">
        <w:rPr>
          <w:rFonts w:ascii="Garamond" w:hAnsi="Garamond"/>
          <w:sz w:val="22"/>
          <w:szCs w:val="22"/>
        </w:rPr>
        <w:t xml:space="preserve"> </w:t>
      </w:r>
      <w:r w:rsidR="008C3841" w:rsidRPr="006D1917">
        <w:rPr>
          <w:rFonts w:ascii="Garamond" w:eastAsia="Times New Roman" w:hAnsi="Garamond" w:cs="Times New Roman"/>
          <w:kern w:val="0"/>
          <w:sz w:val="22"/>
          <w:szCs w:val="22"/>
          <w14:ligatures w14:val="none"/>
        </w:rPr>
        <w:t>Second, a habitat suitability prior was used to exclude regions below a threshold contributing slope value (threshold to be inserted from [source])</w:t>
      </w:r>
      <w:r w:rsidR="00FB2460" w:rsidRPr="006D1917">
        <w:rPr>
          <w:rFonts w:ascii="Garamond" w:eastAsia="Times New Roman" w:hAnsi="Garamond" w:cs="Times New Roman"/>
          <w:kern w:val="0"/>
          <w:sz w:val="22"/>
          <w:szCs w:val="22"/>
          <w14:ligatures w14:val="none"/>
        </w:rPr>
        <w:t xml:space="preserve">, thereby preventing assignment to exceedingly slow or flat reaches determined to be unsuitable of spawning Chinook. </w:t>
      </w:r>
      <w:r w:rsidR="008C3841" w:rsidRPr="006D1917">
        <w:rPr>
          <w:rFonts w:ascii="Garamond" w:eastAsia="Times New Roman" w:hAnsi="Garamond" w:cs="Times New Roman"/>
          <w:kern w:val="0"/>
          <w:sz w:val="22"/>
          <w:szCs w:val="22"/>
          <w14:ligatures w14:val="none"/>
        </w:rPr>
        <w:t xml:space="preserve">Finally, </w:t>
      </w:r>
      <w:r w:rsidR="00A400C6" w:rsidRPr="006D1917">
        <w:rPr>
          <w:rFonts w:ascii="Garamond" w:eastAsia="Times New Roman" w:hAnsi="Garamond" w:cs="Times New Roman"/>
          <w:kern w:val="0"/>
          <w:sz w:val="22"/>
          <w:szCs w:val="22"/>
          <w14:ligatures w14:val="none"/>
        </w:rPr>
        <w:t xml:space="preserve">data was included on observed locations of spawning chinook presence </w:t>
      </w:r>
      <w:r w:rsidR="006B764B" w:rsidRPr="006D1917">
        <w:rPr>
          <w:rFonts w:ascii="Garamond" w:eastAsia="Times New Roman" w:hAnsi="Garamond" w:cs="Times New Roman"/>
          <w:kern w:val="0"/>
          <w:sz w:val="22"/>
          <w:szCs w:val="22"/>
          <w14:ligatures w14:val="none"/>
        </w:rPr>
        <w:t>derived from USGS Arctic-Yukon-Kuskokwim (AYK) Chinook Salmon Intrinsic potential mapping. This dataset synthesizes several sources of data on observed Chinook salmon spawners (CITE, CITE, CITE)</w:t>
      </w:r>
      <w:r w:rsidR="002D60DB" w:rsidRPr="006D1917">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w:t>
      </w:r>
      <w:r w:rsidR="008C3841" w:rsidRPr="006D1917">
        <w:rPr>
          <w:rFonts w:ascii="Garamond" w:eastAsia="Times New Roman" w:hAnsi="Garamond" w:cs="Times New Roman"/>
          <w:kern w:val="0"/>
          <w:sz w:val="22"/>
          <w:szCs w:val="22"/>
          <w14:ligatures w14:val="none"/>
        </w:rPr>
        <w:t xml:space="preserve"> identified in the IP dataset as lacking observed Chinook spawning were </w:t>
      </w:r>
      <w:r w:rsidR="002D60DB" w:rsidRPr="006D1917">
        <w:rPr>
          <w:rFonts w:ascii="Garamond" w:eastAsia="Times New Roman" w:hAnsi="Garamond" w:cs="Times New Roman"/>
          <w:kern w:val="0"/>
          <w:sz w:val="22"/>
          <w:szCs w:val="22"/>
          <w14:ligatures w14:val="none"/>
        </w:rPr>
        <w:t>assigned as</w:t>
      </w:r>
      <w:r w:rsidR="008C3841" w:rsidRPr="006D1917">
        <w:rPr>
          <w:rFonts w:ascii="Garamond" w:eastAsia="Times New Roman" w:hAnsi="Garamond" w:cs="Times New Roman"/>
          <w:kern w:val="0"/>
          <w:sz w:val="22"/>
          <w:szCs w:val="22"/>
          <w14:ligatures w14:val="none"/>
        </w:rPr>
        <w:t xml:space="preserve"> a value of 0</w:t>
      </w:r>
      <w:r w:rsidR="002D60DB" w:rsidRPr="006D1917">
        <w:rPr>
          <w:rFonts w:ascii="Garamond" w:eastAsia="Times New Roman" w:hAnsi="Garamond" w:cs="Times New Roman"/>
          <w:kern w:val="0"/>
          <w:sz w:val="22"/>
          <w:szCs w:val="22"/>
          <w14:ligatures w14:val="none"/>
        </w:rPr>
        <w:t xml:space="preserve">. </w:t>
      </w:r>
    </w:p>
    <w:p w14:paraId="2B0531BA" w14:textId="13A22649" w:rsidR="00064EDF" w:rsidRPr="006D1917" w:rsidRDefault="00064EDF" w:rsidP="006D1917">
      <w:pPr>
        <w:spacing w:line="480" w:lineRule="auto"/>
        <w:rPr>
          <w:rFonts w:ascii="Garamond" w:hAnsi="Garamond"/>
          <w:b/>
          <w:bCs/>
          <w:sz w:val="22"/>
          <w:szCs w:val="22"/>
        </w:rPr>
      </w:pPr>
      <w:r w:rsidRPr="006D1917">
        <w:rPr>
          <w:rFonts w:ascii="Garamond" w:hAnsi="Garamond"/>
          <w:b/>
          <w:bCs/>
          <w:sz w:val="22"/>
          <w:szCs w:val="22"/>
        </w:rPr>
        <w:lastRenderedPageBreak/>
        <w:t xml:space="preserve">Production estimates and time binning </w:t>
      </w:r>
    </w:p>
    <w:p w14:paraId="4CA3B1AB" w14:textId="3E8A7510" w:rsidR="004B12B3" w:rsidRDefault="007942D8" w:rsidP="004B12B3">
      <w:pPr>
        <w:spacing w:line="480" w:lineRule="auto"/>
        <w:ind w:firstLine="720"/>
        <w:rPr>
          <w:rFonts w:ascii="Garamond" w:hAnsi="Garamond"/>
          <w:sz w:val="22"/>
          <w:szCs w:val="22"/>
        </w:rPr>
      </w:pPr>
      <w:r w:rsidRPr="006D1917">
        <w:rPr>
          <w:rFonts w:ascii="Garamond" w:hAnsi="Garamond"/>
          <w:sz w:val="22"/>
          <w:szCs w:val="22"/>
        </w:rPr>
        <w:t xml:space="preserve">Basin-scale estimates of natal origin distribution were generated for each year by summing posterior probabilities across all individuals at each spatial location. To examine temporal patterns within the run, the dataset was divided into four temporal quartiles. The first quartile extended through June 11th, corresponding to the end of the front-end fishing closure on the Kuskokwim River. The second and third quartiles each spanned 10 days, while the final quartile included the remainder of the run. Minor variation in the duration of the fourth quartile occurred among years due to differences in run timing and length; however, these deviations were limited to a few days and represented a negligible portion of the overall CPUE. </w:t>
      </w:r>
      <w:r w:rsidR="00B71156" w:rsidRPr="006D1917">
        <w:rPr>
          <w:rFonts w:ascii="Garamond" w:hAnsi="Garamond"/>
          <w:sz w:val="22"/>
          <w:szCs w:val="22"/>
        </w:rPr>
        <w:t>For each quartile, tributary-specific production estimates were normalized to sum to one</w:t>
      </w:r>
      <w:r w:rsidR="004B12B3">
        <w:rPr>
          <w:rFonts w:ascii="Garamond" w:hAnsi="Garamond"/>
          <w:sz w:val="22"/>
          <w:szCs w:val="22"/>
        </w:rPr>
        <w:t xml:space="preserve">. For each quartile, values were rescaled to range from 0-1, and figures were produced to display the relative concentration of natal origin distributions across the basin. </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3AC66794" w14:textId="16E9A4BC" w:rsidR="0032232D" w:rsidRPr="006D1917" w:rsidRDefault="004B12B3" w:rsidP="004B12B3">
      <w:pPr>
        <w:spacing w:line="480" w:lineRule="auto"/>
        <w:rPr>
          <w:rFonts w:ascii="Garamond" w:hAnsi="Garamond"/>
          <w:sz w:val="22"/>
          <w:szCs w:val="22"/>
        </w:rPr>
      </w:pPr>
      <w:r w:rsidRPr="006D1917">
        <w:rPr>
          <w:rFonts w:ascii="Garamond" w:eastAsia="Times New Roman" w:hAnsi="Garamond" w:cs="Times New Roman"/>
          <w:b/>
          <w:bCs/>
          <w:kern w:val="0"/>
          <w:sz w:val="22"/>
          <w:szCs w:val="22"/>
          <w14:ligatures w14:val="none"/>
        </w:rPr>
        <w:tab/>
      </w:r>
      <w:r w:rsidRPr="006D1917">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[insert list of tributaries, e.g., the </w:t>
      </w:r>
      <w:proofErr w:type="spellStart"/>
      <w:r w:rsidRPr="006D1917">
        <w:rPr>
          <w:rFonts w:ascii="Garamond" w:hAnsi="Garamond"/>
          <w:sz w:val="22"/>
          <w:szCs w:val="22"/>
        </w:rPr>
        <w:t>Salcha</w:t>
      </w:r>
      <w:proofErr w:type="spellEnd"/>
      <w:r w:rsidRPr="006D1917">
        <w:rPr>
          <w:rFonts w:ascii="Garamond" w:hAnsi="Garamond"/>
          <w:sz w:val="22"/>
          <w:szCs w:val="22"/>
        </w:rPr>
        <w:t>, Chena, Tanana, etc.]. For each of these systems, all upstream stream segments were grouped together and assigned a common management unit identifier. Additional tributaries not explicitly identified in ADFG’s management priorities were organized into units of comparable size or hydrological significance, including [insert remaining groupings here].</w:t>
      </w:r>
      <w:r>
        <w:rPr>
          <w:rFonts w:ascii="Garamond" w:hAnsi="Garamond"/>
          <w:sz w:val="22"/>
          <w:szCs w:val="22"/>
        </w:rPr>
        <w:t xml:space="preserve"> Rescaled production values were binned by management unit and rescaled to sum to one within each quartile. The resulting dataset are timeseries of proportional contribution for each region and for each quartile (Q0-Q4) from 2017-2021 (Figure X). </w:t>
      </w:r>
    </w:p>
    <w:p w14:paraId="74167350" w14:textId="3D227A05" w:rsidR="009873E7" w:rsidRPr="006D1917" w:rsidRDefault="009873E7"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 xml:space="preserve">Dynamic Factor Analysis </w:t>
      </w:r>
    </w:p>
    <w:p w14:paraId="3372DC48" w14:textId="77777777" w:rsidR="00B84613" w:rsidRDefault="007942D8" w:rsidP="004B12B3">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b/>
      </w:r>
      <w:r w:rsidR="00B84613" w:rsidRPr="00B84613">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w:t>
      </w:r>
      <w:r w:rsidR="00B84613" w:rsidRPr="00B84613">
        <w:rPr>
          <w:rFonts w:ascii="Garamond" w:eastAsia="Times New Roman" w:hAnsi="Garamond" w:cs="Times New Roman"/>
          <w:kern w:val="0"/>
          <w:sz w:val="22"/>
          <w:szCs w:val="22"/>
          <w14:ligatures w14:val="none"/>
        </w:rPr>
        <w:lastRenderedPageBreak/>
        <w:t>is a multivariate time series technique that models observed series as linear combinations of a smaller set of latent trends, capturing underlying structure in the data while accounting for observation error. This approach is particularly well suited for dimensionality reduction across multiple correlated time series. It provides a systematic framework for identifying the number and shape of underlying trends, estimating their influence (loadings) on each time series, and exploring the effects of potential covariates.</w:t>
      </w:r>
    </w:p>
    <w:p w14:paraId="30E72AB0" w14:textId="77777777" w:rsidR="00B84613" w:rsidRDefault="00B84613" w:rsidP="004B12B3">
      <w:pPr>
        <w:spacing w:before="100" w:beforeAutospacing="1" w:after="100" w:afterAutospacing="1" w:line="480" w:lineRule="auto"/>
        <w:rPr>
          <w:rFonts w:ascii="Garamond" w:eastAsia="Times New Roman" w:hAnsi="Garamond" w:cs="Times New Roman"/>
          <w:kern w:val="0"/>
          <w:sz w:val="22"/>
          <w:szCs w:val="22"/>
          <w14:ligatures w14:val="none"/>
        </w:rPr>
      </w:pPr>
    </w:p>
    <w:p w14:paraId="69B805CD" w14:textId="77777777"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t xml:space="preserve">Model Selection </w:t>
      </w:r>
    </w:p>
    <w:p w14:paraId="41A5DFB6"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 xml:space="preserve">We used a three-stage model selection approach. First, we compared models with one to four latent trends by calculating </w:t>
      </w:r>
      <w:r w:rsidRPr="00B84613">
        <w:rPr>
          <w:rFonts w:ascii="Garamond" w:eastAsia="Times New Roman" w:hAnsi="Garamond" w:cs="Times New Roman"/>
          <w:b/>
          <w:bCs/>
          <w:kern w:val="0"/>
          <w:sz w:val="22"/>
          <w:szCs w:val="22"/>
          <w14:ligatures w14:val="none"/>
        </w:rPr>
        <w:t>partial R²</w:t>
      </w:r>
      <w:r w:rsidRPr="00B84613">
        <w:rPr>
          <w:rFonts w:ascii="Garamond" w:eastAsia="Times New Roman" w:hAnsi="Garamond" w:cs="Times New Roman"/>
          <w:kern w:val="0"/>
          <w:sz w:val="22"/>
          <w:szCs w:val="22"/>
          <w14:ligatures w14:val="none"/>
        </w:rPr>
        <w:t>, defined as</w:t>
      </w:r>
      <w:r>
        <w:rPr>
          <w:rFonts w:ascii="Garamond" w:eastAsia="Times New Roman" w:hAnsi="Garamond" w:cs="Times New Roman"/>
          <w:kern w:val="0"/>
          <w:sz w:val="22"/>
          <w:szCs w:val="22"/>
          <w14:ligatures w14:val="none"/>
        </w:rPr>
        <w:t xml:space="preserve">: </w:t>
      </w:r>
    </w:p>
    <w:p w14:paraId="71A8A018"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noProof/>
          <w:kern w:val="0"/>
          <w:sz w:val="22"/>
          <w:szCs w:val="22"/>
          <w14:ligatures w14:val="none"/>
        </w:rPr>
        <w:drawing>
          <wp:inline distT="0" distB="0" distL="0" distR="0" wp14:anchorId="3FC17D82" wp14:editId="51F2AF05">
            <wp:extent cx="2322576" cy="710435"/>
            <wp:effectExtent l="0" t="0" r="1905" b="0"/>
            <wp:docPr id="5297434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3415" name="Picture 1" descr="A black background with white text&#10;&#10;AI-generated content may be incorrect."/>
                    <pic:cNvPicPr/>
                  </pic:nvPicPr>
                  <pic:blipFill>
                    <a:blip r:embed="rId5"/>
                    <a:stretch>
                      <a:fillRect/>
                    </a:stretch>
                  </pic:blipFill>
                  <pic:spPr>
                    <a:xfrm>
                      <a:off x="0" y="0"/>
                      <a:ext cx="2371090" cy="725275"/>
                    </a:xfrm>
                    <a:prstGeom prst="rect">
                      <a:avLst/>
                    </a:prstGeom>
                  </pic:spPr>
                </pic:pic>
              </a:graphicData>
            </a:graphic>
          </wp:inline>
        </w:drawing>
      </w:r>
    </w:p>
    <w:p w14:paraId="0DA330B1" w14:textId="21D14649"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where Rm2R^2_{m}Rm2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overall R2R^2R2 for the model with mmm trends and Rm−12R^2_{m-1}Rm−12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R2R^2R2 for the model with one fewer trend. This metric lets us see exactly how much extra variation each additional trend explains, rather than relying on information criteria alone.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Second, using the number of latent trends that provided the best fit in the first stage, we selected the optimal structure for the observation error covariance matrix R\</w:t>
      </w:r>
      <w:proofErr w:type="spellStart"/>
      <w:r w:rsidRPr="00B84613">
        <w:rPr>
          <w:rFonts w:ascii="Garamond" w:eastAsia="Times New Roman" w:hAnsi="Garamond" w:cs="Times New Roman"/>
          <w:kern w:val="0"/>
          <w:sz w:val="22"/>
          <w:szCs w:val="22"/>
          <w14:ligatures w14:val="none"/>
        </w:rPr>
        <w:t>mathbf</w:t>
      </w:r>
      <w:proofErr w:type="spellEnd"/>
      <w:r w:rsidRPr="00B84613">
        <w:rPr>
          <w:rFonts w:ascii="Garamond" w:eastAsia="Times New Roman" w:hAnsi="Garamond" w:cs="Times New Roman"/>
          <w:kern w:val="0"/>
          <w:sz w:val="22"/>
          <w:szCs w:val="22"/>
          <w14:ligatures w14:val="none"/>
        </w:rPr>
        <w:t>{R}R. We compared two common options: “</w:t>
      </w:r>
      <w:r w:rsidRPr="00B84613">
        <w:rPr>
          <w:rFonts w:ascii="Garamond" w:eastAsia="Times New Roman" w:hAnsi="Garamond" w:cs="Times New Roman"/>
          <w:b/>
          <w:bCs/>
          <w:kern w:val="0"/>
          <w:sz w:val="22"/>
          <w:szCs w:val="22"/>
          <w14:ligatures w14:val="none"/>
        </w:rPr>
        <w:t>diagonal and equal</w:t>
      </w:r>
      <w:r w:rsidRPr="00B84613">
        <w:rPr>
          <w:rFonts w:ascii="Garamond" w:eastAsia="Times New Roman" w:hAnsi="Garamond" w:cs="Times New Roman"/>
          <w:kern w:val="0"/>
          <w:sz w:val="22"/>
          <w:szCs w:val="22"/>
          <w14:ligatures w14:val="none"/>
        </w:rPr>
        <w:t xml:space="preserve">,” which assumes that </w:t>
      </w:r>
      <w:proofErr w:type="spellStart"/>
      <w:r w:rsidRPr="00B84613">
        <w:rPr>
          <w:rFonts w:ascii="Garamond" w:eastAsia="Times New Roman" w:hAnsi="Garamond" w:cs="Times New Roman"/>
          <w:kern w:val="0"/>
          <w:sz w:val="22"/>
          <w:szCs w:val="22"/>
          <w14:ligatures w14:val="none"/>
        </w:rPr>
        <w:t>all time</w:t>
      </w:r>
      <w:proofErr w:type="spellEnd"/>
      <w:r w:rsidRPr="00B84613">
        <w:rPr>
          <w:rFonts w:ascii="Garamond" w:eastAsia="Times New Roman" w:hAnsi="Garamond" w:cs="Times New Roman"/>
          <w:kern w:val="0"/>
          <w:sz w:val="22"/>
          <w:szCs w:val="22"/>
          <w14:ligatures w14:val="none"/>
        </w:rPr>
        <w:t xml:space="preserve"> series have the same observation error variance and are uncorrelated; and “</w:t>
      </w:r>
      <w:r w:rsidRPr="00B84613">
        <w:rPr>
          <w:rFonts w:ascii="Garamond" w:eastAsia="Times New Roman" w:hAnsi="Garamond" w:cs="Times New Roman"/>
          <w:b/>
          <w:bCs/>
          <w:kern w:val="0"/>
          <w:sz w:val="22"/>
          <w:szCs w:val="22"/>
          <w14:ligatures w14:val="none"/>
        </w:rPr>
        <w:t>diagonal and unequal</w:t>
      </w:r>
      <w:r w:rsidRPr="00B84613">
        <w:rPr>
          <w:rFonts w:ascii="Garamond" w:eastAsia="Times New Roman" w:hAnsi="Garamond" w:cs="Times New Roman"/>
          <w:kern w:val="0"/>
          <w:sz w:val="22"/>
          <w:szCs w:val="22"/>
          <w14:ligatures w14:val="none"/>
        </w:rPr>
        <w:t>,” which also assumes no correlation between series but allows each one to have its own error variance.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Finally, we tested whether including covariates improved model performance by adding two variables: the relative CPUE for each management unit at each time step, and the total annual run size. We compared models with and without these covariates to evaluate whether they explained additional variation beyond the latent trends, helping to identify potential drivers of the observed temporal patterns</w:t>
      </w:r>
    </w:p>
    <w:p w14:paraId="4CD1E56C" w14:textId="6951036C"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lastRenderedPageBreak/>
        <w:t>Model Results and Spatial representation of feature loading</w:t>
      </w:r>
    </w:p>
    <w:p w14:paraId="0857169E" w14:textId="7D4DF1B2" w:rsidR="000A4B6C" w:rsidRPr="000A4B6C" w:rsidRDefault="000A4B6C" w:rsidP="006D191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0A4B6C">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 To improve interpretability, we applied varimax rotation, a common method that clarifies the loading patterns by making it easier to see which management units are most strongly associated with each trend.</w:t>
      </w:r>
      <w:r>
        <w:rPr>
          <w:rFonts w:ascii="Garamond" w:eastAsia="Times New Roman" w:hAnsi="Garamond" w:cs="Times New Roman"/>
          <w:kern w:val="0"/>
          <w:sz w:val="22"/>
          <w:szCs w:val="22"/>
          <w14:ligatures w14:val="none"/>
        </w:rPr>
        <w:t xml:space="preserve"> </w:t>
      </w:r>
      <w:r w:rsidRPr="000A4B6C">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 spatiotemporal patterns.</w:t>
      </w:r>
    </w:p>
    <w:p w14:paraId="16C8A3AF" w14:textId="0687FCED" w:rsidR="005F3448" w:rsidRPr="006D1917" w:rsidRDefault="005F3448"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Results: </w:t>
      </w:r>
    </w:p>
    <w:p w14:paraId="787591EC" w14:textId="634C5C1C" w:rsidR="000A4B6C" w:rsidRPr="000A4B6C" w:rsidRDefault="000A4B6C" w:rsidP="000A4B6C">
      <w:pPr>
        <w:spacing w:before="100" w:beforeAutospacing="1" w:after="100" w:afterAutospacing="1" w:line="480" w:lineRule="auto"/>
        <w:rPr>
          <w:rFonts w:ascii="Garamond" w:hAnsi="Garamond"/>
          <w:sz w:val="22"/>
          <w:szCs w:val="22"/>
        </w:rPr>
      </w:pPr>
      <w:r w:rsidRPr="000A4B6C">
        <w:rPr>
          <w:rFonts w:ascii="Garamond" w:hAnsi="Garamond"/>
          <w:sz w:val="22"/>
          <w:szCs w:val="22"/>
        </w:rPr>
        <w:t>Model comparison using partial R2R^2R2 values indicated that a two-trend model best explained the temporal patterns in management unit contributions. The first trend accounted for X% of the total variance, while the second explained an additional Y% (partial R2=ZR^2 = ZR2=Z). Adding a third trend resulted in minimal improvement (partial R2&lt;0.05R^2 &lt; 0.05R2&lt;0.05), supporting the choice of two underlying trends.</w:t>
      </w:r>
      <w:r>
        <w:rPr>
          <w:rFonts w:ascii="Garamond" w:hAnsi="Garamond"/>
          <w:sz w:val="22"/>
          <w:szCs w:val="22"/>
        </w:rPr>
        <w:t xml:space="preserve"> </w:t>
      </w:r>
      <w:r w:rsidRPr="000A4B6C">
        <w:rPr>
          <w:rFonts w:ascii="Garamond" w:hAnsi="Garamond"/>
          <w:sz w:val="22"/>
          <w:szCs w:val="22"/>
        </w:rPr>
        <w:t>Comparison of observation error structures favored the diagonal and unequal model over the diagonal and equal alternative (</w:t>
      </w:r>
      <w:proofErr w:type="spellStart"/>
      <w:r w:rsidRPr="000A4B6C">
        <w:rPr>
          <w:rFonts w:ascii="Garamond" w:hAnsi="Garamond"/>
          <w:sz w:val="22"/>
          <w:szCs w:val="22"/>
        </w:rPr>
        <w:t>ΔAICc</w:t>
      </w:r>
      <w:proofErr w:type="spellEnd"/>
      <w:r w:rsidRPr="000A4B6C">
        <w:rPr>
          <w:rFonts w:ascii="Garamond" w:hAnsi="Garamond"/>
          <w:sz w:val="22"/>
          <w:szCs w:val="22"/>
        </w:rPr>
        <w:t xml:space="preserve"> = X), indicating that observation error variances differ among management units and supporting unit-specific error terms.</w:t>
      </w:r>
      <w:r>
        <w:rPr>
          <w:rFonts w:ascii="Garamond" w:hAnsi="Garamond"/>
          <w:sz w:val="22"/>
          <w:szCs w:val="22"/>
        </w:rPr>
        <w:t xml:space="preserve"> </w:t>
      </w:r>
      <w:r w:rsidRPr="000A4B6C">
        <w:rPr>
          <w:rFonts w:ascii="Garamond" w:hAnsi="Garamond"/>
          <w:sz w:val="22"/>
          <w:szCs w:val="22"/>
        </w:rPr>
        <w:t>Models including relative CPUE, combined CPUE, and annual run size as covariates showed no improvement in fit (</w:t>
      </w:r>
      <w:proofErr w:type="spellStart"/>
      <w:r w:rsidRPr="000A4B6C">
        <w:rPr>
          <w:rFonts w:ascii="Garamond" w:hAnsi="Garamond"/>
          <w:sz w:val="22"/>
          <w:szCs w:val="22"/>
        </w:rPr>
        <w:t>ΔAICc</w:t>
      </w:r>
      <w:proofErr w:type="spellEnd"/>
      <w:r w:rsidRPr="000A4B6C">
        <w:rPr>
          <w:rFonts w:ascii="Garamond" w:hAnsi="Garamond"/>
          <w:sz w:val="22"/>
          <w:szCs w:val="22"/>
        </w:rPr>
        <w:t xml:space="preserve"> &gt; 2), suggesting that none of these covariates explain additional variation in timing patterns beyond the identified latent trends.</w:t>
      </w:r>
    </w:p>
    <w:p w14:paraId="70E5EB51" w14:textId="69A2E7ED" w:rsidR="00EF63C2" w:rsidRDefault="00EF63C2"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Underlying Trends and spatial loadings </w:t>
      </w:r>
    </w:p>
    <w:p w14:paraId="3C3EBB62" w14:textId="77777777" w:rsidR="00087B1B"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t>Trend 1</w:t>
      </w:r>
      <w:r w:rsidRPr="00087B1B">
        <w:rPr>
          <w:rFonts w:ascii="Garamond" w:hAnsi="Garamond"/>
          <w:sz w:val="22"/>
          <w:szCs w:val="22"/>
        </w:rPr>
        <w:t xml:space="preserve"> (Figure X) explained </w:t>
      </w:r>
      <w:r w:rsidRPr="00087B1B">
        <w:rPr>
          <w:rFonts w:ascii="Garamond" w:hAnsi="Garamond"/>
          <w:b/>
          <w:bCs/>
          <w:sz w:val="22"/>
          <w:szCs w:val="22"/>
        </w:rPr>
        <w:t>X%</w:t>
      </w:r>
      <w:r w:rsidRPr="00087B1B">
        <w:rPr>
          <w:rFonts w:ascii="Garamond" w:hAnsi="Garamond"/>
          <w:sz w:val="22"/>
          <w:szCs w:val="22"/>
        </w:rPr>
        <w:t xml:space="preserve"> of the overall variance and was characterized by variable contributions to Q1, a relatively stable mean in Q2, and a clear increase in contributions to Q3 and Q4 (green and orange) beginning around 2019. This upward trend in the latter half of the dataset (2019–2021) suggests a shift in timing toward later portions of the run. Management units such as </w:t>
      </w:r>
      <w:r w:rsidRPr="00087B1B">
        <w:rPr>
          <w:rFonts w:ascii="Garamond" w:hAnsi="Garamond"/>
          <w:i/>
          <w:iCs/>
          <w:sz w:val="22"/>
          <w:szCs w:val="22"/>
        </w:rPr>
        <w:t>[insert positively loading groups]</w:t>
      </w:r>
      <w:r w:rsidRPr="00087B1B">
        <w:rPr>
          <w:rFonts w:ascii="Garamond" w:hAnsi="Garamond"/>
          <w:sz w:val="22"/>
          <w:szCs w:val="22"/>
        </w:rPr>
        <w:t xml:space="preserve"> loaded </w:t>
      </w:r>
      <w:r w:rsidRPr="00087B1B">
        <w:rPr>
          <w:rFonts w:ascii="Garamond" w:hAnsi="Garamond"/>
          <w:sz w:val="22"/>
          <w:szCs w:val="22"/>
        </w:rPr>
        <w:lastRenderedPageBreak/>
        <w:t xml:space="preserve">strongly and positively on this trend, indicating they followed this pattern. In contrast, units like </w:t>
      </w:r>
      <w:r w:rsidRPr="00087B1B">
        <w:rPr>
          <w:rFonts w:ascii="Garamond" w:hAnsi="Garamond"/>
          <w:i/>
          <w:iCs/>
          <w:sz w:val="22"/>
          <w:szCs w:val="22"/>
        </w:rPr>
        <w:t>[insert negatively loading groups]</w:t>
      </w:r>
      <w:r w:rsidRPr="00087B1B">
        <w:rPr>
          <w:rFonts w:ascii="Garamond" w:hAnsi="Garamond"/>
          <w:sz w:val="22"/>
          <w:szCs w:val="22"/>
        </w:rPr>
        <w:t xml:space="preserve"> exhibited negative loadings, suggesting the opposite temporal pattern—i.e., declining contributions to Q3 and Q4 in recent years.</w:t>
      </w:r>
    </w:p>
    <w:p w14:paraId="2D63B18B" w14:textId="04D73013" w:rsidR="009D66DA"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t>Trend 2</w:t>
      </w:r>
      <w:r w:rsidRPr="00087B1B">
        <w:rPr>
          <w:rFonts w:ascii="Garamond" w:hAnsi="Garamond"/>
          <w:sz w:val="22"/>
          <w:szCs w:val="22"/>
        </w:rPr>
        <w:t xml:space="preserve"> showed a more stable mean overall, but with a marked increase in contribution from Q1 over time. Throughout most of the dataset, contributions from Q1 and Q2 were relatively balanced; however, in the final year (2021), Q1 dominated, with greatly reduced contributions from later quartiles. This trend was primarily driven by strong positive loadings from management units in the upper Kuskokwim River, including </w:t>
      </w:r>
      <w:r w:rsidRPr="00087B1B">
        <w:rPr>
          <w:rFonts w:ascii="Garamond" w:hAnsi="Garamond"/>
          <w:i/>
          <w:iCs/>
          <w:sz w:val="22"/>
          <w:szCs w:val="22"/>
        </w:rPr>
        <w:t>[insert units like X, X, X]</w:t>
      </w:r>
      <w:r w:rsidRPr="00087B1B">
        <w:rPr>
          <w:rFonts w:ascii="Garamond" w:hAnsi="Garamond"/>
          <w:sz w:val="22"/>
          <w:szCs w:val="22"/>
        </w:rPr>
        <w:t>. Notably, these areas differ considerably in total production levels, indicating that despite these differences, they shared a common shift in run timing patterns over time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0DA1AA81" w14:textId="77777777" w:rsidR="002F1DC7" w:rsidRPr="002F1DC7" w:rsidRDefault="002F1DC7" w:rsidP="002F1DC7">
      <w:pPr>
        <w:spacing w:line="480" w:lineRule="auto"/>
        <w:ind w:firstLine="720"/>
        <w:rPr>
          <w:rFonts w:ascii="Garamond" w:hAnsi="Garamond"/>
          <w:sz w:val="22"/>
          <w:szCs w:val="22"/>
        </w:rPr>
      </w:pPr>
      <w:r w:rsidRPr="002F1DC7">
        <w:rPr>
          <w:rFonts w:ascii="Garamond" w:hAnsi="Garamond"/>
          <w:sz w:val="22"/>
          <w:szCs w:val="22"/>
        </w:rPr>
        <w:t>Our analysis identified two major underlying trends in the spatiotemporal ecology of Chinook salmon in the Kuskokwim River basin. Both trends reveal shifts in spatiotemporal patterns that have important implications for rebuilding Chinook salmon populations.</w:t>
      </w:r>
    </w:p>
    <w:p w14:paraId="0E16C1A7" w14:textId="77777777" w:rsidR="002F1DC7" w:rsidRDefault="002F1DC7" w:rsidP="002F1DC7">
      <w:pPr>
        <w:spacing w:line="480" w:lineRule="auto"/>
        <w:ind w:firstLine="720"/>
        <w:rPr>
          <w:rFonts w:ascii="Garamond" w:hAnsi="Garamond"/>
          <w:sz w:val="22"/>
          <w:szCs w:val="22"/>
        </w:rPr>
      </w:pPr>
      <w:r w:rsidRPr="002F1DC7">
        <w:rPr>
          <w:rFonts w:ascii="Garamond" w:hAnsi="Garamond"/>
          <w:sz w:val="22"/>
          <w:szCs w:val="22"/>
        </w:rPr>
        <w:t>Trend 1 shows production shifting away from [X, Y, Z management units] toward [X, Y, Z management units], with particularly notable increases in late-season contributions (Q3-Q4) beginning around 2019. This redistribution may significantly impact both the timing and magnitude of fish available to upstream communities such as McGrath, Alaska, which relies on runs from tributaries near the confluence of [specific tributary] and the mainstem Kuskokwim River. [Add 1-2 sentences about specific implications - e.g., timing mismatch with traditional harvest windows, changes in stock availability, etc.]</w:t>
      </w:r>
    </w:p>
    <w:p w14:paraId="25E0EC85" w14:textId="77777777" w:rsidR="0067222D" w:rsidRP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Trend 2 reveals a steady increase in Q1 contributions throughout the dataset, with a notable decoupling from Q2 production patterns. Management units with strong positive loadings on this trend—primarily upper Kuskokwim tributary groups including [X, Y, Z]—showed dramatically higher Q1 contributions in 2021 compared to 2017. This shift suggests that the early portion of the run is becoming </w:t>
      </w:r>
      <w:r w:rsidRPr="0067222D">
        <w:rPr>
          <w:rFonts w:ascii="Garamond" w:hAnsi="Garamond"/>
          <w:sz w:val="22"/>
          <w:szCs w:val="22"/>
        </w:rPr>
        <w:lastRenderedPageBreak/>
        <w:t>increasingly dominated by these upper basin stocks, with their peak contribution window moving earlier in the season.</w:t>
      </w:r>
    </w:p>
    <w:p w14:paraId="40DE7DDD" w14:textId="5F523DDF" w:rsid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This temporal concentration has important implications for both ecological resilience and management effectiveness. The growing dominance of upper Kuskokwim stocks in Q1 may reflect [environmental drivers/competitive release/habitat changes], while the decoupling from Q2 suggests a compression of run timing that could reduce overall temporal diversity. </w:t>
      </w:r>
      <w:r>
        <w:rPr>
          <w:rFonts w:ascii="Garamond" w:hAnsi="Garamond"/>
          <w:sz w:val="22"/>
          <w:szCs w:val="22"/>
        </w:rPr>
        <w:t xml:space="preserve">This trend is further supported by the decreasing contribution of the upper Kuskokwim region during the latter half of the run, as is evident by their negative loadings onto Trend 1. Taken together. Thes trends suggest that upper Kuskokwim stocks are increasingly </w:t>
      </w:r>
      <w:r w:rsidR="008A2375">
        <w:rPr>
          <w:rFonts w:ascii="Garamond" w:hAnsi="Garamond"/>
          <w:sz w:val="22"/>
          <w:szCs w:val="22"/>
        </w:rPr>
        <w:t xml:space="preserve">dominant in the first quartile and absent towards the latter half of the run, where the proportional contribution is more rapidly coming from X,Y,Z. </w:t>
      </w:r>
    </w:p>
    <w:p w14:paraId="26B3F811" w14:textId="77777777" w:rsidR="008A2375" w:rsidRDefault="008A2375" w:rsidP="008A2375">
      <w:pPr>
        <w:spacing w:line="480" w:lineRule="auto"/>
        <w:rPr>
          <w:rFonts w:ascii="Garamond" w:hAnsi="Garamond"/>
          <w:b/>
          <w:bCs/>
          <w:sz w:val="22"/>
          <w:szCs w:val="22"/>
        </w:rPr>
      </w:pPr>
    </w:p>
    <w:p w14:paraId="5FF71E7F" w14:textId="5694D4C9" w:rsidR="008A2375" w:rsidRP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Management </w:t>
      </w:r>
    </w:p>
    <w:p w14:paraId="692363CA" w14:textId="185EC552" w:rsid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w:t>
      </w:r>
      <w:r>
        <w:rPr>
          <w:rFonts w:ascii="Garamond" w:hAnsi="Garamond"/>
          <w:b/>
          <w:bCs/>
          <w:sz w:val="22"/>
          <w:szCs w:val="22"/>
        </w:rPr>
        <w:t xml:space="preserve">ecosystem </w:t>
      </w:r>
      <w:proofErr w:type="spellStart"/>
      <w:r>
        <w:rPr>
          <w:rFonts w:ascii="Garamond" w:hAnsi="Garamond"/>
          <w:b/>
          <w:bCs/>
          <w:sz w:val="22"/>
          <w:szCs w:val="22"/>
        </w:rPr>
        <w:t>resilliance</w:t>
      </w:r>
      <w:proofErr w:type="spellEnd"/>
      <w:r>
        <w:rPr>
          <w:rFonts w:ascii="Garamond" w:hAnsi="Garamond"/>
          <w:b/>
          <w:bCs/>
          <w:sz w:val="22"/>
          <w:szCs w:val="22"/>
        </w:rPr>
        <w:t xml:space="preserve"> </w:t>
      </w:r>
    </w:p>
    <w:p w14:paraId="3CF75F5C" w14:textId="77777777" w:rsidR="008A2375" w:rsidRPr="0067222D" w:rsidRDefault="008A2375" w:rsidP="008A2375">
      <w:pPr>
        <w:spacing w:line="480" w:lineRule="auto"/>
        <w:rPr>
          <w:rFonts w:ascii="Garamond" w:hAnsi="Garamond"/>
          <w:b/>
          <w:bCs/>
          <w:sz w:val="22"/>
          <w:szCs w:val="22"/>
        </w:rPr>
      </w:pPr>
    </w:p>
    <w:p w14:paraId="2BBE4B04" w14:textId="77777777" w:rsidR="00ED7C6A" w:rsidRDefault="00ED7C6A" w:rsidP="002F1DC7">
      <w:pPr>
        <w:spacing w:line="480" w:lineRule="auto"/>
        <w:ind w:firstLine="720"/>
        <w:rPr>
          <w:rFonts w:ascii="Garamond" w:hAnsi="Garamond"/>
          <w:sz w:val="22"/>
          <w:szCs w:val="22"/>
        </w:rPr>
      </w:pPr>
    </w:p>
    <w:p w14:paraId="0CF7801F" w14:textId="77777777" w:rsidR="00087B1B" w:rsidRDefault="00087B1B" w:rsidP="006D1917">
      <w:pPr>
        <w:spacing w:line="480" w:lineRule="auto"/>
        <w:rPr>
          <w:rFonts w:ascii="Garamond" w:hAnsi="Garamond"/>
          <w:b/>
          <w:bCs/>
          <w:sz w:val="22"/>
          <w:szCs w:val="22"/>
        </w:rPr>
      </w:pPr>
    </w:p>
    <w:p w14:paraId="2E38BB01" w14:textId="77777777" w:rsidR="00087B1B" w:rsidRPr="00087B1B" w:rsidRDefault="00087B1B" w:rsidP="006D1917">
      <w:pPr>
        <w:spacing w:line="480" w:lineRule="auto"/>
        <w:rPr>
          <w:rFonts w:ascii="Garamond" w:hAnsi="Garamond"/>
          <w:b/>
          <w:bCs/>
          <w:sz w:val="22"/>
          <w:szCs w:val="22"/>
        </w:rPr>
      </w:pPr>
    </w:p>
    <w:p w14:paraId="67384EA8" w14:textId="2B2F0A7F" w:rsidR="005F3448" w:rsidRDefault="005549AA" w:rsidP="005F3448">
      <w:pPr>
        <w:rPr>
          <w:rFonts w:ascii="Garamond" w:hAnsi="Garamond"/>
        </w:rPr>
      </w:pPr>
      <w:r>
        <w:rPr>
          <w:rFonts w:ascii="Garamond" w:hAnsi="Garamond"/>
        </w:rPr>
        <w:t xml:space="preserve">Nesbitt et al., predicted that communities with access to more diversity may have longer fishing seasons </w:t>
      </w:r>
    </w:p>
    <w:p w14:paraId="466A42ED" w14:textId="77777777" w:rsidR="005549AA" w:rsidRDefault="005549AA" w:rsidP="005F3448">
      <w:pPr>
        <w:rPr>
          <w:rFonts w:ascii="Garamond" w:hAnsi="Garamond"/>
        </w:rPr>
      </w:pPr>
    </w:p>
    <w:p w14:paraId="262547ED" w14:textId="77777777" w:rsidR="005549AA" w:rsidRPr="00481088" w:rsidRDefault="005549AA" w:rsidP="005F3448">
      <w:pPr>
        <w:rPr>
          <w:rFonts w:ascii="Garamond" w:hAnsi="Garamond"/>
        </w:rPr>
      </w:pPr>
    </w:p>
    <w:sectPr w:rsidR="005549AA"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103582"/>
    <w:rsid w:val="00120202"/>
    <w:rsid w:val="00131432"/>
    <w:rsid w:val="00162958"/>
    <w:rsid w:val="0017407A"/>
    <w:rsid w:val="001844EB"/>
    <w:rsid w:val="00206F6C"/>
    <w:rsid w:val="00282822"/>
    <w:rsid w:val="002C21B7"/>
    <w:rsid w:val="002D60DB"/>
    <w:rsid w:val="002F1DC7"/>
    <w:rsid w:val="0032232D"/>
    <w:rsid w:val="003508BF"/>
    <w:rsid w:val="003642FE"/>
    <w:rsid w:val="00374558"/>
    <w:rsid w:val="0039598A"/>
    <w:rsid w:val="003A58F7"/>
    <w:rsid w:val="003B0A46"/>
    <w:rsid w:val="003D0402"/>
    <w:rsid w:val="004261EE"/>
    <w:rsid w:val="00464971"/>
    <w:rsid w:val="00481088"/>
    <w:rsid w:val="004B12B3"/>
    <w:rsid w:val="004F04C2"/>
    <w:rsid w:val="00530411"/>
    <w:rsid w:val="005416E6"/>
    <w:rsid w:val="005549AA"/>
    <w:rsid w:val="005560A6"/>
    <w:rsid w:val="00557824"/>
    <w:rsid w:val="00573579"/>
    <w:rsid w:val="005805EB"/>
    <w:rsid w:val="005A0F4E"/>
    <w:rsid w:val="005F3448"/>
    <w:rsid w:val="006617C0"/>
    <w:rsid w:val="0067222D"/>
    <w:rsid w:val="00682611"/>
    <w:rsid w:val="006B418B"/>
    <w:rsid w:val="006B764B"/>
    <w:rsid w:val="006D1917"/>
    <w:rsid w:val="00700F8D"/>
    <w:rsid w:val="007266BC"/>
    <w:rsid w:val="00742E6F"/>
    <w:rsid w:val="007561E4"/>
    <w:rsid w:val="00780305"/>
    <w:rsid w:val="00784BA9"/>
    <w:rsid w:val="007942D8"/>
    <w:rsid w:val="007C20CB"/>
    <w:rsid w:val="00807290"/>
    <w:rsid w:val="00811477"/>
    <w:rsid w:val="00855E39"/>
    <w:rsid w:val="00856168"/>
    <w:rsid w:val="008872F5"/>
    <w:rsid w:val="008A2375"/>
    <w:rsid w:val="008B4FCB"/>
    <w:rsid w:val="008C378F"/>
    <w:rsid w:val="008C3841"/>
    <w:rsid w:val="008D173A"/>
    <w:rsid w:val="00907410"/>
    <w:rsid w:val="009076B8"/>
    <w:rsid w:val="00920CA6"/>
    <w:rsid w:val="00986BAC"/>
    <w:rsid w:val="009873E7"/>
    <w:rsid w:val="009C308C"/>
    <w:rsid w:val="009D66DA"/>
    <w:rsid w:val="00A06CC6"/>
    <w:rsid w:val="00A13EDE"/>
    <w:rsid w:val="00A400C6"/>
    <w:rsid w:val="00A44879"/>
    <w:rsid w:val="00A4712A"/>
    <w:rsid w:val="00A524AD"/>
    <w:rsid w:val="00B30111"/>
    <w:rsid w:val="00B71156"/>
    <w:rsid w:val="00B74D8D"/>
    <w:rsid w:val="00B84613"/>
    <w:rsid w:val="00B93552"/>
    <w:rsid w:val="00BB27C2"/>
    <w:rsid w:val="00C07057"/>
    <w:rsid w:val="00C31CB4"/>
    <w:rsid w:val="00C32D99"/>
    <w:rsid w:val="00C3570A"/>
    <w:rsid w:val="00C9741A"/>
    <w:rsid w:val="00CA262D"/>
    <w:rsid w:val="00CD4717"/>
    <w:rsid w:val="00CF45A1"/>
    <w:rsid w:val="00CF720A"/>
    <w:rsid w:val="00DA2545"/>
    <w:rsid w:val="00DA52E2"/>
    <w:rsid w:val="00DA7E79"/>
    <w:rsid w:val="00DB1156"/>
    <w:rsid w:val="00E06A56"/>
    <w:rsid w:val="00E1058B"/>
    <w:rsid w:val="00E454BB"/>
    <w:rsid w:val="00E67DF1"/>
    <w:rsid w:val="00EB7BFF"/>
    <w:rsid w:val="00EC47D6"/>
    <w:rsid w:val="00ED22A3"/>
    <w:rsid w:val="00ED7C6A"/>
    <w:rsid w:val="00EE55A4"/>
    <w:rsid w:val="00EE7EB5"/>
    <w:rsid w:val="00EF63C2"/>
    <w:rsid w:val="00F06D5A"/>
    <w:rsid w:val="00F51DB9"/>
    <w:rsid w:val="00FB2460"/>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10</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17</cp:revision>
  <dcterms:created xsi:type="dcterms:W3CDTF">2025-05-30T01:02:00Z</dcterms:created>
  <dcterms:modified xsi:type="dcterms:W3CDTF">2025-06-04T19:10:00Z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id="P6881mSE"/&gt;&lt;style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