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DA52E2">
      <w:pPr>
        <w:jc w:val="center"/>
        <w:rPr>
          <w:rFonts w:ascii="Garamond" w:hAnsi="Garamond"/>
          <w:b/>
          <w:bCs/>
          <w:sz w:val="20"/>
          <w:szCs w:val="20"/>
        </w:rPr>
      </w:pPr>
    </w:p>
    <w:p w14:paraId="033ED441" w14:textId="0909BDD8" w:rsidR="00EB7BFF" w:rsidRPr="00EB7BFF" w:rsidRDefault="00EB7BFF" w:rsidP="00DA52E2">
      <w:pPr>
        <w:jc w:val="center"/>
        <w:rPr>
          <w:rFonts w:ascii="Garamond" w:hAnsi="Garamond"/>
          <w:b/>
          <w:bCs/>
          <w:sz w:val="20"/>
          <w:szCs w:val="20"/>
        </w:rPr>
      </w:pPr>
      <w:r w:rsidRPr="00EB7BFF">
        <w:rPr>
          <w:rFonts w:ascii="Garamond" w:hAnsi="Garamond"/>
          <w:b/>
          <w:bCs/>
          <w:sz w:val="20"/>
          <w:szCs w:val="20"/>
        </w:rPr>
        <w:t>Ben Makhlouf, Daniel Schindler, Tim Cline, Mark Scheuerell</w:t>
      </w:r>
    </w:p>
    <w:p w14:paraId="66F9D978" w14:textId="77777777" w:rsidR="00DA52E2" w:rsidRDefault="00DA52E2" w:rsidP="009076B8">
      <w:pPr>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6C89668"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(Atlas et al., 2023; Ohlberger et al., 2018)</w:t>
      </w:r>
      <w:r w:rsidR="002438CB">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(Lamborn et al., 2025; Murdoch et al., 2024)</w:t>
      </w:r>
      <w:r w:rsidR="002438CB">
        <w:rPr>
          <w:rFonts w:ascii="Garamond" w:hAnsi="Garamond"/>
          <w:sz w:val="22"/>
          <w:szCs w:val="22"/>
        </w:rPr>
        <w:fldChar w:fldCharType="end"/>
      </w:r>
      <w:r w:rsidRPr="006D1917">
        <w:rPr>
          <w:rFonts w:ascii="Garamond" w:hAnsi="Garamond"/>
          <w:sz w:val="22"/>
          <w:szCs w:val="22"/>
        </w:rPr>
        <w:t xml:space="preserve">.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413B87">
        <w:rPr>
          <w:rFonts w:ascii="Garamond" w:hAnsi="Garamond"/>
          <w:sz w:val="22"/>
          <w:szCs w:val="22"/>
        </w:rPr>
        <w:t xml:space="preserve"> </w:t>
      </w:r>
      <w:r w:rsidR="00413B87">
        <w:rPr>
          <w:rFonts w:ascii="Garamond" w:hAnsi="Garamond"/>
          <w:sz w:val="22"/>
          <w:szCs w:val="22"/>
        </w:rPr>
        <w:fldChar w:fldCharType="begin"/>
      </w:r>
      <w:r w:rsidR="00AF6E03">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sidR="00413B87">
        <w:rPr>
          <w:rFonts w:ascii="Garamond" w:hAnsi="Garamond"/>
          <w:sz w:val="22"/>
          <w:szCs w:val="22"/>
        </w:rPr>
        <w:fldChar w:fldCharType="separate"/>
      </w:r>
      <w:r w:rsidR="00AF6E03">
        <w:rPr>
          <w:rFonts w:ascii="Garamond" w:hAnsi="Garamond"/>
          <w:noProof/>
          <w:sz w:val="22"/>
          <w:szCs w:val="22"/>
        </w:rPr>
        <w:t>(Brown &amp; Godduhn, 2015)</w:t>
      </w:r>
      <w:r w:rsidR="00413B87">
        <w:rPr>
          <w:rFonts w:ascii="Garamond" w:hAnsi="Garamond"/>
          <w:sz w:val="22"/>
          <w:szCs w:val="22"/>
        </w:rPr>
        <w:fldChar w:fldCharType="end"/>
      </w:r>
      <w:r w:rsidR="007266BC" w:rsidRPr="006D1917">
        <w:rPr>
          <w:rFonts w:ascii="Garamond" w:hAnsi="Garamond"/>
          <w:sz w:val="22"/>
          <w:szCs w:val="22"/>
        </w:rPr>
        <w:t>.</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4ADC0E0F" w:rsidR="00C3570A" w:rsidRDefault="00033E6D" w:rsidP="00AF6E03">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00AF6E03">
        <w:rPr>
          <w:rFonts w:ascii="Garamond" w:hAnsi="Garamond"/>
          <w:sz w:val="22"/>
          <w:szCs w:val="22"/>
        </w:rPr>
        <w:t xml:space="preserve"> </w:t>
      </w:r>
      <w:r w:rsidR="00AF6E03">
        <w:rPr>
          <w:rFonts w:ascii="Garamond" w:hAnsi="Garamond"/>
          <w:sz w:val="22"/>
          <w:szCs w:val="22"/>
        </w:rPr>
        <w:fldChar w:fldCharType="begin"/>
      </w:r>
      <w:r w:rsidR="00AF6E03">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AF6E03">
        <w:rPr>
          <w:rFonts w:ascii="Garamond" w:hAnsi="Garamond"/>
          <w:sz w:val="22"/>
          <w:szCs w:val="22"/>
        </w:rPr>
        <w:fldChar w:fldCharType="separate"/>
      </w:r>
      <w:r w:rsidR="00AF6E03">
        <w:rPr>
          <w:rFonts w:ascii="Garamond" w:hAnsi="Garamond"/>
          <w:noProof/>
          <w:sz w:val="22"/>
          <w:szCs w:val="22"/>
        </w:rPr>
        <w:t>(Bolnick et al., 2011)</w:t>
      </w:r>
      <w:r w:rsidR="00AF6E03">
        <w:rPr>
          <w:rFonts w:ascii="Garamond" w:hAnsi="Garamond"/>
          <w:sz w:val="22"/>
          <w:szCs w:val="22"/>
        </w:rPr>
        <w:fldChar w:fldCharType="end"/>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w:t>
      </w:r>
      <w:r w:rsidR="00AF6E03">
        <w:rPr>
          <w:rFonts w:ascii="Garamond" w:hAnsi="Garamond"/>
          <w:sz w:val="22"/>
          <w:szCs w:val="22"/>
        </w:rPr>
        <w:t xml:space="preserve"> therefore</w:t>
      </w:r>
      <w:r w:rsidR="00040237" w:rsidRPr="006D1917">
        <w:rPr>
          <w:rFonts w:ascii="Garamond" w:hAnsi="Garamond"/>
          <w:sz w:val="22"/>
          <w:szCs w:val="22"/>
        </w:rPr>
        <w:t xml:space="preserve"> shaped by the statistical averaging of multiple distinct, semi-independent sub-units distributed across space and time</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(Connors et al., 2022; Ohlberger et al., 2016)</w:t>
      </w:r>
      <w:r w:rsidR="00AF6E03">
        <w:rPr>
          <w:rFonts w:ascii="Garamond" w:hAnsi="Garamond"/>
          <w:sz w:val="22"/>
          <w:szCs w:val="22"/>
        </w:rPr>
        <w:fldChar w:fldCharType="end"/>
      </w:r>
      <w:r w:rsidR="00AF6E03">
        <w:rPr>
          <w:rFonts w:ascii="Garamond" w:hAnsi="Garamond"/>
          <w:sz w:val="22"/>
          <w:szCs w:val="22"/>
        </w:rPr>
        <w:t xml:space="preserve">. </w:t>
      </w:r>
      <w:r w:rsidR="00040237"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sidR="00F626FB">
        <w:rPr>
          <w:rFonts w:ascii="Garamond" w:hAnsi="Garamond"/>
          <w:sz w:val="22"/>
          <w:szCs w:val="22"/>
        </w:rPr>
        <w:t xml:space="preserve"> </w:t>
      </w:r>
      <w:r w:rsidR="00AF6E03">
        <w:rPr>
          <w:rFonts w:ascii="Garamond" w:hAnsi="Garamond"/>
          <w:sz w:val="22"/>
          <w:szCs w:val="22"/>
        </w:rPr>
        <w:fldChar w:fldCharType="begin"/>
      </w:r>
      <w:r w:rsidR="005E64F6">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AF6E03">
        <w:rPr>
          <w:rFonts w:ascii="Garamond" w:hAnsi="Garamond"/>
          <w:sz w:val="22"/>
          <w:szCs w:val="22"/>
        </w:rPr>
        <w:fldChar w:fldCharType="separate"/>
      </w:r>
      <w:r w:rsidR="005E64F6">
        <w:rPr>
          <w:rFonts w:ascii="Garamond" w:hAnsi="Garamond"/>
          <w:noProof/>
          <w:sz w:val="22"/>
          <w:szCs w:val="22"/>
        </w:rPr>
        <w:t>(Brennan, Schindler, et al., 2019; Schindler et al., 2010)</w:t>
      </w:r>
      <w:r w:rsidR="00AF6E03">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This “portfolio effect” </w:t>
      </w:r>
      <w:r w:rsidRPr="006D1917">
        <w:rPr>
          <w:rFonts w:ascii="Garamond" w:hAnsi="Garamond"/>
          <w:sz w:val="22"/>
          <w:szCs w:val="22"/>
        </w:rPr>
        <w:lastRenderedPageBreak/>
        <w:t>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(Cline et al., 2017; Griffiths et al., 2014; Markowitz, 1952; Schindler et al., 2015)</w:t>
      </w:r>
      <w:r w:rsidR="00AF6E03">
        <w:rPr>
          <w:rFonts w:ascii="Garamond" w:hAnsi="Garamond"/>
          <w:sz w:val="22"/>
          <w:szCs w:val="22"/>
        </w:rPr>
        <w:fldChar w:fldCharType="end"/>
      </w:r>
      <w:r w:rsidRPr="006D1917">
        <w:rPr>
          <w:rFonts w:ascii="Garamond" w:hAnsi="Garamond"/>
          <w:sz w:val="22"/>
          <w:szCs w:val="22"/>
        </w:rPr>
        <w:t>.</w:t>
      </w:r>
      <w:r w:rsidR="00040237" w:rsidRPr="006D1917">
        <w:rPr>
          <w:rFonts w:ascii="Garamond" w:hAnsi="Garamond"/>
          <w:sz w:val="22"/>
          <w:szCs w:val="22"/>
        </w:rPr>
        <w:t xml:space="preserve"> </w:t>
      </w:r>
      <w:r w:rsidRPr="006D1917">
        <w:rPr>
          <w:rFonts w:ascii="Garamond" w:hAnsi="Garamond"/>
          <w:sz w:val="22"/>
          <w:szCs w:val="22"/>
        </w:rPr>
        <w:t>Ecosystems composed of numerous negatively or weakly correlated “assets” are therefore better equipped to withstand both localized and system-wide disturbances, as such events may favor some components while disadvantaging others.</w:t>
      </w:r>
      <w:r w:rsidR="005549AA">
        <w:rPr>
          <w:rFonts w:ascii="Garamond" w:hAnsi="Garamond"/>
          <w:sz w:val="22"/>
          <w:szCs w:val="22"/>
        </w:rPr>
        <w:t xml:space="preserve"> </w:t>
      </w:r>
      <w:r w:rsidR="00C3570A" w:rsidRPr="00C3570A">
        <w:rPr>
          <w:rFonts w:ascii="Garamond" w:hAnsi="Garamond"/>
          <w:sz w:val="22"/>
          <w:szCs w:val="22"/>
        </w:rPr>
        <w:t>Additionally, both the duration and magnitude of resources available to communities depend on preserving this natural phenotypic diversity. 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(Nesbitt &amp; Moore, 2016)</w:t>
      </w:r>
      <w:r w:rsidR="00F626FB">
        <w:rPr>
          <w:rFonts w:ascii="Garamond" w:hAnsi="Garamond"/>
          <w:sz w:val="22"/>
          <w:szCs w:val="22"/>
        </w:rPr>
        <w:fldChar w:fldCharType="end"/>
      </w:r>
      <w:r w:rsidR="00F626FB">
        <w:rPr>
          <w:rFonts w:ascii="Garamond" w:hAnsi="Garamond"/>
          <w:sz w:val="22"/>
          <w:szCs w:val="22"/>
        </w:rPr>
        <w:t xml:space="preserve">. </w:t>
      </w:r>
    </w:p>
    <w:p w14:paraId="146363ED" w14:textId="644FE188"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{"citationID":"QngDQRRW","properties":{"formattedCitation":"(Griffiths et al., 2014)","plainCitation":"(Griffiths et al., 2014)","noteIndex":0},"citationItems":[{"id":4217,"uris":["http://zotero.org/users/8421274/items/8XTQF7BZ"],"itemData":{"id":4217,"type":"article-journal","abstract":"&lt;list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(Griffiths et al., 2014)</w:t>
      </w:r>
      <w:r w:rsidR="00F626FB">
        <w:rPr>
          <w:rFonts w:ascii="Garamond" w:hAnsi="Garamond"/>
          <w:sz w:val="22"/>
          <w:szCs w:val="22"/>
        </w:rPr>
        <w:fldChar w:fldCharType="end"/>
      </w:r>
      <w:r w:rsidR="00F626FB">
        <w:rPr>
          <w:rFonts w:ascii="Garamond" w:hAnsi="Garamond"/>
          <w:sz w:val="22"/>
          <w:szCs w:val="22"/>
        </w:rPr>
        <w:t>.</w:t>
      </w:r>
      <w:r w:rsidRPr="006D1917">
        <w:rPr>
          <w:rFonts w:ascii="Garamond" w:hAnsi="Garamond"/>
          <w:sz w:val="22"/>
          <w:szCs w:val="22"/>
        </w:rPr>
        <w:t xml:space="preserve">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{"citationID":"3JTTD5nr","properties":{"formattedCitation":"(Schindler et al., 2010)","plainCitation":"(Schindler et al., 2010)","noteIndex":0},"citationItems":[{"id":272,"uris":["http://zotero.org/users/8421274/items/24NDGS7V"],"itemData":{"id":272,"type":"article-journal","abstract":"One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(Schindler et al., 2010)</w:t>
      </w:r>
      <w:r w:rsidR="00F626FB">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2022)</w:t>
      </w:r>
      <w:r w:rsidR="00F626FB">
        <w:rPr>
          <w:rFonts w:ascii="Garamond" w:hAnsi="Garamond"/>
          <w:sz w:val="22"/>
          <w:szCs w:val="22"/>
        </w:rPr>
        <w:fldChar w:fldCharType="end"/>
      </w:r>
      <w:r w:rsidRPr="006D1917">
        <w:rPr>
          <w:rFonts w:ascii="Garamond" w:hAnsi="Garamond"/>
          <w:sz w:val="22"/>
          <w:szCs w:val="22"/>
        </w:rPr>
        <w:t>.</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These include designing harvest methods which consider both overall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stock specific exploitation rate, which may vary throughout the season </w:t>
      </w:r>
      <w:r w:rsidR="005560A6">
        <w:rPr>
          <w:rFonts w:ascii="Garamond" w:hAnsi="Garamond"/>
          <w:sz w:val="22"/>
          <w:szCs w:val="22"/>
        </w:rPr>
        <w:fldChar w:fldCharType="begin"/>
      </w:r>
      <w:r w:rsidR="00F626FB">
        <w:rPr>
          <w:rFonts w:ascii="Garamond" w:hAnsi="Garamond"/>
          <w:sz w:val="22"/>
          <w:szCs w:val="22"/>
        </w:rPr>
        <w:instrText xml:space="preserve"> ADDIN ZOTERO_ITEM CSL_CITATION {"citationID":"Pp73dZyx","properties":{"formattedCitation":"(Connors et al., 2020)","plainCitation":"(Connors et al., 2020)","dontUpdate":true,"noteIndex":0},"citationItems":[{"id":5371,"uris":["http://zotero.org/users/8421274/items/YSBPWJJ4"],"itemData":{"id":5371,"type":"article-journal","abstract":"Accounting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5560A6">
        <w:rPr>
          <w:rFonts w:ascii="Garamond" w:hAnsi="Garamond"/>
          <w:sz w:val="22"/>
          <w:szCs w:val="22"/>
        </w:rPr>
        <w:fldChar w:fldCharType="separate"/>
      </w:r>
      <w:r w:rsidR="00AF6E03">
        <w:rPr>
          <w:rFonts w:ascii="Garamond" w:hAnsi="Garamond"/>
          <w:sz w:val="22"/>
        </w:rPr>
        <w:t>(Schindler et al., 2010)</w:t>
      </w:r>
      <w:r w:rsidR="005560A6">
        <w:rPr>
          <w:rFonts w:ascii="Garamond" w:hAnsi="Garamond"/>
          <w:sz w:val="22"/>
          <w:szCs w:val="22"/>
        </w:rPr>
        <w:fldChar w:fldCharType="end"/>
      </w:r>
      <w:r w:rsidR="00A06CC6" w:rsidRPr="006D1917">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 xml:space="preserve">harvest opportunities on healthy stocks </w:t>
      </w:r>
      <w:r w:rsidR="00A06CC6" w:rsidRPr="006D1917">
        <w:rPr>
          <w:rFonts w:ascii="Garamond" w:hAnsi="Garamond"/>
          <w:sz w:val="22"/>
          <w:szCs w:val="22"/>
        </w:rPr>
        <w:lastRenderedPageBreak/>
        <w:t xml:space="preserve">while minimizing the risk of overexploitation for co-migrating weak stocks.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at sufficiently fine spatial and temporal scales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{"citationID":"Gpa69QVN","properties":{"formattedCitation":"(Connors et al., 2020b, 2022)","plainCitation":"(Connors et al., 2020b,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2020b, 2022)</w:t>
      </w:r>
      <w:r w:rsidR="00F626FB">
        <w:rPr>
          <w:rFonts w:ascii="Garamond" w:hAnsi="Garamond"/>
          <w:sz w:val="22"/>
          <w:szCs w:val="22"/>
        </w:rPr>
        <w:fldChar w:fldCharType="end"/>
      </w:r>
      <w:r w:rsidR="00F626FB">
        <w:rPr>
          <w:rFonts w:ascii="Garamond" w:hAnsi="Garamond"/>
          <w:sz w:val="22"/>
          <w:szCs w:val="22"/>
        </w:rPr>
        <w:t xml:space="preserve">. </w:t>
      </w:r>
    </w:p>
    <w:p w14:paraId="149BF2F0" w14:textId="7C80D2A6" w:rsidR="003D0402" w:rsidRPr="006D1917" w:rsidRDefault="00DB1156" w:rsidP="008B4FCB">
      <w:pPr>
        <w:spacing w:line="480" w:lineRule="auto"/>
        <w:ind w:firstLine="720"/>
        <w:rPr>
          <w:rFonts w:ascii="Garamond" w:hAnsi="Garamond"/>
          <w:sz w:val="22"/>
          <w:szCs w:val="22"/>
        </w:rPr>
      </w:pPr>
      <w:r w:rsidRPr="006D1917">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w:t>
      </w:r>
      <w:r w:rsidR="00F626FB">
        <w:rPr>
          <w:rFonts w:ascii="Garamond" w:hAnsi="Garamond"/>
          <w:sz w:val="22"/>
          <w:szCs w:val="22"/>
        </w:rPr>
        <w:t xml:space="preserve"> </w:t>
      </w:r>
      <w:r w:rsidR="00F626FB">
        <w:rPr>
          <w:rFonts w:ascii="Garamond" w:hAnsi="Garamond"/>
          <w:sz w:val="22"/>
          <w:szCs w:val="22"/>
        </w:rPr>
        <w:fldChar w:fldCharType="begin"/>
      </w:r>
      <w:r w:rsidR="00565BB5">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sidR="00F626FB">
        <w:rPr>
          <w:rFonts w:ascii="Garamond" w:hAnsi="Garamond"/>
          <w:sz w:val="22"/>
          <w:szCs w:val="22"/>
        </w:rPr>
        <w:fldChar w:fldCharType="separate"/>
      </w:r>
      <w:r w:rsidR="00565BB5">
        <w:rPr>
          <w:rFonts w:ascii="Garamond" w:hAnsi="Garamond"/>
          <w:noProof/>
          <w:sz w:val="22"/>
          <w:szCs w:val="22"/>
        </w:rPr>
        <w:t>(e.g. Bechtol et al., 2025)</w:t>
      </w:r>
      <w:r w:rsidR="00F626FB">
        <w:rPr>
          <w:rFonts w:ascii="Garamond" w:hAnsi="Garamond"/>
          <w:sz w:val="22"/>
          <w:szCs w:val="22"/>
        </w:rPr>
        <w:fldChar w:fldCharType="end"/>
      </w:r>
      <w:r w:rsidRPr="006D1917">
        <w:rPr>
          <w:rFonts w:ascii="Garamond" w:hAnsi="Garamond"/>
          <w:sz w:val="22"/>
          <w:szCs w:val="22"/>
        </w:rPr>
        <w:t xml:space="preserve">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2438CB">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2438CB">
        <w:rPr>
          <w:rFonts w:ascii="Cambria Math" w:hAnsi="Cambria Math" w:cs="Cambria Math"/>
          <w:sz w:val="22"/>
          <w:szCs w:val="22"/>
        </w:rPr>
        <w:instrText>‐</w:instrText>
      </w:r>
      <w:r w:rsidR="002438CB">
        <w:rPr>
          <w:rFonts w:ascii="Garamond" w:hAnsi="Garamond"/>
          <w:sz w:val="22"/>
          <w:szCs w:val="22"/>
        </w:rPr>
        <w:instrText>wide effects of body size, sex, spawning location, and year on the timing of spawning</w:instrText>
      </w:r>
      <w:r w:rsidR="002438CB">
        <w:rPr>
          <w:rFonts w:ascii="Cambria Math" w:hAnsi="Cambria Math" w:cs="Cambria Math"/>
          <w:sz w:val="22"/>
          <w:szCs w:val="22"/>
        </w:rPr>
        <w:instrText>‐</w:instrText>
      </w:r>
      <w:r w:rsidR="002438CB">
        <w:rPr>
          <w:rFonts w:ascii="Garamond" w:hAnsi="Garamond"/>
          <w:sz w:val="22"/>
          <w:szCs w:val="22"/>
        </w:rPr>
        <w:instrText>run migration into the Togiak River. Migration data and spawning fate were collected using radiotelemetry and analyzed with mixed effects models to account for among</w:instrText>
      </w:r>
      <w:r w:rsidR="002438CB">
        <w:rPr>
          <w:rFonts w:ascii="Cambria Math" w:hAnsi="Cambria Math" w:cs="Cambria Math"/>
          <w:sz w:val="22"/>
          <w:szCs w:val="22"/>
        </w:rPr>
        <w:instrText>‐</w:instrText>
      </w:r>
      <w:r w:rsidR="002438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 basins</w:t>
      </w:r>
      <w:r w:rsidR="00FF4FD4" w:rsidRPr="006D1917">
        <w:rPr>
          <w:rFonts w:ascii="Garamond" w:hAnsi="Garamond"/>
          <w:sz w:val="22"/>
          <w:szCs w:val="22"/>
        </w:rPr>
        <w:t xml:space="preserve"> </w:t>
      </w:r>
      <w:r w:rsidR="006617C0" w:rsidRPr="006D1917">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20127D41" w14:textId="77777777" w:rsidR="00565BB5" w:rsidRDefault="00565BB5" w:rsidP="006D1917">
      <w:pPr>
        <w:spacing w:line="480" w:lineRule="auto"/>
        <w:rPr>
          <w:rFonts w:ascii="Garamond" w:hAnsi="Garamond"/>
          <w:b/>
          <w:bCs/>
          <w:sz w:val="32"/>
          <w:szCs w:val="32"/>
        </w:rPr>
      </w:pPr>
    </w:p>
    <w:p w14:paraId="00D38641" w14:textId="751E2230"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lastRenderedPageBreak/>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335FB6BC" w14:textId="3ED187DE" w:rsidR="00A524AD" w:rsidRPr="005D5AB7" w:rsidRDefault="009873E7" w:rsidP="005D5AB7">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r w:rsidR="00565BB5">
        <w:rPr>
          <w:rFonts w:ascii="Garamond" w:hAnsi="Garamond"/>
          <w:sz w:val="22"/>
          <w:szCs w:val="22"/>
        </w:rPr>
        <w:t xml:space="preserve"> Selected samples were </w:t>
      </w:r>
      <w:r w:rsidR="0017407A"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sidR="00565BB5">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65BB5">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(Donohoe &amp; Zimmerman, 2010; Zimmerman &amp; Reeves, 2002)</w:t>
      </w:r>
      <w:r w:rsidR="00565BB5">
        <w:rPr>
          <w:rFonts w:ascii="Garamond" w:eastAsia="Times New Roman" w:hAnsi="Garamond" w:cs="Times New Roman"/>
          <w:kern w:val="0"/>
          <w:sz w:val="22"/>
          <w:szCs w:val="22"/>
          <w14:ligatures w14:val="none"/>
        </w:rPr>
        <w:fldChar w:fldCharType="end"/>
      </w:r>
      <w:r w:rsidR="0017407A"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inferred onset of marine </w:t>
      </w:r>
      <w:r w:rsidR="0017407A" w:rsidRPr="005D5AB7">
        <w:rPr>
          <w:rFonts w:ascii="Garamond" w:eastAsia="Times New Roman" w:hAnsi="Garamond" w:cs="Times New Roman"/>
          <w:kern w:val="0"/>
          <w:sz w:val="22"/>
          <w:szCs w:val="22"/>
          <w14:ligatures w14:val="none"/>
        </w:rPr>
        <w:t>growth</w:t>
      </w:r>
      <w:r w:rsidR="005D5AB7" w:rsidRPr="005D5AB7">
        <w:rPr>
          <w:rFonts w:ascii="Garamond" w:eastAsia="Times New Roman" w:hAnsi="Garamond" w:cs="Times New Roman"/>
          <w:kern w:val="0"/>
          <w:sz w:val="22"/>
          <w:szCs w:val="22"/>
          <w14:ligatures w14:val="none"/>
        </w:rPr>
        <w:t xml:space="preserve"> </w:t>
      </w:r>
      <w:r w:rsidR="005D5AB7" w:rsidRPr="005D5AB7">
        <w:rPr>
          <w:rFonts w:ascii="Garamond" w:hAnsi="Garamond" w:cstheme="majorHAnsi"/>
          <w:sz w:val="22"/>
          <w:szCs w:val="22"/>
        </w:rPr>
        <w:t xml:space="preserve">using a 53 </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m diameter beam and scanning at 2</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 xml:space="preserve">m/second </w:t>
      </w:r>
      <w:r w:rsidR="005D5AB7" w:rsidRPr="005D5AB7">
        <w:rPr>
          <w:rFonts w:ascii="Garamond" w:hAnsi="Garamond" w:cstheme="majorHAnsi"/>
          <w:sz w:val="22"/>
          <w:szCs w:val="22"/>
        </w:rPr>
        <w:fldChar w:fldCharType="begin"/>
      </w:r>
      <w:r w:rsidR="005D5AB7">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D5AB7" w:rsidRPr="005D5AB7">
        <w:rPr>
          <w:rFonts w:ascii="Garamond" w:hAnsi="Garamond" w:cstheme="majorHAnsi"/>
          <w:sz w:val="22"/>
          <w:szCs w:val="22"/>
        </w:rPr>
        <w:fldChar w:fldCharType="separate"/>
      </w:r>
      <w:r w:rsidR="005D5AB7" w:rsidRPr="005D5AB7">
        <w:rPr>
          <w:rFonts w:ascii="Garamond" w:hAnsi="Garamond" w:cstheme="majorHAnsi"/>
          <w:noProof/>
          <w:sz w:val="22"/>
          <w:szCs w:val="22"/>
        </w:rPr>
        <w:t>(Brennan et al., 2015)</w:t>
      </w:r>
      <w:r w:rsidR="005D5AB7" w:rsidRPr="005D5AB7">
        <w:rPr>
          <w:rFonts w:ascii="Garamond" w:hAnsi="Garamond" w:cstheme="majorHAnsi"/>
          <w:sz w:val="22"/>
          <w:szCs w:val="22"/>
        </w:rPr>
        <w:fldChar w:fldCharType="end"/>
      </w:r>
      <w:r w:rsidR="0017407A" w:rsidRPr="006D191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The result </w:t>
      </w:r>
      <w:r w:rsidR="005D5AB7">
        <w:rPr>
          <w:rFonts w:ascii="Garamond" w:eastAsia="Times New Roman" w:hAnsi="Garamond" w:cs="Times New Roman"/>
          <w:kern w:val="0"/>
          <w:sz w:val="22"/>
          <w:szCs w:val="22"/>
          <w14:ligatures w14:val="none"/>
        </w:rPr>
        <w:t xml:space="preserve">data represent a continuously integrated </w:t>
      </w:r>
      <w:r w:rsidR="00A524AD" w:rsidRPr="006D1917">
        <w:rPr>
          <w:rFonts w:ascii="Garamond" w:eastAsia="Times New Roman" w:hAnsi="Garamond" w:cs="Times New Roman"/>
          <w:kern w:val="0"/>
          <w:sz w:val="22"/>
          <w:szCs w:val="22"/>
          <w14:ligatures w14:val="none"/>
        </w:rPr>
        <w:t xml:space="preserve"> measurement of Sr</w:t>
      </w:r>
      <w:r w:rsidR="005D5AB7">
        <w:rPr>
          <w:rFonts w:ascii="Garamond" w:eastAsia="Times New Roman" w:hAnsi="Garamond" w:cs="Times New Roman"/>
          <w:kern w:val="0"/>
          <w:sz w:val="22"/>
          <w:szCs w:val="22"/>
          <w:vertAlign w:val="superscript"/>
          <w14:ligatures w14:val="none"/>
        </w:rPr>
        <w:t>87</w:t>
      </w:r>
      <w:r w:rsidR="005D5AB7">
        <w:rPr>
          <w:rFonts w:ascii="Garamond" w:eastAsia="Times New Roman" w:hAnsi="Garamond" w:cs="Times New Roman"/>
          <w:kern w:val="0"/>
          <w:sz w:val="22"/>
          <w:szCs w:val="22"/>
          <w14:ligatures w14:val="none"/>
        </w:rPr>
        <w:t>/Sr</w:t>
      </w:r>
      <w:r w:rsidR="005D5AB7">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 xml:space="preserve">which is expected to be minimally fractionated during incorporation into the otolith and represents the experienced Sr8786 of the fish from early development until marine entry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2015; Campana, 1999; Capo et al., 1998)</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From these data, </w:t>
      </w:r>
      <w:r w:rsidR="005D5AB7">
        <w:rPr>
          <w:rFonts w:ascii="Garamond" w:eastAsia="Times New Roman" w:hAnsi="Garamond" w:cs="Times New Roman"/>
          <w:kern w:val="0"/>
          <w:sz w:val="22"/>
          <w:szCs w:val="22"/>
          <w14:ligatures w14:val="none"/>
        </w:rPr>
        <w:t xml:space="preserve">a discrete value </w:t>
      </w:r>
      <w:r w:rsidR="00A524AD" w:rsidRPr="006D1917">
        <w:rPr>
          <w:rFonts w:ascii="Garamond" w:eastAsia="Times New Roman" w:hAnsi="Garamond" w:cs="Times New Roman"/>
          <w:kern w:val="0"/>
          <w:sz w:val="22"/>
          <w:szCs w:val="22"/>
          <w14:ligatures w14:val="none"/>
        </w:rPr>
        <w:t xml:space="preserve">associated with the natal freshwater rearing period was manually extracted </w:t>
      </w:r>
      <w:r w:rsidR="0017407A" w:rsidRPr="006D1917">
        <w:rPr>
          <w:rFonts w:ascii="Garamond" w:eastAsia="Times New Roman" w:hAnsi="Garamond" w:cs="Times New Roman"/>
          <w:kern w:val="0"/>
          <w:sz w:val="22"/>
          <w:szCs w:val="22"/>
          <w14:ligatures w14:val="none"/>
        </w:rPr>
        <w:t xml:space="preserve">by examining </w:t>
      </w:r>
      <w:r w:rsidR="005D5AB7">
        <w:rPr>
          <w:rFonts w:ascii="Garamond" w:eastAsia="Times New Roman" w:hAnsi="Garamond" w:cs="Times New Roman"/>
          <w:kern w:val="0"/>
          <w:sz w:val="22"/>
          <w:szCs w:val="22"/>
          <w14:ligatures w14:val="none"/>
        </w:rPr>
        <w:t xml:space="preserve">known patterns of </w:t>
      </w:r>
      <w:r w:rsidR="00A524AD" w:rsidRPr="006D1917">
        <w:rPr>
          <w:rFonts w:ascii="Garamond" w:eastAsia="Times New Roman" w:hAnsi="Garamond" w:cs="Times New Roman"/>
          <w:kern w:val="0"/>
          <w:sz w:val="22"/>
          <w:szCs w:val="22"/>
          <w14:ligatures w14:val="none"/>
        </w:rPr>
        <w:t xml:space="preserve">changes in Sr8786 and Sr88 </w:t>
      </w:r>
      <w:r w:rsidR="005D5AB7">
        <w:rPr>
          <w:rFonts w:ascii="Garamond" w:eastAsia="Times New Roman" w:hAnsi="Garamond" w:cs="Times New Roman"/>
          <w:kern w:val="0"/>
          <w:sz w:val="22"/>
          <w:szCs w:val="22"/>
          <w14:ligatures w14:val="none"/>
        </w:rPr>
        <w:t>between the core and freshwater region as well as</w:t>
      </w:r>
      <w:r w:rsidR="00A524AD" w:rsidRPr="006D1917">
        <w:rPr>
          <w:rFonts w:ascii="Garamond" w:eastAsia="Times New Roman" w:hAnsi="Garamond" w:cs="Times New Roman"/>
          <w:kern w:val="0"/>
          <w:sz w:val="22"/>
          <w:szCs w:val="22"/>
          <w14:ligatures w14:val="none"/>
        </w:rPr>
        <w:t xml:space="preserve">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27D0F004" w14:textId="010D1426" w:rsidR="00293B26" w:rsidRPr="00293B26" w:rsidRDefault="00855E39" w:rsidP="00293B26">
      <w:pPr>
        <w:spacing w:before="100" w:beforeAutospacing="1" w:after="100" w:afterAutospacing="1" w:line="480" w:lineRule="auto"/>
        <w:ind w:firstLine="720"/>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A524AD" w:rsidRPr="006D1917">
        <w:rPr>
          <w:rFonts w:ascii="Garamond" w:eastAsia="Times New Roman" w:hAnsi="Garamond" w:cs="Times New Roman"/>
          <w:kern w:val="0"/>
          <w:sz w:val="22"/>
          <w:szCs w:val="22"/>
          <w14:ligatures w14:val="none"/>
        </w:rPr>
        <w:t xml:space="preserve">Sr87/86 </w:t>
      </w:r>
      <w:r w:rsidRPr="006D1917">
        <w:rPr>
          <w:rFonts w:ascii="Garamond" w:eastAsia="Times New Roman" w:hAnsi="Garamond" w:cs="Times New Roman"/>
          <w:kern w:val="0"/>
          <w:sz w:val="22"/>
          <w:szCs w:val="22"/>
          <w14:ligatures w14:val="none"/>
        </w:rPr>
        <w:t xml:space="preserve">ratios across the river basin, following the methodology described in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(2016)</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and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Makhlouf et al., (2025)</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Briefly, Sr87</w:t>
      </w:r>
      <w:r w:rsidR="0032232D">
        <w:rPr>
          <w:rFonts w:ascii="Garamond" w:eastAsia="Times New Roman" w:hAnsi="Garamond" w:cs="Times New Roman"/>
          <w:kern w:val="0"/>
          <w:sz w:val="22"/>
          <w:szCs w:val="22"/>
          <w14:ligatures w14:val="none"/>
        </w:rPr>
        <w:t>/86</w:t>
      </w:r>
      <w:r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lastRenderedPageBreak/>
        <w:t>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w:t>
      </w:r>
      <w:r w:rsidR="00293B26">
        <w:rPr>
          <w:rFonts w:ascii="Garamond" w:eastAsia="Times New Roman" w:hAnsi="Garamond" w:cs="Times New Roman"/>
          <w:kern w:val="0"/>
          <w:sz w:val="22"/>
          <w:szCs w:val="22"/>
          <w14:ligatures w14:val="none"/>
        </w:rPr>
        <w:t xml:space="preserve"> </w:t>
      </w:r>
      <w:r w:rsidR="00293B26" w:rsidRPr="00293B26">
        <w:rPr>
          <w:rFonts w:ascii="Garamond" w:eastAsia="Times New Roman" w:hAnsi="Garamond" w:cs="Times New Roman"/>
          <w:kern w:val="0"/>
          <w:sz w:val="22"/>
          <w:szCs w:val="22"/>
          <w14:ligatures w14:val="none"/>
        </w:rPr>
        <w:fldChar w:fldCharType="begin"/>
      </w:r>
      <w:r w:rsidR="00293B26"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293B26" w:rsidRPr="00293B26">
        <w:rPr>
          <w:rFonts w:ascii="Garamond" w:eastAsia="Times New Roman" w:hAnsi="Garamond" w:cs="Times New Roman"/>
          <w:kern w:val="0"/>
          <w:sz w:val="22"/>
          <w:szCs w:val="22"/>
          <w14:ligatures w14:val="none"/>
        </w:rPr>
        <w:fldChar w:fldCharType="separate"/>
      </w:r>
      <w:r w:rsidR="00293B26" w:rsidRPr="00293B26">
        <w:rPr>
          <w:rFonts w:ascii="Garamond" w:eastAsia="Times New Roman" w:hAnsi="Garamond" w:cs="Times New Roman"/>
          <w:noProof/>
          <w:kern w:val="0"/>
          <w:sz w:val="22"/>
          <w:szCs w:val="22"/>
          <w14:ligatures w14:val="none"/>
        </w:rPr>
        <w:t>(Ver Hoef &amp; Peterson, 2010)</w:t>
      </w:r>
      <w:r w:rsidR="00293B26" w:rsidRPr="00293B26">
        <w:rPr>
          <w:rFonts w:ascii="Garamond" w:eastAsia="Times New Roman" w:hAnsi="Garamond" w:cs="Times New Roman"/>
          <w:kern w:val="0"/>
          <w:sz w:val="22"/>
          <w:szCs w:val="22"/>
          <w14:ligatures w14:val="none"/>
        </w:rPr>
        <w:fldChar w:fldCharType="end"/>
      </w:r>
      <w:r w:rsidR="00293B26" w:rsidRPr="00293B26">
        <w:rPr>
          <w:rFonts w:ascii="Garamond" w:eastAsia="Times New Roman" w:hAnsi="Garamond" w:cs="Times New Roman"/>
          <w:kern w:val="0"/>
          <w:sz w:val="22"/>
          <w:szCs w:val="22"/>
          <w14:ligatures w14:val="none"/>
        </w:rPr>
        <w:t xml:space="preserve">. </w:t>
      </w:r>
      <w:r w:rsidR="00293B26" w:rsidRPr="00293B26">
        <w:rPr>
          <w:rFonts w:ascii="Garamond" w:hAnsi="Garamond" w:cs="Times New Roman"/>
          <w:sz w:val="22"/>
          <w:szCs w:val="22"/>
        </w:rPr>
        <w:t xml:space="preserve">The resulting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provides a spatially continuous estimate of </w:t>
      </w:r>
      <w:r w:rsidR="00293B26" w:rsidRPr="00293B26">
        <w:rPr>
          <w:rFonts w:ascii="Garamond" w:hAnsi="Garamond" w:cs="Times New Roman"/>
          <w:sz w:val="22"/>
          <w:szCs w:val="22"/>
        </w:rPr>
        <w:t xml:space="preserve">Sr8786 </w:t>
      </w:r>
      <w:r w:rsidR="00293B26" w:rsidRPr="00293B26">
        <w:rPr>
          <w:rFonts w:ascii="Garamond" w:hAnsi="Garamond" w:cs="Times New Roman"/>
          <w:sz w:val="22"/>
          <w:szCs w:val="22"/>
        </w:rPr>
        <w:t xml:space="preserve">values and their associated uncertainties for </w:t>
      </w:r>
      <w:r w:rsidR="00293B26" w:rsidRPr="00293B26">
        <w:rPr>
          <w:rFonts w:ascii="Garamond" w:hAnsi="Garamond" w:cs="Times New Roman"/>
          <w:sz w:val="22"/>
          <w:szCs w:val="22"/>
        </w:rPr>
        <w:t>roughly every ~1km stretch of</w:t>
      </w:r>
      <w:r w:rsidR="00293B26" w:rsidRPr="00293B26">
        <w:rPr>
          <w:rFonts w:ascii="Garamond" w:hAnsi="Garamond" w:cs="Times New Roman"/>
          <w:sz w:val="22"/>
          <w:szCs w:val="22"/>
        </w:rPr>
        <w:t xml:space="preserve"> tributaries </w:t>
      </w:r>
      <w:r w:rsidR="00293B26" w:rsidRPr="00293B26">
        <w:rPr>
          <w:rFonts w:ascii="Garamond" w:hAnsi="Garamond" w:cs="Times New Roman"/>
          <w:sz w:val="22"/>
          <w:szCs w:val="22"/>
        </w:rPr>
        <w:t>across</w:t>
      </w:r>
      <w:r w:rsidR="00293B26" w:rsidRPr="00293B26">
        <w:rPr>
          <w:rFonts w:ascii="Garamond" w:hAnsi="Garamond" w:cs="Times New Roman"/>
          <w:sz w:val="22"/>
          <w:szCs w:val="22"/>
        </w:rPr>
        <w:t xml:space="preserve"> the basin (Figure 2).</w:t>
      </w:r>
      <w:r w:rsidR="00293B26" w:rsidRPr="00293B26">
        <w:rPr>
          <w:rFonts w:ascii="Garamond" w:hAnsi="Garamond" w:cs="Times New Roman"/>
          <w:sz w:val="22"/>
          <w:szCs w:val="22"/>
        </w:rPr>
        <w:t xml:space="preserve"> </w:t>
      </w:r>
      <w:r w:rsidR="00293B26" w:rsidRPr="00293B26">
        <w:rPr>
          <w:rFonts w:ascii="Garamond" w:hAnsi="Garamond" w:cs="Times New Roman"/>
          <w:sz w:val="22"/>
          <w:szCs w:val="22"/>
        </w:rPr>
        <w:t xml:space="preserve">To avoid overrepresentation of regions with very low uncertainty—which could lead to inflated assignment probabilities—each site was assigned a minimum error value of 0.0006. This threshold was selected based on the distribution of uncertainty values across the basin and systematic evaluation of thresholds that minimized </w:t>
      </w:r>
      <w:proofErr w:type="spellStart"/>
      <w:r w:rsidR="00293B26" w:rsidRPr="00293B26">
        <w:rPr>
          <w:rFonts w:ascii="Garamond" w:hAnsi="Garamond" w:cs="Times New Roman"/>
          <w:sz w:val="22"/>
          <w:szCs w:val="22"/>
        </w:rPr>
        <w:t>overassignment</w:t>
      </w:r>
      <w:proofErr w:type="spellEnd"/>
      <w:r w:rsidR="00293B26" w:rsidRPr="00293B26">
        <w:rPr>
          <w:rFonts w:ascii="Garamond" w:hAnsi="Garamond" w:cs="Times New Roman"/>
          <w:sz w:val="22"/>
          <w:szCs w:val="22"/>
        </w:rPr>
        <w:t xml:space="preserve"> to a limited number of tributaries, while preserving broad-scale production patterns.</w:t>
      </w:r>
      <w:r w:rsidR="00293B26" w:rsidRPr="00293B26">
        <w:rPr>
          <w:rFonts w:ascii="Garamond" w:hAnsi="Garamond" w:cs="Times New Roman"/>
          <w:sz w:val="22"/>
          <w:szCs w:val="22"/>
        </w:rPr>
        <w:t xml:space="preserve"> </w:t>
      </w:r>
      <w:r w:rsidR="00293B26" w:rsidRPr="00293B26">
        <w:rPr>
          <w:rFonts w:ascii="Garamond" w:hAnsi="Garamond" w:cs="Times New Roman"/>
          <w:sz w:val="22"/>
          <w:szCs w:val="22"/>
        </w:rPr>
        <w:t>Implementing a minimum error value ensur</w:t>
      </w:r>
      <w:r w:rsidR="00293B26" w:rsidRPr="00293B26">
        <w:rPr>
          <w:rFonts w:ascii="Garamond" w:hAnsi="Garamond" w:cs="Times New Roman"/>
          <w:sz w:val="22"/>
          <w:szCs w:val="22"/>
        </w:rPr>
        <w:t>es</w:t>
      </w:r>
      <w:r w:rsidR="00293B26" w:rsidRPr="00293B26">
        <w:rPr>
          <w:rFonts w:ascii="Garamond" w:hAnsi="Garamond" w:cs="Times New Roman"/>
          <w:sz w:val="22"/>
          <w:szCs w:val="22"/>
        </w:rPr>
        <w:t xml:space="preserve"> that </w:t>
      </w:r>
      <w:r w:rsidR="00293B26" w:rsidRPr="00293B26">
        <w:rPr>
          <w:rFonts w:ascii="Garamond" w:hAnsi="Garamond" w:cs="Times New Roman"/>
          <w:sz w:val="22"/>
          <w:szCs w:val="22"/>
        </w:rPr>
        <w:t xml:space="preserve">assignments are primarily driven </w:t>
      </w:r>
      <w:r w:rsidR="00293B26" w:rsidRPr="00293B26">
        <w:rPr>
          <w:rFonts w:ascii="Garamond" w:hAnsi="Garamond" w:cs="Times New Roman"/>
          <w:sz w:val="22"/>
          <w:szCs w:val="22"/>
        </w:rPr>
        <w:t xml:space="preserve">by isotopic similarity </w:t>
      </w:r>
      <w:r w:rsidR="00293B26" w:rsidRPr="00293B26">
        <w:rPr>
          <w:rFonts w:ascii="Garamond" w:hAnsi="Garamond" w:cs="Times New Roman"/>
          <w:sz w:val="22"/>
          <w:szCs w:val="22"/>
        </w:rPr>
        <w:t xml:space="preserve">between otolith and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values rather </w:t>
      </w:r>
      <w:r w:rsidR="00293B26" w:rsidRPr="00293B26">
        <w:rPr>
          <w:rFonts w:ascii="Garamond" w:hAnsi="Garamond" w:cs="Times New Roman"/>
          <w:sz w:val="22"/>
          <w:szCs w:val="22"/>
        </w:rPr>
        <w:t>than by differences in local uncertainty</w:t>
      </w:r>
      <w:r w:rsidR="00293B26" w:rsidRPr="00293B26">
        <w:rPr>
          <w:rFonts w:ascii="Garamond" w:hAnsi="Garamond" w:cs="Times New Roman"/>
          <w:sz w:val="22"/>
          <w:szCs w:val="22"/>
        </w:rPr>
        <w:t xml:space="preserve">.  </w:t>
      </w:r>
      <w:r w:rsidR="00293B26" w:rsidRPr="00293B26">
        <w:rPr>
          <w:rFonts w:ascii="Garamond" w:hAnsi="Garamond" w:cs="Times New Roman"/>
          <w:sz w:val="22"/>
          <w:szCs w:val="22"/>
        </w:rPr>
        <w:t xml:space="preserve">This approach balances the need to </w:t>
      </w:r>
      <w:r w:rsidR="00293B26" w:rsidRPr="00293B26">
        <w:rPr>
          <w:rFonts w:ascii="Garamond" w:hAnsi="Garamond" w:cs="Times New Roman"/>
          <w:sz w:val="22"/>
          <w:szCs w:val="22"/>
        </w:rPr>
        <w:t xml:space="preserve">consider uncertainty in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prediction without allowing this variation to drive assignments.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530690EA" w14:textId="77777777" w:rsidR="005E64F6" w:rsidRPr="005E64F6" w:rsidRDefault="00855E39" w:rsidP="005E64F6">
      <w:pPr>
        <w:spacing w:line="480" w:lineRule="auto"/>
        <w:ind w:firstLine="720"/>
        <w:rPr>
          <w:rFonts w:ascii="Garamond" w:eastAsia="Times New Roman" w:hAnsi="Garamond" w:cstheme="majorHAnsi"/>
          <w:color w:val="000000"/>
          <w:sz w:val="22"/>
          <w:szCs w:val="22"/>
        </w:rPr>
      </w:pPr>
      <w:r w:rsidRPr="005E64F6">
        <w:rPr>
          <w:rFonts w:ascii="Garamond" w:eastAsia="Times New Roman" w:hAnsi="Garamond" w:cs="Times New Roman"/>
          <w:kern w:val="0"/>
          <w:sz w:val="22"/>
          <w:szCs w:val="22"/>
          <w14:ligatures w14:val="none"/>
        </w:rPr>
        <w:t xml:space="preserve">For each fish, a posterior probability of origin was calculated </w:t>
      </w:r>
      <w:r w:rsidR="005E64F6" w:rsidRPr="005E64F6">
        <w:rPr>
          <w:rFonts w:ascii="Garamond" w:eastAsia="Times New Roman" w:hAnsi="Garamond" w:cs="Times New Roman"/>
          <w:kern w:val="0"/>
          <w:sz w:val="22"/>
          <w:szCs w:val="22"/>
          <w14:ligatures w14:val="none"/>
        </w:rPr>
        <w:t xml:space="preserve">using a geographically </w:t>
      </w:r>
      <w:proofErr w:type="spellStart"/>
      <w:r w:rsidR="005E64F6" w:rsidRPr="005E64F6">
        <w:rPr>
          <w:rFonts w:ascii="Garamond" w:eastAsia="Times New Roman" w:hAnsi="Garamond" w:cs="Times New Roman"/>
          <w:kern w:val="0"/>
          <w:sz w:val="22"/>
          <w:szCs w:val="22"/>
          <w14:ligatures w14:val="none"/>
        </w:rPr>
        <w:t>continious</w:t>
      </w:r>
      <w:proofErr w:type="spellEnd"/>
      <w:r w:rsidR="005E64F6" w:rsidRPr="005E64F6">
        <w:rPr>
          <w:rFonts w:ascii="Garamond" w:eastAsia="Times New Roman" w:hAnsi="Garamond" w:cs="Times New Roman"/>
          <w:kern w:val="0"/>
          <w:sz w:val="22"/>
          <w:szCs w:val="22"/>
          <w14:ligatures w14:val="none"/>
        </w:rPr>
        <w:t xml:space="preserve"> Bayesian framework </w:t>
      </w:r>
      <w:r w:rsidR="005E64F6" w:rsidRPr="005E64F6">
        <w:rPr>
          <w:rFonts w:ascii="Garamond" w:eastAsia="Times New Roman" w:hAnsi="Garamond" w:cs="Times New Roman"/>
          <w:kern w:val="0"/>
          <w:sz w:val="22"/>
          <w:szCs w:val="22"/>
          <w14:ligatures w14:val="none"/>
        </w:rPr>
        <w:fldChar w:fldCharType="begin"/>
      </w:r>
      <w:r w:rsidR="005E64F6"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5E64F6" w:rsidRPr="005E64F6">
        <w:rPr>
          <w:rFonts w:ascii="Garamond" w:eastAsia="Times New Roman" w:hAnsi="Garamond" w:cs="Times New Roman"/>
          <w:kern w:val="0"/>
          <w:sz w:val="22"/>
          <w:szCs w:val="22"/>
          <w14:ligatures w14:val="none"/>
        </w:rPr>
        <w:fldChar w:fldCharType="separate"/>
      </w:r>
      <w:r w:rsidR="005E64F6" w:rsidRPr="005E64F6">
        <w:rPr>
          <w:rFonts w:ascii="Garamond" w:eastAsia="Times New Roman" w:hAnsi="Garamond" w:cs="Times New Roman"/>
          <w:noProof/>
          <w:kern w:val="0"/>
          <w:sz w:val="22"/>
          <w:szCs w:val="22"/>
          <w14:ligatures w14:val="none"/>
        </w:rPr>
        <w:t>(Brennan, Cline, et al., 2019)</w:t>
      </w:r>
      <w:r w:rsidR="005E64F6" w:rsidRPr="005E64F6">
        <w:rPr>
          <w:rFonts w:ascii="Garamond" w:eastAsia="Times New Roman" w:hAnsi="Garamond" w:cs="Times New Roman"/>
          <w:kern w:val="0"/>
          <w:sz w:val="22"/>
          <w:szCs w:val="22"/>
          <w14:ligatures w14:val="none"/>
        </w:rPr>
        <w:fldChar w:fldCharType="end"/>
      </w:r>
      <w:r w:rsidR="005E64F6" w:rsidRPr="005E64F6">
        <w:rPr>
          <w:rFonts w:ascii="Garamond" w:eastAsia="Times New Roman" w:hAnsi="Garamond" w:cs="Times New Roman"/>
          <w:kern w:val="0"/>
          <w:sz w:val="22"/>
          <w:szCs w:val="22"/>
          <w14:ligatures w14:val="none"/>
        </w:rPr>
        <w:t xml:space="preserve">. This approach considers the relationship between extracted natal origin otolith Sr8786 values as well as several variance generating processes including </w:t>
      </w:r>
      <w:r w:rsidR="005E64F6" w:rsidRPr="005E64F6">
        <w:rPr>
          <w:rFonts w:ascii="Garamond" w:hAnsi="Garamond" w:cstheme="majorHAnsi"/>
          <w:sz w:val="22"/>
          <w:szCs w:val="22"/>
        </w:rPr>
        <w:t xml:space="preserve">analytical, within-population, and </w:t>
      </w:r>
      <w:proofErr w:type="spellStart"/>
      <w:r w:rsidR="005E64F6" w:rsidRPr="005E64F6">
        <w:rPr>
          <w:rFonts w:ascii="Garamond" w:hAnsi="Garamond" w:cstheme="majorHAnsi"/>
          <w:sz w:val="22"/>
          <w:szCs w:val="22"/>
        </w:rPr>
        <w:t>isoscape</w:t>
      </w:r>
      <w:proofErr w:type="spellEnd"/>
      <w:r w:rsidR="005E64F6" w:rsidRPr="005E64F6">
        <w:rPr>
          <w:rFonts w:ascii="Garamond" w:hAnsi="Garamond" w:cstheme="majorHAnsi"/>
          <w:sz w:val="22"/>
          <w:szCs w:val="22"/>
        </w:rPr>
        <w:t xml:space="preserve"> prediction error</w:t>
      </w:r>
      <w:r w:rsidR="005E64F6" w:rsidRPr="005E64F6">
        <w:rPr>
          <w:rFonts w:ascii="Garamond" w:hAnsi="Garamond" w:cstheme="majorHAnsi"/>
          <w:sz w:val="22"/>
          <w:szCs w:val="22"/>
        </w:rPr>
        <w:t xml:space="preserve">. </w:t>
      </w:r>
      <w:r w:rsidR="005E64F6" w:rsidRPr="005E64F6">
        <w:rPr>
          <w:rFonts w:ascii="Garamond" w:eastAsia="Times New Roman" w:hAnsi="Garamond" w:cstheme="majorHAnsi"/>
          <w:color w:val="000000"/>
          <w:sz w:val="22"/>
          <w:szCs w:val="22"/>
        </w:rPr>
        <w:t xml:space="preserve">We assumed all errors were normally distributed, and combined them through the equation: </w:t>
      </w:r>
    </w:p>
    <w:p w14:paraId="7F6DFB1E" w14:textId="22D170F1" w:rsidR="005E64F6" w:rsidRPr="005E64F6" w:rsidRDefault="005E64F6"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474C3F9D" w14:textId="36D3E619" w:rsidR="005E64F6" w:rsidRPr="007643D8" w:rsidRDefault="005E64F6" w:rsidP="005E64F6">
      <w:pPr>
        <w:spacing w:line="480" w:lineRule="auto"/>
        <w:ind w:firstLine="720"/>
        <w:rPr>
          <w:rFonts w:ascii="Garamond" w:hAnsi="Garamond" w:cstheme="majorHAnsi"/>
        </w:rPr>
      </w:pPr>
      <w:r w:rsidRPr="007643D8">
        <w:rPr>
          <w:rFonts w:ascii="Garamond" w:hAnsi="Garamond" w:cstheme="majorHAnsi"/>
        </w:rPr>
        <w:t xml:space="preserve">Posterior probability values of provenance for each tributary (j) were then calculated using Bayes theorem </w:t>
      </w:r>
      <w:r w:rsidRPr="007643D8">
        <w:rPr>
          <w:rFonts w:ascii="Garamond" w:hAnsi="Garamond" w:cstheme="majorHAnsi"/>
        </w:rPr>
        <w:fldChar w:fldCharType="begin"/>
      </w:r>
      <w:r w:rsidR="00F210C2">
        <w:rPr>
          <w:rFonts w:ascii="Garamond" w:hAnsi="Garamond" w:cstheme="majorHAnsi"/>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7643D8">
        <w:rPr>
          <w:rFonts w:ascii="Garamond" w:hAnsi="Garamond" w:cstheme="majorHAnsi"/>
        </w:rPr>
        <w:fldChar w:fldCharType="separate"/>
      </w:r>
      <w:r w:rsidR="00F210C2">
        <w:rPr>
          <w:rFonts w:ascii="Garamond" w:hAnsi="Garamond" w:cstheme="majorHAnsi"/>
          <w:noProof/>
        </w:rPr>
        <w:t>(Brennan &amp; Schindler, 2017; Wunder, 2010)</w:t>
      </w:r>
      <w:r w:rsidRPr="007643D8">
        <w:rPr>
          <w:rFonts w:ascii="Garamond" w:hAnsi="Garamond" w:cstheme="majorHAnsi"/>
        </w:rPr>
        <w:fldChar w:fldCharType="end"/>
      </w:r>
      <w:r w:rsidRPr="007643D8">
        <w:rPr>
          <w:rFonts w:ascii="Garamond" w:hAnsi="Garamond" w:cstheme="majorHAnsi"/>
        </w:rPr>
        <w:t xml:space="preserve"> ; </w:t>
      </w:r>
    </w:p>
    <w:p w14:paraId="5F4F9A08" w14:textId="22616F1B" w:rsidR="0017407A" w:rsidRPr="005E64F6" w:rsidRDefault="005E64F6" w:rsidP="006D1917">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m:t>
          </m:r>
          <m:r>
            <w:rPr>
              <w:rFonts w:ascii="Cambria Math" w:hAnsi="Cambria Math" w:cstheme="majorHAnsi"/>
              <w:sz w:val="18"/>
              <w:szCs w:val="18"/>
            </w:rPr>
            <m:t>Presence</m:t>
          </m:r>
          <m:r>
            <w:rPr>
              <w:rFonts w:ascii="Cambria Math" w:hAnsi="Cambria Math" w:cstheme="majorHAnsi"/>
              <w:sz w:val="18"/>
              <w:szCs w:val="18"/>
            </w:rPr>
            <m:t>(j)</m:t>
          </m:r>
        </m:oMath>
      </m:oMathPara>
    </w:p>
    <w:p w14:paraId="074102B3" w14:textId="2ECE10C4" w:rsidR="00F210C2" w:rsidRPr="00E774B6" w:rsidRDefault="005E64F6" w:rsidP="00E774B6">
      <w:pPr>
        <w:spacing w:line="480" w:lineRule="auto"/>
        <w:ind w:firstLine="720"/>
        <w:rPr>
          <w:rFonts w:ascii="Garamond" w:eastAsia="Times New Roman" w:hAnsi="Garamond" w:cs="Times New Roman"/>
          <w:kern w:val="0"/>
          <w:sz w:val="22"/>
          <w:szCs w:val="22"/>
          <w14:ligatures w14:val="none"/>
        </w:rPr>
      </w:pPr>
      <w:r w:rsidRPr="007643D8">
        <w:rPr>
          <w:rFonts w:ascii="Garamond" w:hAnsi="Garamond" w:cstheme="majorHAnsi"/>
        </w:rPr>
        <w:lastRenderedPageBreak/>
        <w:t xml:space="preserve">The probability of an individual assigning to tributary j is defined as the product of the probability of the </w:t>
      </w:r>
      <w:r>
        <w:rPr>
          <w:rFonts w:ascii="Garamond" w:hAnsi="Garamond" w:cstheme="majorHAnsi"/>
        </w:rPr>
        <w:t xml:space="preserve">isotope </w:t>
      </w:r>
      <w:r w:rsidRPr="007643D8">
        <w:rPr>
          <w:rFonts w:ascii="Garamond" w:hAnsi="Garamond" w:cstheme="majorHAnsi"/>
        </w:rPr>
        <w:t>ratio in the otolith of an individual (o) given the isotope ratio in tributary j (</w:t>
      </w:r>
      <w:proofErr w:type="spellStart"/>
      <w:r w:rsidRPr="007643D8">
        <w:rPr>
          <w:rFonts w:ascii="Garamond" w:hAnsi="Garamond" w:cstheme="majorHAnsi"/>
        </w:rPr>
        <w:t>r_j</w:t>
      </w:r>
      <w:proofErr w:type="spellEnd"/>
      <w:r w:rsidRPr="007643D8">
        <w:rPr>
          <w:rFonts w:ascii="Garamond" w:hAnsi="Garamond" w:cstheme="majorHAnsi"/>
        </w:rPr>
        <w:t>)</w:t>
      </w:r>
      <w:r>
        <w:rPr>
          <w:rFonts w:ascii="Garamond" w:hAnsi="Garamond" w:cstheme="majorHAnsi"/>
        </w:rPr>
        <w:t xml:space="preserve"> and 3 separate habitat priors. </w:t>
      </w:r>
      <w:r w:rsidRPr="007643D8">
        <w:rPr>
          <w:rFonts w:ascii="Garamond" w:hAnsi="Garamond" w:cstheme="majorHAnsi"/>
        </w:rPr>
        <w:t>The probability of the isotope ratio (</w:t>
      </w:r>
      <w:proofErr w:type="spellStart"/>
      <w:r w:rsidRPr="007643D8">
        <w:rPr>
          <w:rFonts w:ascii="Garamond" w:hAnsi="Garamond" w:cstheme="majorHAnsi"/>
        </w:rPr>
        <w:t>rj</w:t>
      </w:r>
      <w:proofErr w:type="spellEnd"/>
      <w:r w:rsidRPr="007643D8">
        <w:rPr>
          <w:rFonts w:ascii="Garamond" w:hAnsi="Garamond" w:cstheme="majorHAnsi"/>
        </w:rPr>
        <w:t xml:space="preserve">) was assumed to be normally distributed with a mean represented by the otolith isotope ratio (o) and an error of </w:t>
      </w:r>
      <m:oMath>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oMath>
      <w:r w:rsidRPr="007643D8">
        <w:rPr>
          <w:rFonts w:ascii="Garamond" w:hAnsi="Garamond" w:cstheme="majorHAnsi"/>
        </w:rPr>
        <w:t xml:space="preserve">. </w:t>
      </w:r>
      <w:r w:rsidRPr="006D1917">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6D1917">
        <w:rPr>
          <w:rFonts w:ascii="Garamond" w:hAnsi="Garamond"/>
          <w:sz w:val="22"/>
          <w:szCs w:val="22"/>
        </w:rPr>
        <w:t xml:space="preserve">First, a </w:t>
      </w:r>
      <w:r w:rsidRPr="006D1917">
        <w:rPr>
          <w:rFonts w:ascii="Garamond" w:eastAsia="Times New Roman" w:hAnsi="Garamond"/>
          <w:sz w:val="22"/>
          <w:szCs w:val="22"/>
        </w:rPr>
        <w:t>stream order prior</w:t>
      </w:r>
      <w:r>
        <w:rPr>
          <w:rFonts w:ascii="Garamond" w:eastAsia="Times New Roman" w:hAnsi="Garamond"/>
          <w:sz w:val="22"/>
          <w:szCs w:val="22"/>
        </w:rPr>
        <w:t xml:space="preserve"> (</w:t>
      </w:r>
      <w:proofErr w:type="spellStart"/>
      <w:r>
        <w:rPr>
          <w:rFonts w:ascii="Garamond" w:eastAsia="Times New Roman" w:hAnsi="Garamond"/>
          <w:sz w:val="22"/>
          <w:szCs w:val="22"/>
        </w:rPr>
        <w:t>PStreamOrder</w:t>
      </w:r>
      <w:proofErr w:type="spellEnd"/>
      <w:r>
        <w:rPr>
          <w:rFonts w:ascii="Garamond" w:eastAsia="Times New Roman" w:hAnsi="Garamond"/>
          <w:sz w:val="22"/>
          <w:szCs w:val="22"/>
        </w:rPr>
        <w:t>)</w:t>
      </w:r>
      <w:r w:rsidRPr="006D1917">
        <w:rPr>
          <w:rFonts w:ascii="Garamond" w:hAnsi="Garamond"/>
          <w:sz w:val="22"/>
          <w:szCs w:val="22"/>
        </w:rPr>
        <w:t xml:space="preserve"> was applied to limit assignments to higher-order tributaries, reflecting Chinook Salmon’s known preference for spawning in larger streams. Only reaches with a stream order of 4 or greater were included in assignments (assigned a prior value of 1), while smaller tributaries were excluded (assigned a value of 0). </w:t>
      </w:r>
      <w:r w:rsidRPr="006D1917">
        <w:rPr>
          <w:rFonts w:ascii="Garamond" w:eastAsia="Times New Roman" w:hAnsi="Garamond" w:cs="Times New Roman"/>
          <w:kern w:val="0"/>
          <w:sz w:val="22"/>
          <w:szCs w:val="22"/>
          <w14:ligatures w14:val="none"/>
        </w:rPr>
        <w:t>Second, a habitat suitability prior</w:t>
      </w:r>
      <w:r>
        <w:rPr>
          <w:rFonts w:ascii="Garamond" w:eastAsia="Times New Roman" w:hAnsi="Garamond" w:cs="Times New Roman"/>
          <w:kern w:val="0"/>
          <w:sz w:val="22"/>
          <w:szCs w:val="22"/>
          <w14:ligatures w14:val="none"/>
        </w:rPr>
        <w:t xml:space="preserve"> (</w:t>
      </w:r>
      <w:proofErr w:type="spellStart"/>
      <w:r>
        <w:rPr>
          <w:rFonts w:ascii="Garamond" w:eastAsia="Times New Roman" w:hAnsi="Garamond" w:cs="Times New Roman"/>
          <w:kern w:val="0"/>
          <w:sz w:val="22"/>
          <w:szCs w:val="22"/>
          <w14:ligatures w14:val="none"/>
        </w:rPr>
        <w:t>PHabitat</w:t>
      </w:r>
      <w:proofErr w:type="spellEnd"/>
      <w:r>
        <w:rPr>
          <w:rFonts w:ascii="Garamond" w:eastAsia="Times New Roman" w:hAnsi="Garamond" w:cs="Times New Roman"/>
          <w:kern w:val="0"/>
          <w:sz w:val="22"/>
          <w:szCs w:val="22"/>
          <w14:ligatures w14:val="none"/>
        </w:rPr>
        <w:t>)</w:t>
      </w:r>
      <w:r w:rsidRPr="006D1917">
        <w:rPr>
          <w:rFonts w:ascii="Garamond" w:eastAsia="Times New Roman" w:hAnsi="Garamond" w:cs="Times New Roman"/>
          <w:kern w:val="0"/>
          <w:sz w:val="22"/>
          <w:szCs w:val="22"/>
          <w14:ligatures w14:val="none"/>
        </w:rPr>
        <w:t xml:space="preserve"> was used to exclude regions below a threshold contributing slope value (threshold to be inserted from [source]), thereby preventing assignment to exceedingly slow or flat reaches determined to be unsuitable of spawning Chinook. Finally, data was included on observed locations of spawning chinook presence derived from USGS Arctic-Yukon-Kuskokwim (AYK) Chinook Salmon Intrinsic potential mapping. This dataset synthesizes several sources of data on observed Chinook salmon spawners </w:t>
      </w:r>
      <w:r w:rsidR="00F210C2">
        <w:rPr>
          <w:rFonts w:ascii="Garamond" w:eastAsia="Times New Roman" w:hAnsi="Garamond" w:cs="Times New Roman"/>
          <w:kern w:val="0"/>
          <w:sz w:val="22"/>
          <w:szCs w:val="22"/>
          <w14:ligatures w14:val="none"/>
        </w:rPr>
        <w:fldChar w:fldCharType="begin"/>
      </w:r>
      <w:r w:rsidR="00F210C2">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F210C2">
        <w:rPr>
          <w:rFonts w:ascii="Garamond" w:eastAsia="Times New Roman" w:hAnsi="Garamond" w:cs="Times New Roman"/>
          <w:kern w:val="0"/>
          <w:sz w:val="22"/>
          <w:szCs w:val="22"/>
          <w14:ligatures w14:val="none"/>
        </w:rPr>
        <w:fldChar w:fldCharType="separate"/>
      </w:r>
      <w:r w:rsidR="00F210C2">
        <w:rPr>
          <w:rFonts w:ascii="Garamond" w:eastAsia="Times New Roman" w:hAnsi="Garamond" w:cs="Times New Roman"/>
          <w:noProof/>
          <w:kern w:val="0"/>
          <w:sz w:val="22"/>
          <w:szCs w:val="22"/>
          <w14:ligatures w14:val="none"/>
        </w:rPr>
        <w:t>(Falke &amp; Paul, 2025)</w:t>
      </w:r>
      <w:r w:rsidR="00F210C2">
        <w:rPr>
          <w:rFonts w:ascii="Garamond" w:eastAsia="Times New Roman" w:hAnsi="Garamond" w:cs="Times New Roman"/>
          <w:kern w:val="0"/>
          <w:sz w:val="22"/>
          <w:szCs w:val="22"/>
          <w14:ligatures w14:val="none"/>
        </w:rPr>
        <w:fldChar w:fldCharType="end"/>
      </w:r>
      <w:r w:rsidRPr="006D1917">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 identified in the IP dataset as lacking observed Chinook spawning were assigned as a value of 0. </w:t>
      </w:r>
    </w:p>
    <w:p w14:paraId="57396A19" w14:textId="1F1F1A4F" w:rsidR="00F210C2" w:rsidRPr="00E774B6" w:rsidRDefault="00F210C2" w:rsidP="00F210C2">
      <w:pPr>
        <w:spacing w:line="480" w:lineRule="auto"/>
        <w:rPr>
          <w:rFonts w:ascii="Garamond" w:hAnsi="Garamond"/>
          <w:b/>
          <w:bCs/>
          <w:sz w:val="22"/>
          <w:szCs w:val="22"/>
        </w:rPr>
      </w:pPr>
      <w:r w:rsidRPr="00E774B6">
        <w:rPr>
          <w:rFonts w:ascii="Garamond" w:hAnsi="Garamond"/>
          <w:b/>
          <w:bCs/>
          <w:sz w:val="22"/>
          <w:szCs w:val="22"/>
        </w:rPr>
        <w:t>Natal origin distribution estimates.</w:t>
      </w:r>
    </w:p>
    <w:p w14:paraId="11B1F836" w14:textId="77777777" w:rsidR="00E774B6" w:rsidRPr="00E774B6" w:rsidRDefault="00E774B6" w:rsidP="00E774B6">
      <w:pPr>
        <w:pStyle w:val="NormalWeb"/>
        <w:spacing w:line="480" w:lineRule="auto"/>
        <w:ind w:firstLine="720"/>
        <w:rPr>
          <w:rFonts w:ascii="Garamond" w:hAnsi="Garamond"/>
        </w:rPr>
      </w:pPr>
      <w:r w:rsidRPr="00E774B6">
        <w:rPr>
          <w:rFonts w:ascii="Garamond" w:hAnsi="Garamond"/>
        </w:rPr>
        <w:t xml:space="preserve">Posterior probability estimates of origin were generated for </w:t>
      </w:r>
      <w:proofErr w:type="gramStart"/>
      <w:r w:rsidRPr="00E774B6">
        <w:rPr>
          <w:rFonts w:ascii="Garamond" w:hAnsi="Garamond"/>
        </w:rPr>
        <w:t>each individual</w:t>
      </w:r>
      <w:proofErr w:type="gramEnd"/>
      <w:r w:rsidRPr="00E774B6">
        <w:rPr>
          <w:rFonts w:ascii="Garamond" w:hAnsi="Garamond"/>
        </w:rPr>
        <w:t xml:space="preserve"> across all tributaries in the basin. To retain only the most likely natal habitats, the top 30% of posterior values were preserved while the bottom 70% were discarded. This filtering reduced the influence of diffuse, low-probability values and improved the spatial resolution of basin-scale patterns.</w:t>
      </w:r>
    </w:p>
    <w:p w14:paraId="0288C1B3" w14:textId="2E04D488" w:rsidR="00F210C2" w:rsidRPr="00544AA0" w:rsidRDefault="00E774B6" w:rsidP="00544AA0">
      <w:pPr>
        <w:pStyle w:val="NormalWeb"/>
        <w:spacing w:line="480" w:lineRule="auto"/>
        <w:rPr>
          <w:rFonts w:ascii="Garamond" w:hAnsi="Garamond"/>
        </w:rPr>
      </w:pPr>
      <w:r w:rsidRPr="00E774B6">
        <w:rPr>
          <w:rFonts w:ascii="Garamond" w:hAnsi="Garamond"/>
        </w:rPr>
        <w:lastRenderedPageBreak/>
        <w:t xml:space="preserve">Full-run estimates of the spatial distribution of natal origins were calculated by summing the </w:t>
      </w:r>
      <w:proofErr w:type="spellStart"/>
      <w:r w:rsidRPr="00E774B6">
        <w:rPr>
          <w:rFonts w:ascii="Garamond" w:hAnsi="Garamond"/>
        </w:rPr>
        <w:t>thresholded</w:t>
      </w:r>
      <w:proofErr w:type="spellEnd"/>
      <w:r w:rsidRPr="00E774B6">
        <w:rPr>
          <w:rFonts w:ascii="Garamond" w:hAnsi="Garamond"/>
        </w:rPr>
        <w:t xml:space="preserve"> posterior probabilities for all individuals at each tributary location. To assess temporal patterns within the run, individuals were grouped into predefined quartiles based on their capture date. The first quartile spanned from the beginning of the run through </w:t>
      </w:r>
      <w:r w:rsidRPr="00E774B6">
        <w:rPr>
          <w:rStyle w:val="Strong"/>
          <w:rFonts w:ascii="Garamond" w:eastAsiaTheme="majorEastAsia" w:hAnsi="Garamond"/>
          <w:b w:val="0"/>
          <w:bCs w:val="0"/>
        </w:rPr>
        <w:t>June 11</w:t>
      </w:r>
      <w:r w:rsidRPr="00E774B6">
        <w:rPr>
          <w:rFonts w:ascii="Garamond" w:hAnsi="Garamond"/>
        </w:rPr>
        <w:t xml:space="preserve">, corresponding to the current front-end block closure on the Kuskokwim River. The second quartile covered </w:t>
      </w:r>
      <w:r w:rsidRPr="00E774B6">
        <w:rPr>
          <w:rStyle w:val="Strong"/>
          <w:rFonts w:ascii="Garamond" w:eastAsiaTheme="majorEastAsia" w:hAnsi="Garamond"/>
          <w:b w:val="0"/>
          <w:bCs w:val="0"/>
        </w:rPr>
        <w:t>June 12–21</w:t>
      </w:r>
      <w:r w:rsidRPr="00E774B6">
        <w:rPr>
          <w:rFonts w:ascii="Garamond" w:hAnsi="Garamond"/>
          <w:b/>
          <w:bCs/>
        </w:rPr>
        <w:t>,</w:t>
      </w:r>
      <w:r w:rsidRPr="00E774B6">
        <w:rPr>
          <w:rFonts w:ascii="Garamond" w:hAnsi="Garamond"/>
        </w:rPr>
        <w:t xml:space="preserve"> the third spanned </w:t>
      </w:r>
      <w:r w:rsidRPr="00E774B6">
        <w:rPr>
          <w:rStyle w:val="Strong"/>
          <w:rFonts w:ascii="Garamond" w:eastAsiaTheme="majorEastAsia" w:hAnsi="Garamond"/>
          <w:b w:val="0"/>
          <w:bCs w:val="0"/>
        </w:rPr>
        <w:t>June 22–July 1</w:t>
      </w:r>
      <w:r w:rsidRPr="00E774B6">
        <w:rPr>
          <w:rFonts w:ascii="Garamond" w:hAnsi="Garamond"/>
          <w:b/>
          <w:bCs/>
        </w:rPr>
        <w:t>,</w:t>
      </w:r>
      <w:r w:rsidRPr="00E774B6">
        <w:rPr>
          <w:rFonts w:ascii="Garamond" w:hAnsi="Garamond"/>
        </w:rPr>
        <w:t xml:space="preserve"> and the final quartile included all individuals captured from </w:t>
      </w:r>
      <w:r w:rsidRPr="00E774B6">
        <w:rPr>
          <w:rStyle w:val="Strong"/>
          <w:rFonts w:ascii="Garamond" w:eastAsiaTheme="majorEastAsia" w:hAnsi="Garamond"/>
          <w:b w:val="0"/>
          <w:bCs w:val="0"/>
        </w:rPr>
        <w:t>July 2 onward</w:t>
      </w:r>
      <w:r w:rsidRPr="00E774B6">
        <w:rPr>
          <w:rFonts w:ascii="Garamond" w:hAnsi="Garamond"/>
          <w:b/>
          <w:bCs/>
        </w:rPr>
        <w:t>.</w:t>
      </w:r>
      <w:r w:rsidRPr="00E774B6">
        <w:rPr>
          <w:rFonts w:ascii="Garamond" w:hAnsi="Garamond"/>
        </w:rPr>
        <w:t xml:space="preserve"> Although the duration of the fourth quartile varied slightly among years due to interannual differences in run timing, these deviations were minimal and had negligible impact on overall CPUE.</w:t>
      </w:r>
      <w:r w:rsidRPr="00E774B6">
        <w:rPr>
          <w:rFonts w:ascii="Garamond" w:hAnsi="Garamond"/>
        </w:rPr>
        <w:t xml:space="preserve"> </w:t>
      </w:r>
      <w:r w:rsidRPr="00E774B6">
        <w:rPr>
          <w:rFonts w:ascii="Garamond" w:hAnsi="Garamond"/>
        </w:rPr>
        <w:t xml:space="preserve">Quartile-specific natal origin distributions were calculated by summing the </w:t>
      </w:r>
      <w:proofErr w:type="spellStart"/>
      <w:r w:rsidRPr="00E774B6">
        <w:rPr>
          <w:rFonts w:ascii="Garamond" w:hAnsi="Garamond"/>
        </w:rPr>
        <w:t>thresholded</w:t>
      </w:r>
      <w:proofErr w:type="spellEnd"/>
      <w:r w:rsidRPr="00E774B6">
        <w:rPr>
          <w:rFonts w:ascii="Garamond" w:hAnsi="Garamond"/>
        </w:rPr>
        <w:t xml:space="preserve"> posterior probabilities of all individuals captured within each quartile window. For both full-run and quartile-specific estimates, values were normalized to sum to one. For visualization purposes, these values were then rescaled to a 0–1 range to depict the relative distribution of natal origins across the basin.</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0D63296B" w14:textId="77777777" w:rsidR="00D75D9A" w:rsidRDefault="004B12B3" w:rsidP="00D75D9A">
      <w:pPr>
        <w:pStyle w:val="NormalWeb"/>
        <w:spacing w:line="480" w:lineRule="auto"/>
        <w:rPr>
          <w:rFonts w:ascii="Garamond" w:hAnsi="Garamond"/>
          <w:sz w:val="22"/>
          <w:szCs w:val="22"/>
        </w:rPr>
      </w:pPr>
      <w:r w:rsidRPr="006D1917">
        <w:rPr>
          <w:rFonts w:ascii="Garamond" w:hAnsi="Garamond"/>
          <w:b/>
          <w:bCs/>
          <w:sz w:val="22"/>
          <w:szCs w:val="22"/>
        </w:rPr>
        <w:tab/>
      </w:r>
      <w:r w:rsidR="006135E9" w:rsidRPr="00916784">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the Aniak, Kwethluk, </w:t>
      </w:r>
      <w:proofErr w:type="spellStart"/>
      <w:r w:rsidR="006135E9" w:rsidRPr="00916784">
        <w:rPr>
          <w:rFonts w:ascii="Garamond" w:hAnsi="Garamond"/>
          <w:sz w:val="22"/>
          <w:szCs w:val="22"/>
        </w:rPr>
        <w:t>Takotna</w:t>
      </w:r>
      <w:proofErr w:type="spellEnd"/>
      <w:r w:rsidR="006135E9" w:rsidRPr="00916784">
        <w:rPr>
          <w:rFonts w:ascii="Garamond" w:hAnsi="Garamond"/>
          <w:sz w:val="22"/>
          <w:szCs w:val="22"/>
        </w:rPr>
        <w:t xml:space="preserve">, and </w:t>
      </w:r>
      <w:proofErr w:type="spellStart"/>
      <w:r w:rsidR="006135E9" w:rsidRPr="00916784">
        <w:rPr>
          <w:rFonts w:ascii="Garamond" w:hAnsi="Garamond"/>
          <w:sz w:val="22"/>
          <w:szCs w:val="22"/>
        </w:rPr>
        <w:t>Holitna</w:t>
      </w:r>
      <w:proofErr w:type="spellEnd"/>
      <w:r w:rsidR="006135E9" w:rsidRPr="00916784">
        <w:rPr>
          <w:rFonts w:ascii="Garamond" w:hAnsi="Garamond"/>
          <w:sz w:val="22"/>
          <w:szCs w:val="22"/>
        </w:rPr>
        <w:t xml:space="preserve"> rivers, which are subject to active management goals. For each of these systems, all upstream stream segments were grouped and assigned a common management unit identifier.</w:t>
      </w:r>
      <w:r w:rsidR="00916784">
        <w:rPr>
          <w:rFonts w:ascii="Garamond" w:hAnsi="Garamond"/>
          <w:sz w:val="22"/>
          <w:szCs w:val="22"/>
        </w:rPr>
        <w:t xml:space="preserve"> </w:t>
      </w:r>
      <w:proofErr w:type="gramStart"/>
      <w:r w:rsidR="006135E9" w:rsidRPr="00916784">
        <w:rPr>
          <w:rFonts w:ascii="Garamond" w:hAnsi="Garamond"/>
          <w:sz w:val="22"/>
          <w:szCs w:val="22"/>
        </w:rPr>
        <w:t>Additional</w:t>
      </w:r>
      <w:proofErr w:type="gramEnd"/>
      <w:r w:rsidR="006135E9" w:rsidRPr="00916784">
        <w:rPr>
          <w:rFonts w:ascii="Garamond" w:hAnsi="Garamond"/>
          <w:sz w:val="22"/>
          <w:szCs w:val="22"/>
        </w:rPr>
        <w:t xml:space="preserve"> tributaries not explicitly highlighted in ADFG’s management priorities were grouped into units of comparable size or hydrological significance. These included units such as “Upper Kusko Main,” “George,” and “Lower Kusko,” ensuring that the entire basin was binned into management categories that could be reasonably compared across regions (Figure X).</w:t>
      </w:r>
      <w:r w:rsidR="00ED6B2A">
        <w:rPr>
          <w:rFonts w:ascii="Garamond" w:hAnsi="Garamond"/>
          <w:sz w:val="22"/>
          <w:szCs w:val="22"/>
        </w:rPr>
        <w:t xml:space="preserve"> </w:t>
      </w:r>
      <w:proofErr w:type="gramStart"/>
      <w:r w:rsidR="00916784" w:rsidRPr="00916784">
        <w:rPr>
          <w:rFonts w:ascii="Garamond" w:hAnsi="Garamond"/>
          <w:sz w:val="22"/>
          <w:szCs w:val="22"/>
        </w:rPr>
        <w:t>Production</w:t>
      </w:r>
      <w:proofErr w:type="gramEnd"/>
      <w:r w:rsidR="00916784" w:rsidRPr="00916784">
        <w:rPr>
          <w:rFonts w:ascii="Garamond" w:hAnsi="Garamond"/>
          <w:sz w:val="22"/>
          <w:szCs w:val="22"/>
        </w:rPr>
        <w:t xml:space="preserve"> estimates across the basin were aggregated by management unit and rescaled to sum to one for each quartile. This process was repeated for all quartiles across all years in the dataset (2017–2021), resulting in a time series of proportional contributions for each of the 20 management regions.</w:t>
      </w:r>
    </w:p>
    <w:p w14:paraId="74167350" w14:textId="2CECA42D" w:rsidR="009873E7" w:rsidRPr="00D75D9A" w:rsidRDefault="009873E7" w:rsidP="00D75D9A">
      <w:pPr>
        <w:pStyle w:val="NormalWeb"/>
        <w:spacing w:line="480" w:lineRule="auto"/>
        <w:rPr>
          <w:rFonts w:ascii="Garamond" w:hAnsi="Garamond"/>
          <w:sz w:val="22"/>
          <w:szCs w:val="22"/>
        </w:rPr>
      </w:pPr>
      <w:r w:rsidRPr="006D1917">
        <w:rPr>
          <w:rFonts w:ascii="Garamond" w:hAnsi="Garamond"/>
          <w:b/>
          <w:bCs/>
          <w:sz w:val="22"/>
          <w:szCs w:val="22"/>
        </w:rPr>
        <w:lastRenderedPageBreak/>
        <w:t xml:space="preserve">Dynamic Factor Analysis </w:t>
      </w:r>
    </w:p>
    <w:p w14:paraId="49200021" w14:textId="77777777" w:rsidR="00D75D9A" w:rsidRPr="00E7441D" w:rsidRDefault="007942D8"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b/>
      </w:r>
      <w:r w:rsidR="00B84613" w:rsidRPr="00E7441D">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series as linear combinations of a smaller set of latent trends, capturing underlying structure in the data while accounting for observation error. </w:t>
      </w:r>
      <w:r w:rsidR="00D75D9A" w:rsidRPr="00D75D9A">
        <w:rPr>
          <w:rFonts w:ascii="Garamond" w:eastAsia="Times New Roman" w:hAnsi="Garamond" w:cs="Times New Roman"/>
          <w:kern w:val="0"/>
          <w:sz w:val="22"/>
          <w:szCs w:val="22"/>
          <w14:ligatures w14:val="none"/>
        </w:rPr>
        <w:t>The model consists of two main equations</w:t>
      </w:r>
      <w:r w:rsidR="00D75D9A" w:rsidRPr="00E7441D">
        <w:rPr>
          <w:rFonts w:ascii="Garamond" w:eastAsia="Times New Roman" w:hAnsi="Garamond" w:cs="Times New Roman"/>
          <w:kern w:val="0"/>
          <w:sz w:val="22"/>
          <w:szCs w:val="22"/>
          <w14:ligatures w14:val="none"/>
        </w:rPr>
        <w:t xml:space="preserve">, an observation equation: </w:t>
      </w:r>
    </w:p>
    <w:p w14:paraId="1D9DA46F" w14:textId="2953D679" w:rsidR="00D75D9A" w:rsidRPr="00E7441D"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y</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=Z</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 xml:space="preserve">t </m:t>
              </m:r>
            </m:sub>
          </m:sSub>
          <m:r>
            <w:rPr>
              <w:rFonts w:ascii="Cambria Math" w:eastAsia="Times New Roman" w:hAnsi="Cambria Math" w:cs="Times New Roman"/>
              <w:kern w:val="0"/>
              <w:sz w:val="22"/>
              <w:szCs w:val="22"/>
              <w14:ligatures w14:val="none"/>
            </w:rPr>
            <m:t>+d+</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v</m:t>
              </m:r>
            </m:e>
            <m:sub>
              <m:r>
                <w:rPr>
                  <w:rFonts w:ascii="Cambria Math" w:eastAsia="Times New Roman" w:hAnsi="Cambria Math" w:cs="Times New Roman"/>
                  <w:kern w:val="0"/>
                  <w:sz w:val="22"/>
                  <w:szCs w:val="22"/>
                  <w14:ligatures w14:val="none"/>
                </w:rPr>
                <m:t>t</m:t>
              </m:r>
            </m:sub>
          </m:sSub>
        </m:oMath>
      </m:oMathPara>
    </w:p>
    <w:p w14:paraId="72E7AB3A" w14:textId="6BFD0915" w:rsidR="00E7441D" w:rsidRPr="00E7441D"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E7441D">
        <w:rPr>
          <w:rFonts w:ascii="Garamond" w:eastAsia="Times New Roman" w:hAnsi="Garamond" w:cs="Times New Roman"/>
          <w:kern w:val="0"/>
          <w:sz w:val="22"/>
          <w:szCs w:val="22"/>
          <w14:ligatures w14:val="none"/>
        </w:rPr>
        <w:t xml:space="preserve">And a state </w:t>
      </w:r>
      <w:proofErr w:type="gramStart"/>
      <w:r w:rsidRPr="00E7441D">
        <w:rPr>
          <w:rFonts w:ascii="Garamond" w:eastAsia="Times New Roman" w:hAnsi="Garamond" w:cs="Times New Roman"/>
          <w:kern w:val="0"/>
          <w:sz w:val="22"/>
          <w:szCs w:val="22"/>
          <w14:ligatures w14:val="none"/>
        </w:rPr>
        <w:t>equation;</w:t>
      </w:r>
      <w:proofErr w:type="gramEnd"/>
      <w:r w:rsidRPr="00E7441D">
        <w:rPr>
          <w:rFonts w:ascii="Garamond" w:eastAsia="Times New Roman" w:hAnsi="Garamond" w:cs="Times New Roman"/>
          <w:kern w:val="0"/>
          <w:sz w:val="22"/>
          <w:szCs w:val="22"/>
          <w14:ligatures w14:val="none"/>
        </w:rPr>
        <w:t xml:space="preserve"> </w:t>
      </w:r>
    </w:p>
    <w:p w14:paraId="4FC48806" w14:textId="61776DC7" w:rsidR="00E7441D" w:rsidRPr="00E7441D"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t-1</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w</m:t>
              </m:r>
            </m:e>
            <m:sub>
              <m:r>
                <w:rPr>
                  <w:rFonts w:ascii="Cambria Math" w:eastAsia="Times New Roman" w:hAnsi="Cambria Math" w:cs="Times New Roman"/>
                  <w:kern w:val="0"/>
                  <w:sz w:val="22"/>
                  <w:szCs w:val="22"/>
                  <w14:ligatures w14:val="none"/>
                </w:rPr>
                <m:t>t</m:t>
              </m:r>
            </m:sub>
          </m:sSub>
        </m:oMath>
      </m:oMathPara>
    </w:p>
    <w:p w14:paraId="0205919C" w14:textId="77777777" w:rsidR="00E7441D" w:rsidRPr="00E7441D" w:rsidRDefault="00E7441D" w:rsidP="00E7441D">
      <w:pPr>
        <w:pStyle w:val="whitespace-normal"/>
        <w:spacing w:line="480" w:lineRule="auto"/>
        <w:rPr>
          <w:rFonts w:ascii="Garamond" w:hAnsi="Garamond"/>
          <w:sz w:val="22"/>
          <w:szCs w:val="22"/>
        </w:rPr>
      </w:pPr>
      <w:r w:rsidRPr="00E7441D">
        <w:rPr>
          <w:rFonts w:ascii="Garamond" w:hAnsi="Garamond"/>
          <w:sz w:val="22"/>
          <w:szCs w:val="22"/>
        </w:rPr>
        <w:t xml:space="preserve">In the observation equation, </w:t>
      </w:r>
      <w:proofErr w:type="spellStart"/>
      <w:r w:rsidRPr="00E7441D">
        <w:rPr>
          <w:rStyle w:val="katex-mathml"/>
          <w:rFonts w:ascii="Garamond" w:eastAsiaTheme="majorEastAsia" w:hAnsi="Garamond"/>
          <w:sz w:val="22"/>
          <w:szCs w:val="22"/>
        </w:rPr>
        <w:t>yt</w:t>
      </w:r>
      <w:proofErr w:type="spellEnd"/>
      <w:r w:rsidRPr="00E7441D">
        <w:rPr>
          <w:rStyle w:val="katex-mathml"/>
          <w:rFonts w:ascii="Garamond" w:eastAsiaTheme="majorEastAsia" w:hAnsi="Garamond"/>
          <w:sz w:val="22"/>
          <w:szCs w:val="22"/>
        </w:rPr>
        <w:t>\</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{y}_t </w:t>
      </w:r>
      <w:proofErr w:type="spellStart"/>
      <w:r w:rsidRPr="00E7441D">
        <w:rPr>
          <w:rStyle w:val="mord"/>
          <w:rFonts w:ascii="Garamond" w:eastAsiaTheme="majorEastAsia" w:hAnsi="Garamond"/>
          <w:sz w:val="22"/>
          <w:szCs w:val="22"/>
        </w:rPr>
        <w:t>yt</w:t>
      </w:r>
      <w:proofErr w:type="spellEnd"/>
      <w:r w:rsidRPr="00E7441D">
        <w:rPr>
          <w:rStyle w:val="vlist-s"/>
          <w:sz w:val="22"/>
          <w:szCs w:val="22"/>
        </w:rPr>
        <w:t>​</w:t>
      </w:r>
      <w:r w:rsidRPr="00E7441D">
        <w:rPr>
          <w:rFonts w:ascii="Garamond" w:hAnsi="Garamond"/>
          <w:sz w:val="22"/>
          <w:szCs w:val="22"/>
        </w:rPr>
        <w:t xml:space="preserve"> represents the vector of observed proportional contributions at time </w:t>
      </w:r>
      <w:proofErr w:type="spellStart"/>
      <w:r w:rsidRPr="00E7441D">
        <w:rPr>
          <w:rStyle w:val="katex-mathml"/>
          <w:rFonts w:ascii="Garamond" w:eastAsiaTheme="majorEastAsia" w:hAnsi="Garamond"/>
          <w:sz w:val="22"/>
          <w:szCs w:val="22"/>
        </w:rPr>
        <w:t>tt</w:t>
      </w:r>
      <w:proofErr w:type="spellEnd"/>
      <w:r w:rsidRPr="00E7441D">
        <w:rPr>
          <w:rStyle w:val="katex-mathml"/>
          <w:rFonts w:ascii="Garamond" w:eastAsiaTheme="majorEastAsia" w:hAnsi="Garamond"/>
          <w:sz w:val="22"/>
          <w:szCs w:val="22"/>
        </w:rPr>
        <w:t xml:space="preserve"> </w:t>
      </w:r>
      <w:r w:rsidRPr="00E7441D">
        <w:rPr>
          <w:rStyle w:val="mord"/>
          <w:rFonts w:ascii="Garamond" w:eastAsiaTheme="majorEastAsia" w:hAnsi="Garamond"/>
          <w:sz w:val="22"/>
          <w:szCs w:val="22"/>
        </w:rPr>
        <w:t>t</w:t>
      </w:r>
      <w:r w:rsidRPr="00E7441D">
        <w:rPr>
          <w:rFonts w:ascii="Garamond" w:hAnsi="Garamond"/>
          <w:sz w:val="22"/>
          <w:szCs w:val="22"/>
        </w:rPr>
        <w:t xml:space="preserve">, while </w:t>
      </w:r>
      <w:proofErr w:type="spellStart"/>
      <w:r w:rsidRPr="00E7441D">
        <w:rPr>
          <w:rStyle w:val="katex-mathml"/>
          <w:rFonts w:ascii="Garamond" w:eastAsiaTheme="majorEastAsia" w:hAnsi="Garamond"/>
          <w:sz w:val="22"/>
          <w:szCs w:val="22"/>
        </w:rPr>
        <w:t>xt</w:t>
      </w:r>
      <w:proofErr w:type="spellEnd"/>
      <w:r w:rsidRPr="00E7441D">
        <w:rPr>
          <w:rStyle w:val="katex-mathml"/>
          <w:rFonts w:ascii="Garamond" w:eastAsiaTheme="majorEastAsia" w:hAnsi="Garamond"/>
          <w:sz w:val="22"/>
          <w:szCs w:val="22"/>
        </w:rPr>
        <w:t>\</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{x}_t </w:t>
      </w:r>
      <w:proofErr w:type="spellStart"/>
      <w:r w:rsidRPr="00E7441D">
        <w:rPr>
          <w:rStyle w:val="mord"/>
          <w:rFonts w:ascii="Garamond" w:eastAsiaTheme="majorEastAsia" w:hAnsi="Garamond"/>
          <w:sz w:val="22"/>
          <w:szCs w:val="22"/>
        </w:rPr>
        <w:t>xt</w:t>
      </w:r>
      <w:proofErr w:type="spellEnd"/>
      <w:r w:rsidRPr="00E7441D">
        <w:rPr>
          <w:rStyle w:val="vlist-s"/>
          <w:sz w:val="22"/>
          <w:szCs w:val="22"/>
        </w:rPr>
        <w:t>​</w:t>
      </w:r>
      <w:r w:rsidRPr="00E7441D">
        <w:rPr>
          <w:rFonts w:ascii="Garamond" w:hAnsi="Garamond"/>
          <w:sz w:val="22"/>
          <w:szCs w:val="22"/>
        </w:rPr>
        <w:t xml:space="preserve"> contains the </w:t>
      </w:r>
      <w:r w:rsidRPr="00E7441D">
        <w:rPr>
          <w:rStyle w:val="katex-mathml"/>
          <w:rFonts w:ascii="Garamond" w:eastAsiaTheme="majorEastAsia" w:hAnsi="Garamond"/>
          <w:sz w:val="22"/>
          <w:szCs w:val="22"/>
        </w:rPr>
        <w:t xml:space="preserve">mm </w:t>
      </w:r>
      <w:r w:rsidRPr="00E7441D">
        <w:rPr>
          <w:rStyle w:val="mord"/>
          <w:rFonts w:ascii="Garamond" w:eastAsiaTheme="majorEastAsia" w:hAnsi="Garamond"/>
          <w:sz w:val="22"/>
          <w:szCs w:val="22"/>
        </w:rPr>
        <w:t>m</w:t>
      </w:r>
      <w:r w:rsidRPr="00E7441D">
        <w:rPr>
          <w:rFonts w:ascii="Garamond" w:hAnsi="Garamond"/>
          <w:sz w:val="22"/>
          <w:szCs w:val="22"/>
        </w:rPr>
        <w:t xml:space="preserve"> latent trends that drive the observed patterns. The loading matrix </w:t>
      </w:r>
      <w:r w:rsidRPr="00E7441D">
        <w:rPr>
          <w:rStyle w:val="katex-mathml"/>
          <w:rFonts w:ascii="Garamond" w:eastAsiaTheme="majorEastAsia" w:hAnsi="Garamond"/>
          <w:sz w:val="22"/>
          <w:szCs w:val="22"/>
        </w:rPr>
        <w:t>Z\</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{Z} </w:t>
      </w:r>
      <w:r w:rsidRPr="00E7441D">
        <w:rPr>
          <w:rStyle w:val="mord"/>
          <w:rFonts w:ascii="Garamond" w:eastAsiaTheme="majorEastAsia" w:hAnsi="Garamond"/>
          <w:sz w:val="22"/>
          <w:szCs w:val="22"/>
        </w:rPr>
        <w:t>Z</w:t>
      </w:r>
      <w:r w:rsidRPr="00E7441D">
        <w:rPr>
          <w:rFonts w:ascii="Garamond" w:hAnsi="Garamond"/>
          <w:sz w:val="22"/>
          <w:szCs w:val="22"/>
        </w:rPr>
        <w:t xml:space="preserve"> quantifies how strongly each observed time series responds to each underlying trend, with larger absolute values indicating stronger associations. The intercept term </w:t>
      </w:r>
      <w:r w:rsidRPr="00E7441D">
        <w:rPr>
          <w:rStyle w:val="katex-mathml"/>
          <w:rFonts w:ascii="Garamond" w:eastAsiaTheme="majorEastAsia" w:hAnsi="Garamond"/>
          <w:sz w:val="22"/>
          <w:szCs w:val="22"/>
        </w:rPr>
        <w:t>d\</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{d} </w:t>
      </w:r>
      <w:r w:rsidRPr="00E7441D">
        <w:rPr>
          <w:rStyle w:val="mord"/>
          <w:rFonts w:ascii="Garamond" w:eastAsiaTheme="majorEastAsia" w:hAnsi="Garamond"/>
          <w:sz w:val="22"/>
          <w:szCs w:val="22"/>
        </w:rPr>
        <w:t>d</w:t>
      </w:r>
      <w:r w:rsidRPr="00E7441D">
        <w:rPr>
          <w:rFonts w:ascii="Garamond" w:hAnsi="Garamond"/>
          <w:sz w:val="22"/>
          <w:szCs w:val="22"/>
        </w:rPr>
        <w:t xml:space="preserve"> captures the mean level of each series, and </w:t>
      </w:r>
      <w:proofErr w:type="spellStart"/>
      <w:r w:rsidRPr="00E7441D">
        <w:rPr>
          <w:rStyle w:val="katex-mathml"/>
          <w:rFonts w:ascii="Garamond" w:eastAsiaTheme="majorEastAsia" w:hAnsi="Garamond"/>
          <w:sz w:val="22"/>
          <w:szCs w:val="22"/>
        </w:rPr>
        <w:t>vt</w:t>
      </w:r>
      <w:r w:rsidRPr="00E7441D">
        <w:rPr>
          <w:rStyle w:val="katex-mathml"/>
          <w:rFonts w:ascii="Cambria Math" w:eastAsiaTheme="majorEastAsia" w:hAnsi="Cambria Math" w:cs="Cambria Math"/>
          <w:sz w:val="22"/>
          <w:szCs w:val="22"/>
        </w:rPr>
        <w:t>∼</w:t>
      </w:r>
      <w:r w:rsidRPr="00E7441D">
        <w:rPr>
          <w:rStyle w:val="katex-mathml"/>
          <w:rFonts w:ascii="Garamond" w:eastAsiaTheme="majorEastAsia" w:hAnsi="Garamond"/>
          <w:sz w:val="22"/>
          <w:szCs w:val="22"/>
        </w:rPr>
        <w:t>N</w:t>
      </w:r>
      <w:proofErr w:type="spellEnd"/>
      <w:r w:rsidRPr="00E7441D">
        <w:rPr>
          <w:rStyle w:val="katex-mathml"/>
          <w:rFonts w:ascii="Garamond" w:eastAsiaTheme="majorEastAsia" w:hAnsi="Garamond"/>
          <w:sz w:val="22"/>
          <w:szCs w:val="22"/>
        </w:rPr>
        <w:t>(</w:t>
      </w:r>
      <w:proofErr w:type="gramStart"/>
      <w:r w:rsidRPr="00E7441D">
        <w:rPr>
          <w:rStyle w:val="katex-mathml"/>
          <w:rFonts w:ascii="Garamond" w:eastAsiaTheme="majorEastAsia" w:hAnsi="Garamond"/>
          <w:sz w:val="22"/>
          <w:szCs w:val="22"/>
        </w:rPr>
        <w:t>0,R</w:t>
      </w:r>
      <w:proofErr w:type="gramEnd"/>
      <w:r w:rsidRPr="00E7441D">
        <w:rPr>
          <w:rStyle w:val="katex-mathml"/>
          <w:rFonts w:ascii="Garamond" w:eastAsiaTheme="majorEastAsia" w:hAnsi="Garamond"/>
          <w:sz w:val="22"/>
          <w:szCs w:val="22"/>
        </w:rPr>
        <w:t>)\</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{v}_t \sim \</w:t>
      </w:r>
      <w:proofErr w:type="spellStart"/>
      <w:r w:rsidRPr="00E7441D">
        <w:rPr>
          <w:rStyle w:val="katex-mathml"/>
          <w:rFonts w:ascii="Garamond" w:eastAsiaTheme="majorEastAsia" w:hAnsi="Garamond"/>
          <w:sz w:val="22"/>
          <w:szCs w:val="22"/>
        </w:rPr>
        <w:t>mathcal</w:t>
      </w:r>
      <w:proofErr w:type="spellEnd"/>
      <w:r w:rsidRPr="00E7441D">
        <w:rPr>
          <w:rStyle w:val="katex-mathml"/>
          <w:rFonts w:ascii="Garamond" w:eastAsiaTheme="majorEastAsia" w:hAnsi="Garamond"/>
          <w:sz w:val="22"/>
          <w:szCs w:val="22"/>
        </w:rPr>
        <w:t>{N</w:t>
      </w:r>
      <w:proofErr w:type="gramStart"/>
      <w:r w:rsidRPr="00E7441D">
        <w:rPr>
          <w:rStyle w:val="katex-mathml"/>
          <w:rFonts w:ascii="Garamond" w:eastAsiaTheme="majorEastAsia" w:hAnsi="Garamond"/>
          <w:sz w:val="22"/>
          <w:szCs w:val="22"/>
        </w:rPr>
        <w:t>}(</w:t>
      </w:r>
      <w:proofErr w:type="gramEnd"/>
      <w:r w:rsidRPr="00E7441D">
        <w:rPr>
          <w:rStyle w:val="katex-mathml"/>
          <w:rFonts w:ascii="Garamond" w:eastAsiaTheme="majorEastAsia" w:hAnsi="Garamond"/>
          <w:sz w:val="22"/>
          <w:szCs w:val="22"/>
        </w:rPr>
        <w:t>0, \</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{R}) </w:t>
      </w:r>
      <w:proofErr w:type="spellStart"/>
      <w:r w:rsidRPr="00E7441D">
        <w:rPr>
          <w:rStyle w:val="mord"/>
          <w:rFonts w:ascii="Garamond" w:eastAsiaTheme="majorEastAsia" w:hAnsi="Garamond"/>
          <w:sz w:val="22"/>
          <w:szCs w:val="22"/>
        </w:rPr>
        <w:t>vt</w:t>
      </w:r>
      <w:proofErr w:type="spellEnd"/>
      <w:r w:rsidRPr="00E7441D">
        <w:rPr>
          <w:rStyle w:val="vlist-s"/>
          <w:sz w:val="22"/>
          <w:szCs w:val="22"/>
        </w:rPr>
        <w:t>​</w:t>
      </w:r>
      <w:r w:rsidRPr="00E7441D">
        <w:rPr>
          <w:rStyle w:val="mrel"/>
          <w:rFonts w:ascii="Cambria Math" w:hAnsi="Cambria Math" w:cs="Cambria Math"/>
          <w:sz w:val="22"/>
          <w:szCs w:val="22"/>
        </w:rPr>
        <w:t>∼</w:t>
      </w:r>
      <w:r w:rsidRPr="00E7441D">
        <w:rPr>
          <w:rStyle w:val="mord"/>
          <w:rFonts w:ascii="Garamond" w:eastAsiaTheme="majorEastAsia" w:hAnsi="Garamond"/>
          <w:sz w:val="22"/>
          <w:szCs w:val="22"/>
        </w:rPr>
        <w:t>N</w:t>
      </w:r>
      <w:r w:rsidRPr="00E7441D">
        <w:rPr>
          <w:rStyle w:val="mopen"/>
          <w:rFonts w:ascii="Garamond" w:hAnsi="Garamond"/>
          <w:sz w:val="22"/>
          <w:szCs w:val="22"/>
        </w:rPr>
        <w:t>(</w:t>
      </w:r>
      <w:proofErr w:type="gramStart"/>
      <w:r w:rsidRPr="00E7441D">
        <w:rPr>
          <w:rStyle w:val="mord"/>
          <w:rFonts w:ascii="Garamond" w:eastAsiaTheme="majorEastAsia" w:hAnsi="Garamond"/>
          <w:sz w:val="22"/>
          <w:szCs w:val="22"/>
        </w:rPr>
        <w:t>0</w:t>
      </w:r>
      <w:r w:rsidRPr="00E7441D">
        <w:rPr>
          <w:rStyle w:val="mpunct"/>
          <w:rFonts w:ascii="Garamond" w:hAnsi="Garamond"/>
          <w:sz w:val="22"/>
          <w:szCs w:val="22"/>
        </w:rPr>
        <w:t>,</w:t>
      </w:r>
      <w:r w:rsidRPr="00E7441D">
        <w:rPr>
          <w:rStyle w:val="mord"/>
          <w:rFonts w:ascii="Garamond" w:eastAsiaTheme="majorEastAsia" w:hAnsi="Garamond"/>
          <w:sz w:val="22"/>
          <w:szCs w:val="22"/>
        </w:rPr>
        <w:t>R</w:t>
      </w:r>
      <w:proofErr w:type="gramEnd"/>
      <w:r w:rsidRPr="00E7441D">
        <w:rPr>
          <w:rStyle w:val="mclose"/>
          <w:rFonts w:ascii="Garamond" w:hAnsi="Garamond"/>
          <w:sz w:val="22"/>
          <w:szCs w:val="22"/>
        </w:rPr>
        <w:t>)</w:t>
      </w:r>
      <w:r w:rsidRPr="00E7441D">
        <w:rPr>
          <w:rFonts w:ascii="Garamond" w:hAnsi="Garamond"/>
          <w:sz w:val="22"/>
          <w:szCs w:val="22"/>
        </w:rPr>
        <w:t xml:space="preserve"> represents observation error with covariance matrix </w:t>
      </w:r>
      <w:r w:rsidRPr="00E7441D">
        <w:rPr>
          <w:rStyle w:val="katex-mathml"/>
          <w:rFonts w:ascii="Garamond" w:eastAsiaTheme="majorEastAsia" w:hAnsi="Garamond"/>
          <w:sz w:val="22"/>
          <w:szCs w:val="22"/>
        </w:rPr>
        <w:t>R\</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{R} </w:t>
      </w:r>
      <w:r w:rsidRPr="00E7441D">
        <w:rPr>
          <w:rStyle w:val="mord"/>
          <w:rFonts w:ascii="Garamond" w:eastAsiaTheme="majorEastAsia" w:hAnsi="Garamond"/>
          <w:sz w:val="22"/>
          <w:szCs w:val="22"/>
        </w:rPr>
        <w:t>R</w:t>
      </w:r>
      <w:r w:rsidRPr="00E7441D">
        <w:rPr>
          <w:rFonts w:ascii="Garamond" w:hAnsi="Garamond"/>
          <w:sz w:val="22"/>
          <w:szCs w:val="22"/>
        </w:rPr>
        <w:t xml:space="preserve">. </w:t>
      </w:r>
    </w:p>
    <w:p w14:paraId="30E72AB0" w14:textId="269F1042" w:rsidR="00B84613" w:rsidRDefault="00E7441D" w:rsidP="00E7441D">
      <w:pPr>
        <w:pStyle w:val="whitespace-normal"/>
        <w:spacing w:line="480" w:lineRule="auto"/>
        <w:rPr>
          <w:rFonts w:ascii="Garamond" w:hAnsi="Garamond"/>
          <w:sz w:val="22"/>
          <w:szCs w:val="22"/>
        </w:rPr>
      </w:pPr>
      <w:r w:rsidRPr="00E7441D">
        <w:rPr>
          <w:rFonts w:ascii="Garamond" w:hAnsi="Garamond"/>
          <w:sz w:val="22"/>
          <w:szCs w:val="22"/>
        </w:rPr>
        <w:t xml:space="preserve">The state equation describes the evolution of the latent trends as random walks, where each trend at time </w:t>
      </w:r>
      <w:proofErr w:type="spellStart"/>
      <w:r w:rsidRPr="00E7441D">
        <w:rPr>
          <w:rStyle w:val="katex-mathml"/>
          <w:rFonts w:ascii="Garamond" w:eastAsiaTheme="majorEastAsia" w:hAnsi="Garamond"/>
          <w:sz w:val="22"/>
          <w:szCs w:val="22"/>
        </w:rPr>
        <w:t>tt</w:t>
      </w:r>
      <w:proofErr w:type="spellEnd"/>
      <w:r w:rsidRPr="00E7441D">
        <w:rPr>
          <w:rStyle w:val="katex-mathml"/>
          <w:rFonts w:ascii="Garamond" w:eastAsiaTheme="majorEastAsia" w:hAnsi="Garamond"/>
          <w:sz w:val="22"/>
          <w:szCs w:val="22"/>
        </w:rPr>
        <w:t xml:space="preserve"> </w:t>
      </w:r>
      <w:r w:rsidRPr="00E7441D">
        <w:rPr>
          <w:rStyle w:val="mord"/>
          <w:rFonts w:ascii="Garamond" w:eastAsiaTheme="majorEastAsia" w:hAnsi="Garamond"/>
          <w:sz w:val="22"/>
          <w:szCs w:val="22"/>
        </w:rPr>
        <w:t>t</w:t>
      </w:r>
      <w:r w:rsidRPr="00E7441D">
        <w:rPr>
          <w:rFonts w:ascii="Garamond" w:hAnsi="Garamond"/>
          <w:sz w:val="22"/>
          <w:szCs w:val="22"/>
        </w:rPr>
        <w:t xml:space="preserve"> equals its previous value plus a random innovation </w:t>
      </w:r>
      <w:proofErr w:type="spellStart"/>
      <w:r w:rsidRPr="00E7441D">
        <w:rPr>
          <w:rStyle w:val="katex-mathml"/>
          <w:rFonts w:ascii="Garamond" w:eastAsiaTheme="majorEastAsia" w:hAnsi="Garamond"/>
          <w:sz w:val="22"/>
          <w:szCs w:val="22"/>
        </w:rPr>
        <w:t>wt</w:t>
      </w:r>
      <w:r w:rsidRPr="00E7441D">
        <w:rPr>
          <w:rStyle w:val="katex-mathml"/>
          <w:rFonts w:ascii="Cambria Math" w:eastAsiaTheme="majorEastAsia" w:hAnsi="Cambria Math" w:cs="Cambria Math"/>
          <w:sz w:val="22"/>
          <w:szCs w:val="22"/>
        </w:rPr>
        <w:t>∼</w:t>
      </w:r>
      <w:r w:rsidRPr="00E7441D">
        <w:rPr>
          <w:rStyle w:val="katex-mathml"/>
          <w:rFonts w:ascii="Garamond" w:eastAsiaTheme="majorEastAsia" w:hAnsi="Garamond"/>
          <w:sz w:val="22"/>
          <w:szCs w:val="22"/>
        </w:rPr>
        <w:t>N</w:t>
      </w:r>
      <w:proofErr w:type="spellEnd"/>
      <w:r w:rsidRPr="00E7441D">
        <w:rPr>
          <w:rStyle w:val="katex-mathml"/>
          <w:rFonts w:ascii="Garamond" w:eastAsiaTheme="majorEastAsia" w:hAnsi="Garamond"/>
          <w:sz w:val="22"/>
          <w:szCs w:val="22"/>
        </w:rPr>
        <w:t>(</w:t>
      </w:r>
      <w:proofErr w:type="gramStart"/>
      <w:r w:rsidRPr="00E7441D">
        <w:rPr>
          <w:rStyle w:val="katex-mathml"/>
          <w:rFonts w:ascii="Garamond" w:eastAsiaTheme="majorEastAsia" w:hAnsi="Garamond"/>
          <w:sz w:val="22"/>
          <w:szCs w:val="22"/>
        </w:rPr>
        <w:t>0,Q</w:t>
      </w:r>
      <w:proofErr w:type="gramEnd"/>
      <w:r w:rsidRPr="00E7441D">
        <w:rPr>
          <w:rStyle w:val="katex-mathml"/>
          <w:rFonts w:ascii="Garamond" w:eastAsiaTheme="majorEastAsia" w:hAnsi="Garamond"/>
          <w:sz w:val="22"/>
          <w:szCs w:val="22"/>
        </w:rPr>
        <w:t>)\</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{w}_t \sim \</w:t>
      </w:r>
      <w:proofErr w:type="spellStart"/>
      <w:r w:rsidRPr="00E7441D">
        <w:rPr>
          <w:rStyle w:val="katex-mathml"/>
          <w:rFonts w:ascii="Garamond" w:eastAsiaTheme="majorEastAsia" w:hAnsi="Garamond"/>
          <w:sz w:val="22"/>
          <w:szCs w:val="22"/>
        </w:rPr>
        <w:t>mathcal</w:t>
      </w:r>
      <w:proofErr w:type="spellEnd"/>
      <w:r w:rsidRPr="00E7441D">
        <w:rPr>
          <w:rStyle w:val="katex-mathml"/>
          <w:rFonts w:ascii="Garamond" w:eastAsiaTheme="majorEastAsia" w:hAnsi="Garamond"/>
          <w:sz w:val="22"/>
          <w:szCs w:val="22"/>
        </w:rPr>
        <w:t>{N</w:t>
      </w:r>
      <w:proofErr w:type="gramStart"/>
      <w:r w:rsidRPr="00E7441D">
        <w:rPr>
          <w:rStyle w:val="katex-mathml"/>
          <w:rFonts w:ascii="Garamond" w:eastAsiaTheme="majorEastAsia" w:hAnsi="Garamond"/>
          <w:sz w:val="22"/>
          <w:szCs w:val="22"/>
        </w:rPr>
        <w:t>}(</w:t>
      </w:r>
      <w:proofErr w:type="gramEnd"/>
      <w:r w:rsidRPr="00E7441D">
        <w:rPr>
          <w:rStyle w:val="katex-mathml"/>
          <w:rFonts w:ascii="Garamond" w:eastAsiaTheme="majorEastAsia" w:hAnsi="Garamond"/>
          <w:sz w:val="22"/>
          <w:szCs w:val="22"/>
        </w:rPr>
        <w:t>0, \</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{Q}) </w:t>
      </w:r>
      <w:proofErr w:type="spellStart"/>
      <w:r w:rsidRPr="00E7441D">
        <w:rPr>
          <w:rStyle w:val="mord"/>
          <w:rFonts w:ascii="Garamond" w:eastAsiaTheme="majorEastAsia" w:hAnsi="Garamond"/>
          <w:sz w:val="22"/>
          <w:szCs w:val="22"/>
        </w:rPr>
        <w:t>wt</w:t>
      </w:r>
      <w:proofErr w:type="spellEnd"/>
      <w:r w:rsidRPr="00E7441D">
        <w:rPr>
          <w:rStyle w:val="vlist-s"/>
          <w:sz w:val="22"/>
          <w:szCs w:val="22"/>
        </w:rPr>
        <w:t>​</w:t>
      </w:r>
      <w:r w:rsidRPr="00E7441D">
        <w:rPr>
          <w:rStyle w:val="mrel"/>
          <w:rFonts w:ascii="Cambria Math" w:hAnsi="Cambria Math" w:cs="Cambria Math"/>
          <w:sz w:val="22"/>
          <w:szCs w:val="22"/>
        </w:rPr>
        <w:t>∼</w:t>
      </w:r>
      <w:r w:rsidRPr="00E7441D">
        <w:rPr>
          <w:rStyle w:val="mord"/>
          <w:rFonts w:ascii="Garamond" w:eastAsiaTheme="majorEastAsia" w:hAnsi="Garamond"/>
          <w:sz w:val="22"/>
          <w:szCs w:val="22"/>
        </w:rPr>
        <w:t>N</w:t>
      </w:r>
      <w:r w:rsidRPr="00E7441D">
        <w:rPr>
          <w:rStyle w:val="mopen"/>
          <w:rFonts w:ascii="Garamond" w:hAnsi="Garamond"/>
          <w:sz w:val="22"/>
          <w:szCs w:val="22"/>
        </w:rPr>
        <w:t>(</w:t>
      </w:r>
      <w:proofErr w:type="gramStart"/>
      <w:r w:rsidRPr="00E7441D">
        <w:rPr>
          <w:rStyle w:val="mord"/>
          <w:rFonts w:ascii="Garamond" w:eastAsiaTheme="majorEastAsia" w:hAnsi="Garamond"/>
          <w:sz w:val="22"/>
          <w:szCs w:val="22"/>
        </w:rPr>
        <w:t>0</w:t>
      </w:r>
      <w:r w:rsidRPr="00E7441D">
        <w:rPr>
          <w:rStyle w:val="mpunct"/>
          <w:rFonts w:ascii="Garamond" w:hAnsi="Garamond"/>
          <w:sz w:val="22"/>
          <w:szCs w:val="22"/>
        </w:rPr>
        <w:t>,</w:t>
      </w:r>
      <w:r w:rsidRPr="00E7441D">
        <w:rPr>
          <w:rStyle w:val="mord"/>
          <w:rFonts w:ascii="Garamond" w:eastAsiaTheme="majorEastAsia" w:hAnsi="Garamond"/>
          <w:sz w:val="22"/>
          <w:szCs w:val="22"/>
        </w:rPr>
        <w:t>Q</w:t>
      </w:r>
      <w:proofErr w:type="gramEnd"/>
      <w:r w:rsidRPr="00E7441D">
        <w:rPr>
          <w:rStyle w:val="mclose"/>
          <w:rFonts w:ascii="Garamond" w:hAnsi="Garamond"/>
          <w:sz w:val="22"/>
          <w:szCs w:val="22"/>
        </w:rPr>
        <w:t>)</w:t>
      </w:r>
      <w:r w:rsidRPr="00E7441D">
        <w:rPr>
          <w:rFonts w:ascii="Garamond" w:hAnsi="Garamond"/>
          <w:sz w:val="22"/>
          <w:szCs w:val="22"/>
        </w:rPr>
        <w:t xml:space="preserve">. This formulation allows trends to change smoothly over time while capturing the stochastic nature of ecological processes. The process error covariance matrix </w:t>
      </w:r>
      <w:r w:rsidRPr="00E7441D">
        <w:rPr>
          <w:rStyle w:val="katex-mathml"/>
          <w:rFonts w:ascii="Garamond" w:eastAsiaTheme="majorEastAsia" w:hAnsi="Garamond"/>
          <w:sz w:val="22"/>
          <w:szCs w:val="22"/>
        </w:rPr>
        <w:t>Q\</w:t>
      </w:r>
      <w:proofErr w:type="spellStart"/>
      <w:r w:rsidRPr="00E7441D">
        <w:rPr>
          <w:rStyle w:val="katex-mathml"/>
          <w:rFonts w:ascii="Garamond" w:eastAsiaTheme="majorEastAsia" w:hAnsi="Garamond"/>
          <w:sz w:val="22"/>
          <w:szCs w:val="22"/>
        </w:rPr>
        <w:t>mathbf</w:t>
      </w:r>
      <w:proofErr w:type="spellEnd"/>
      <w:r w:rsidRPr="00E7441D">
        <w:rPr>
          <w:rStyle w:val="katex-mathml"/>
          <w:rFonts w:ascii="Garamond" w:eastAsiaTheme="majorEastAsia" w:hAnsi="Garamond"/>
          <w:sz w:val="22"/>
          <w:szCs w:val="22"/>
        </w:rPr>
        <w:t xml:space="preserve">{Q} </w:t>
      </w:r>
      <w:r w:rsidRPr="00E7441D">
        <w:rPr>
          <w:rStyle w:val="mord"/>
          <w:rFonts w:ascii="Garamond" w:eastAsiaTheme="majorEastAsia" w:hAnsi="Garamond"/>
          <w:sz w:val="22"/>
          <w:szCs w:val="22"/>
        </w:rPr>
        <w:t>Q</w:t>
      </w:r>
      <w:r w:rsidRPr="00E7441D">
        <w:rPr>
          <w:rFonts w:ascii="Garamond" w:hAnsi="Garamond"/>
          <w:sz w:val="22"/>
          <w:szCs w:val="22"/>
        </w:rPr>
        <w:t xml:space="preserve"> determines how much variability is allowed in the trend evolution, with larger values permitting more dramatic changes between time steps.</w:t>
      </w:r>
      <w:r w:rsidRPr="00E7441D">
        <w:rPr>
          <w:rFonts w:ascii="Garamond" w:hAnsi="Garamond"/>
          <w:sz w:val="22"/>
          <w:szCs w:val="22"/>
        </w:rPr>
        <w:t xml:space="preserve"> </w:t>
      </w:r>
      <w:r w:rsidR="00B84613" w:rsidRPr="00E7441D">
        <w:rPr>
          <w:rFonts w:ascii="Garamond" w:hAnsi="Garamond"/>
          <w:sz w:val="22"/>
          <w:szCs w:val="22"/>
        </w:rPr>
        <w:t>This approach is particularly well suited for dimensionality reduction across multiple correlated time series</w:t>
      </w:r>
      <w:r w:rsidR="00D75D9A" w:rsidRPr="00E7441D">
        <w:rPr>
          <w:rFonts w:ascii="Garamond" w:hAnsi="Garamond"/>
          <w:sz w:val="22"/>
          <w:szCs w:val="22"/>
        </w:rPr>
        <w:t xml:space="preserve"> and </w:t>
      </w:r>
      <w:r w:rsidR="00B84613" w:rsidRPr="00E7441D">
        <w:rPr>
          <w:rFonts w:ascii="Garamond" w:hAnsi="Garamond"/>
          <w:sz w:val="22"/>
          <w:szCs w:val="22"/>
        </w:rPr>
        <w:t xml:space="preserve">provides a systematic framework for identifying the number and shape of </w:t>
      </w:r>
      <w:r w:rsidR="00B84613" w:rsidRPr="00E7441D">
        <w:rPr>
          <w:rFonts w:ascii="Garamond" w:hAnsi="Garamond"/>
          <w:sz w:val="22"/>
          <w:szCs w:val="22"/>
        </w:rPr>
        <w:lastRenderedPageBreak/>
        <w:t>underlying trends, estimating their influence (loadings) on each time series, and exploring the effects of potential covariates.</w:t>
      </w:r>
      <w:r w:rsidR="00D75D9A" w:rsidRPr="00E7441D">
        <w:rPr>
          <w:rFonts w:ascii="Garamond" w:hAnsi="Garamond"/>
          <w:sz w:val="22"/>
          <w:szCs w:val="22"/>
        </w:rPr>
        <w:t xml:space="preserve"> </w:t>
      </w:r>
    </w:p>
    <w:p w14:paraId="69B805CD" w14:textId="77777777"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t xml:space="preserve">Model Selection </w:t>
      </w:r>
    </w:p>
    <w:p w14:paraId="41A5DFB6"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 xml:space="preserve">We used a three-stage model selection approach. First, we compared models with one to four latent trends by calculating </w:t>
      </w:r>
      <w:r w:rsidRPr="00B84613">
        <w:rPr>
          <w:rFonts w:ascii="Garamond" w:eastAsia="Times New Roman" w:hAnsi="Garamond" w:cs="Times New Roman"/>
          <w:b/>
          <w:bCs/>
          <w:kern w:val="0"/>
          <w:sz w:val="22"/>
          <w:szCs w:val="22"/>
          <w14:ligatures w14:val="none"/>
        </w:rPr>
        <w:t>partial R²</w:t>
      </w:r>
      <w:r w:rsidRPr="00B84613">
        <w:rPr>
          <w:rFonts w:ascii="Garamond" w:eastAsia="Times New Roman" w:hAnsi="Garamond" w:cs="Times New Roman"/>
          <w:kern w:val="0"/>
          <w:sz w:val="22"/>
          <w:szCs w:val="22"/>
          <w14:ligatures w14:val="none"/>
        </w:rPr>
        <w:t>, defined as</w:t>
      </w:r>
      <w:r>
        <w:rPr>
          <w:rFonts w:ascii="Garamond" w:eastAsia="Times New Roman" w:hAnsi="Garamond" w:cs="Times New Roman"/>
          <w:kern w:val="0"/>
          <w:sz w:val="22"/>
          <w:szCs w:val="22"/>
          <w14:ligatures w14:val="none"/>
        </w:rPr>
        <w:t xml:space="preserve">: </w:t>
      </w:r>
    </w:p>
    <w:p w14:paraId="71A8A018"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noProof/>
          <w:kern w:val="0"/>
          <w:sz w:val="22"/>
          <w:szCs w:val="22"/>
          <w14:ligatures w14:val="none"/>
        </w:rPr>
        <w:drawing>
          <wp:inline distT="0" distB="0" distL="0" distR="0" wp14:anchorId="3FC17D82" wp14:editId="51F2AF05">
            <wp:extent cx="2322576" cy="710435"/>
            <wp:effectExtent l="0" t="0" r="1905" b="0"/>
            <wp:docPr id="5297434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3415" name="Picture 1" descr="A black background with white text&#10;&#10;AI-generated content may be incorrect."/>
                    <pic:cNvPicPr/>
                  </pic:nvPicPr>
                  <pic:blipFill>
                    <a:blip r:embed="rId5"/>
                    <a:stretch>
                      <a:fillRect/>
                    </a:stretch>
                  </pic:blipFill>
                  <pic:spPr>
                    <a:xfrm>
                      <a:off x="0" y="0"/>
                      <a:ext cx="2371090" cy="725275"/>
                    </a:xfrm>
                    <a:prstGeom prst="rect">
                      <a:avLst/>
                    </a:prstGeom>
                  </pic:spPr>
                </pic:pic>
              </a:graphicData>
            </a:graphic>
          </wp:inline>
        </w:drawing>
      </w:r>
    </w:p>
    <w:p w14:paraId="0DA330B1" w14:textId="21D14649"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where Rm2R^2_{m}Rm2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overall R2R^2R2 for the model with mmm trends and Rm−12R^2_{m-</w:t>
      </w:r>
      <w:proofErr w:type="gramStart"/>
      <w:r w:rsidRPr="00B84613">
        <w:rPr>
          <w:rFonts w:ascii="Garamond" w:eastAsia="Times New Roman" w:hAnsi="Garamond" w:cs="Times New Roman"/>
          <w:kern w:val="0"/>
          <w:sz w:val="22"/>
          <w:szCs w:val="22"/>
          <w14:ligatures w14:val="none"/>
        </w:rPr>
        <w:t>1}Rm</w:t>
      </w:r>
      <w:proofErr w:type="gramEnd"/>
      <w:r w:rsidRPr="00B84613">
        <w:rPr>
          <w:rFonts w:ascii="Garamond" w:eastAsia="Times New Roman" w:hAnsi="Garamond" w:cs="Times New Roman"/>
          <w:kern w:val="0"/>
          <w:sz w:val="22"/>
          <w:szCs w:val="22"/>
          <w14:ligatures w14:val="none"/>
        </w:rPr>
        <w:t>−12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R2R^2R2 for the model with one fewer trend. This metric lets us see exactly how much extra variation each additional trend explains, rather than relying on information criteria alone.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Second, using the number of latent trends that provided the best fit in the first stage, we selected the optimal structure for the observation error covariance matrix R\</w:t>
      </w:r>
      <w:proofErr w:type="spellStart"/>
      <w:r w:rsidRPr="00B84613">
        <w:rPr>
          <w:rFonts w:ascii="Garamond" w:eastAsia="Times New Roman" w:hAnsi="Garamond" w:cs="Times New Roman"/>
          <w:kern w:val="0"/>
          <w:sz w:val="22"/>
          <w:szCs w:val="22"/>
          <w14:ligatures w14:val="none"/>
        </w:rPr>
        <w:t>mathbf</w:t>
      </w:r>
      <w:proofErr w:type="spellEnd"/>
      <w:r w:rsidRPr="00B84613">
        <w:rPr>
          <w:rFonts w:ascii="Garamond" w:eastAsia="Times New Roman" w:hAnsi="Garamond" w:cs="Times New Roman"/>
          <w:kern w:val="0"/>
          <w:sz w:val="22"/>
          <w:szCs w:val="22"/>
          <w14:ligatures w14:val="none"/>
        </w:rPr>
        <w:t>{R}R. We compared two common options: “</w:t>
      </w:r>
      <w:r w:rsidRPr="00B84613">
        <w:rPr>
          <w:rFonts w:ascii="Garamond" w:eastAsia="Times New Roman" w:hAnsi="Garamond" w:cs="Times New Roman"/>
          <w:b/>
          <w:bCs/>
          <w:kern w:val="0"/>
          <w:sz w:val="22"/>
          <w:szCs w:val="22"/>
          <w14:ligatures w14:val="none"/>
        </w:rPr>
        <w:t>diagonal and equal</w:t>
      </w:r>
      <w:r w:rsidRPr="00B84613">
        <w:rPr>
          <w:rFonts w:ascii="Garamond" w:eastAsia="Times New Roman" w:hAnsi="Garamond" w:cs="Times New Roman"/>
          <w:kern w:val="0"/>
          <w:sz w:val="22"/>
          <w:szCs w:val="22"/>
          <w14:ligatures w14:val="none"/>
        </w:rPr>
        <w:t xml:space="preserve">,” which assumes that </w:t>
      </w:r>
      <w:proofErr w:type="spellStart"/>
      <w:r w:rsidRPr="00B84613">
        <w:rPr>
          <w:rFonts w:ascii="Garamond" w:eastAsia="Times New Roman" w:hAnsi="Garamond" w:cs="Times New Roman"/>
          <w:kern w:val="0"/>
          <w:sz w:val="22"/>
          <w:szCs w:val="22"/>
          <w14:ligatures w14:val="none"/>
        </w:rPr>
        <w:t>all time</w:t>
      </w:r>
      <w:proofErr w:type="spellEnd"/>
      <w:r w:rsidRPr="00B84613">
        <w:rPr>
          <w:rFonts w:ascii="Garamond" w:eastAsia="Times New Roman" w:hAnsi="Garamond" w:cs="Times New Roman"/>
          <w:kern w:val="0"/>
          <w:sz w:val="22"/>
          <w:szCs w:val="22"/>
          <w14:ligatures w14:val="none"/>
        </w:rPr>
        <w:t xml:space="preserve"> series have the same observation error variance and are uncorrelated; and “</w:t>
      </w:r>
      <w:r w:rsidRPr="00B84613">
        <w:rPr>
          <w:rFonts w:ascii="Garamond" w:eastAsia="Times New Roman" w:hAnsi="Garamond" w:cs="Times New Roman"/>
          <w:b/>
          <w:bCs/>
          <w:kern w:val="0"/>
          <w:sz w:val="22"/>
          <w:szCs w:val="22"/>
          <w14:ligatures w14:val="none"/>
        </w:rPr>
        <w:t>diagonal and unequal</w:t>
      </w:r>
      <w:r w:rsidRPr="00B84613">
        <w:rPr>
          <w:rFonts w:ascii="Garamond" w:eastAsia="Times New Roman" w:hAnsi="Garamond" w:cs="Times New Roman"/>
          <w:kern w:val="0"/>
          <w:sz w:val="22"/>
          <w:szCs w:val="22"/>
          <w14:ligatures w14:val="none"/>
        </w:rPr>
        <w:t>,” which also assumes no correlation between series but allows each one to have its own error variance.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Finally, we tested whether including covariates improved model performance by adding two variables: the relative CPUE for each management unit at each time step, and the total annual run size. We compared models with and without these covariates to evaluate whether they explained additional variation beyond the latent trends, helping to identify potential drivers of the observed temporal patterns</w:t>
      </w:r>
    </w:p>
    <w:p w14:paraId="4CD1E56C" w14:textId="6951036C"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t>Model Results and Spatial representation of feature loading</w:t>
      </w:r>
    </w:p>
    <w:p w14:paraId="0857169E" w14:textId="7D4DF1B2" w:rsidR="000A4B6C" w:rsidRPr="000A4B6C" w:rsidRDefault="000A4B6C" w:rsidP="006D191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0A4B6C">
        <w:rPr>
          <w:rFonts w:ascii="Garamond" w:eastAsia="Times New Roman" w:hAnsi="Garamond" w:cs="Times New Roman"/>
          <w:kern w:val="0"/>
          <w:sz w:val="22"/>
          <w:szCs w:val="22"/>
          <w14:ligatures w14:val="none"/>
        </w:rPr>
        <w:t xml:space="preserve">From the best-fitting model, we extracted the underlying latent trends and the corresponding loadings for each time series on each trend. To improve interpretability, we applied varimax rotation, a </w:t>
      </w:r>
      <w:r w:rsidRPr="000A4B6C">
        <w:rPr>
          <w:rFonts w:ascii="Garamond" w:eastAsia="Times New Roman" w:hAnsi="Garamond" w:cs="Times New Roman"/>
          <w:kern w:val="0"/>
          <w:sz w:val="22"/>
          <w:szCs w:val="22"/>
          <w14:ligatures w14:val="none"/>
        </w:rPr>
        <w:lastRenderedPageBreak/>
        <w:t>common method that clarifies the loading patterns by making it easier to see which management units are most strongly associated with each trend.</w:t>
      </w:r>
      <w:r>
        <w:rPr>
          <w:rFonts w:ascii="Garamond" w:eastAsia="Times New Roman" w:hAnsi="Garamond" w:cs="Times New Roman"/>
          <w:kern w:val="0"/>
          <w:sz w:val="22"/>
          <w:szCs w:val="22"/>
          <w14:ligatures w14:val="none"/>
        </w:rPr>
        <w:t xml:space="preserve"> </w:t>
      </w:r>
      <w:r w:rsidRPr="000A4B6C">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 spatiotemporal patterns.</w:t>
      </w:r>
    </w:p>
    <w:p w14:paraId="16C8A3AF" w14:textId="0687FCED" w:rsidR="005F3448" w:rsidRPr="006D1917" w:rsidRDefault="005F3448"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Results: </w:t>
      </w:r>
    </w:p>
    <w:p w14:paraId="787591EC" w14:textId="634C5C1C" w:rsidR="000A4B6C" w:rsidRPr="000A4B6C" w:rsidRDefault="000A4B6C" w:rsidP="000A4B6C">
      <w:pPr>
        <w:spacing w:before="100" w:beforeAutospacing="1" w:after="100" w:afterAutospacing="1" w:line="480" w:lineRule="auto"/>
        <w:rPr>
          <w:rFonts w:ascii="Garamond" w:hAnsi="Garamond"/>
          <w:sz w:val="22"/>
          <w:szCs w:val="22"/>
        </w:rPr>
      </w:pPr>
      <w:r w:rsidRPr="000A4B6C">
        <w:rPr>
          <w:rFonts w:ascii="Garamond" w:hAnsi="Garamond"/>
          <w:sz w:val="22"/>
          <w:szCs w:val="22"/>
        </w:rPr>
        <w:t>Model comparison using partial R2R^2R2 values indicated that a two-trend model best explained the temporal patterns in management unit contributions. The first trend accounted for X% of the total variance, while the second explained an additional Y% (partial R2=ZR^2 = ZR2=Z). Adding a third trend resulted in minimal improvement (partial R2&lt;0.05R^2 &lt; 0.05R2&lt;0.05), supporting the choice of two underlying trends.</w:t>
      </w:r>
      <w:r>
        <w:rPr>
          <w:rFonts w:ascii="Garamond" w:hAnsi="Garamond"/>
          <w:sz w:val="22"/>
          <w:szCs w:val="22"/>
        </w:rPr>
        <w:t xml:space="preserve"> </w:t>
      </w:r>
      <w:r w:rsidRPr="000A4B6C">
        <w:rPr>
          <w:rFonts w:ascii="Garamond" w:hAnsi="Garamond"/>
          <w:sz w:val="22"/>
          <w:szCs w:val="22"/>
        </w:rPr>
        <w:t>Comparison of observation error structures favored the diagonal and unequal model over the diagonal and equal alternative (</w:t>
      </w:r>
      <w:proofErr w:type="spellStart"/>
      <w:r w:rsidRPr="000A4B6C">
        <w:rPr>
          <w:rFonts w:ascii="Garamond" w:hAnsi="Garamond"/>
          <w:sz w:val="22"/>
          <w:szCs w:val="22"/>
        </w:rPr>
        <w:t>ΔAICc</w:t>
      </w:r>
      <w:proofErr w:type="spellEnd"/>
      <w:r w:rsidRPr="000A4B6C">
        <w:rPr>
          <w:rFonts w:ascii="Garamond" w:hAnsi="Garamond"/>
          <w:sz w:val="22"/>
          <w:szCs w:val="22"/>
        </w:rPr>
        <w:t xml:space="preserve"> = X), indicating that observation error variances differ among management units and supporting unit-specific error terms.</w:t>
      </w:r>
      <w:r>
        <w:rPr>
          <w:rFonts w:ascii="Garamond" w:hAnsi="Garamond"/>
          <w:sz w:val="22"/>
          <w:szCs w:val="22"/>
        </w:rPr>
        <w:t xml:space="preserve"> </w:t>
      </w:r>
      <w:r w:rsidRPr="000A4B6C">
        <w:rPr>
          <w:rFonts w:ascii="Garamond" w:hAnsi="Garamond"/>
          <w:sz w:val="22"/>
          <w:szCs w:val="22"/>
        </w:rPr>
        <w:t>Models including relative CPUE, combined CPUE, and annual run size as covariates showed no improvement in fit (</w:t>
      </w:r>
      <w:proofErr w:type="spellStart"/>
      <w:r w:rsidRPr="000A4B6C">
        <w:rPr>
          <w:rFonts w:ascii="Garamond" w:hAnsi="Garamond"/>
          <w:sz w:val="22"/>
          <w:szCs w:val="22"/>
        </w:rPr>
        <w:t>ΔAICc</w:t>
      </w:r>
      <w:proofErr w:type="spellEnd"/>
      <w:r w:rsidRPr="000A4B6C">
        <w:rPr>
          <w:rFonts w:ascii="Garamond" w:hAnsi="Garamond"/>
          <w:sz w:val="22"/>
          <w:szCs w:val="22"/>
        </w:rPr>
        <w:t xml:space="preserve"> &gt; 2), suggesting that none of these covariates explain additional variation in timing patterns beyond the identified latent trends.</w:t>
      </w:r>
    </w:p>
    <w:p w14:paraId="70E5EB51" w14:textId="69A2E7ED" w:rsidR="00EF63C2" w:rsidRDefault="00EF63C2"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Underlying Trends and spatial loadings </w:t>
      </w:r>
    </w:p>
    <w:p w14:paraId="3C3EBB62" w14:textId="77777777" w:rsidR="00087B1B"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t>Trend 1</w:t>
      </w:r>
      <w:r w:rsidRPr="00087B1B">
        <w:rPr>
          <w:rFonts w:ascii="Garamond" w:hAnsi="Garamond"/>
          <w:sz w:val="22"/>
          <w:szCs w:val="22"/>
        </w:rPr>
        <w:t xml:space="preserve"> (Figure X) explained </w:t>
      </w:r>
      <w:r w:rsidRPr="00087B1B">
        <w:rPr>
          <w:rFonts w:ascii="Garamond" w:hAnsi="Garamond"/>
          <w:b/>
          <w:bCs/>
          <w:sz w:val="22"/>
          <w:szCs w:val="22"/>
        </w:rPr>
        <w:t>X%</w:t>
      </w:r>
      <w:r w:rsidRPr="00087B1B">
        <w:rPr>
          <w:rFonts w:ascii="Garamond" w:hAnsi="Garamond"/>
          <w:sz w:val="22"/>
          <w:szCs w:val="22"/>
        </w:rPr>
        <w:t xml:space="preserve"> of the overall variance and was characterized by variable contributions to Q1, a relatively stable mean in Q2, and a clear increase in contributions to Q3 and Q4 (green and orange) beginning around 2019. This upward trend in the latter half of the dataset (2019–2021) suggests a shift in timing toward later portions of the run. Management units such as </w:t>
      </w:r>
      <w:r w:rsidRPr="00087B1B">
        <w:rPr>
          <w:rFonts w:ascii="Garamond" w:hAnsi="Garamond"/>
          <w:i/>
          <w:iCs/>
          <w:sz w:val="22"/>
          <w:szCs w:val="22"/>
        </w:rPr>
        <w:t>[insert positively loading groups]</w:t>
      </w:r>
      <w:r w:rsidRPr="00087B1B">
        <w:rPr>
          <w:rFonts w:ascii="Garamond" w:hAnsi="Garamond"/>
          <w:sz w:val="22"/>
          <w:szCs w:val="22"/>
        </w:rPr>
        <w:t xml:space="preserve"> loaded strongly and positively on this trend, indicating they followed this pattern. In contrast, units like </w:t>
      </w:r>
      <w:r w:rsidRPr="00087B1B">
        <w:rPr>
          <w:rFonts w:ascii="Garamond" w:hAnsi="Garamond"/>
          <w:i/>
          <w:iCs/>
          <w:sz w:val="22"/>
          <w:szCs w:val="22"/>
        </w:rPr>
        <w:t>[insert negatively loading groups]</w:t>
      </w:r>
      <w:r w:rsidRPr="00087B1B">
        <w:rPr>
          <w:rFonts w:ascii="Garamond" w:hAnsi="Garamond"/>
          <w:sz w:val="22"/>
          <w:szCs w:val="22"/>
        </w:rPr>
        <w:t xml:space="preserve"> exhibited negative loadings, suggesting the opposite temporal pattern—i.e., declining contributions to Q3 and Q4 in recent years.</w:t>
      </w:r>
    </w:p>
    <w:p w14:paraId="2D63B18B" w14:textId="04D73013" w:rsidR="009D66DA"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lastRenderedPageBreak/>
        <w:t>Trend 2</w:t>
      </w:r>
      <w:r w:rsidRPr="00087B1B">
        <w:rPr>
          <w:rFonts w:ascii="Garamond" w:hAnsi="Garamond"/>
          <w:sz w:val="22"/>
          <w:szCs w:val="22"/>
        </w:rPr>
        <w:t xml:space="preserve"> showed a more stable mean overall, but with a marked increase in contribution from Q1 over time. Throughout most of the dataset, contributions from Q1 and Q2 were relatively balanced; however, in the final year (2021), Q1 dominated, with greatly reduced contributions from later quartiles. This trend was primarily driven by strong positive loadings from management units in the upper Kuskokwim River, including </w:t>
      </w:r>
      <w:r w:rsidRPr="00087B1B">
        <w:rPr>
          <w:rFonts w:ascii="Garamond" w:hAnsi="Garamond"/>
          <w:i/>
          <w:iCs/>
          <w:sz w:val="22"/>
          <w:szCs w:val="22"/>
        </w:rPr>
        <w:t>[insert units like X, X, X]</w:t>
      </w:r>
      <w:r w:rsidRPr="00087B1B">
        <w:rPr>
          <w:rFonts w:ascii="Garamond" w:hAnsi="Garamond"/>
          <w:sz w:val="22"/>
          <w:szCs w:val="22"/>
        </w:rPr>
        <w:t>. Notably, these areas differ considerably in total production levels, indicating that despite these differences, they shared a common shift in run timing patterns over time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0DA1AA81" w14:textId="77777777" w:rsidR="002F1DC7" w:rsidRPr="002F1DC7" w:rsidRDefault="002F1DC7" w:rsidP="002F1DC7">
      <w:pPr>
        <w:spacing w:line="480" w:lineRule="auto"/>
        <w:ind w:firstLine="720"/>
        <w:rPr>
          <w:rFonts w:ascii="Garamond" w:hAnsi="Garamond"/>
          <w:sz w:val="22"/>
          <w:szCs w:val="22"/>
        </w:rPr>
      </w:pPr>
      <w:r w:rsidRPr="002F1DC7">
        <w:rPr>
          <w:rFonts w:ascii="Garamond" w:hAnsi="Garamond"/>
          <w:sz w:val="22"/>
          <w:szCs w:val="22"/>
        </w:rPr>
        <w:t>Our analysis identified two major underlying trends in the spatiotemporal ecology of Chinook salmon in the Kuskokwim River basin. Both trends reveal shifts in spatiotemporal patterns that have important implications for rebuilding Chinook salmon populations.</w:t>
      </w:r>
    </w:p>
    <w:p w14:paraId="0E16C1A7" w14:textId="77777777" w:rsidR="002F1DC7" w:rsidRDefault="002F1DC7" w:rsidP="002F1DC7">
      <w:pPr>
        <w:spacing w:line="480" w:lineRule="auto"/>
        <w:ind w:firstLine="720"/>
        <w:rPr>
          <w:rFonts w:ascii="Garamond" w:hAnsi="Garamond"/>
          <w:sz w:val="22"/>
          <w:szCs w:val="22"/>
        </w:rPr>
      </w:pPr>
      <w:r w:rsidRPr="002F1DC7">
        <w:rPr>
          <w:rFonts w:ascii="Garamond" w:hAnsi="Garamond"/>
          <w:sz w:val="22"/>
          <w:szCs w:val="22"/>
        </w:rPr>
        <w:t>Trend 1 shows production shifting away from [X, Y, Z management units] toward [X, Y, Z management units], with particularly notable increases in late-season contributions (Q3-Q4) beginning around 2019. This redistribution may significantly impact both the timing and magnitude of fish available to upstream communities such as McGrath, Alaska, which relies on runs from tributaries near the confluence of [specific tributary] and the mainstem Kuskokwim River. [Add 1-2 sentences about specific implications - e.g., timing mismatch with traditional harvest windows, changes in stock availability, etc.]</w:t>
      </w:r>
    </w:p>
    <w:p w14:paraId="25E0EC85" w14:textId="77777777" w:rsidR="0067222D" w:rsidRPr="0067222D" w:rsidRDefault="0067222D" w:rsidP="0067222D">
      <w:pPr>
        <w:spacing w:line="480" w:lineRule="auto"/>
        <w:ind w:firstLine="720"/>
        <w:rPr>
          <w:rFonts w:ascii="Garamond" w:hAnsi="Garamond"/>
          <w:sz w:val="22"/>
          <w:szCs w:val="22"/>
        </w:rPr>
      </w:pPr>
      <w:r w:rsidRPr="0067222D">
        <w:rPr>
          <w:rFonts w:ascii="Garamond" w:hAnsi="Garamond"/>
          <w:sz w:val="22"/>
          <w:szCs w:val="22"/>
        </w:rPr>
        <w:t>Trend 2 reveals a steady increase in Q1 contributions throughout the dataset, with a notable decoupling from Q2 production patterns. Management units with strong positive loadings on this trend—primarily upper Kuskokwim tributary groups including [X, Y, Z]—showed dramatically higher Q1 contributions in 2021 compared to 2017. This shift suggests that the early portion of the run is becoming increasingly dominated by these upper basin stocks, with their peak contribution window moving earlier in the season.</w:t>
      </w:r>
    </w:p>
    <w:p w14:paraId="40DE7DDD" w14:textId="5F523DDF" w:rsid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This temporal concentration has important implications for both ecological resilience and management effectiveness. The growing dominance of upper Kuskokwim stocks in Q1 may reflect </w:t>
      </w:r>
      <w:r w:rsidRPr="0067222D">
        <w:rPr>
          <w:rFonts w:ascii="Garamond" w:hAnsi="Garamond"/>
          <w:sz w:val="22"/>
          <w:szCs w:val="22"/>
        </w:rPr>
        <w:lastRenderedPageBreak/>
        <w:t xml:space="preserve">[environmental drivers/competitive release/habitat changes], while the decoupling from Q2 suggests a compression of run timing that could reduce overall temporal diversity. </w:t>
      </w:r>
      <w:r>
        <w:rPr>
          <w:rFonts w:ascii="Garamond" w:hAnsi="Garamond"/>
          <w:sz w:val="22"/>
          <w:szCs w:val="22"/>
        </w:rPr>
        <w:t xml:space="preserve">This trend is further supported by the decreasing contribution of the upper Kuskokwim region during the latter half of the run, as is evident by their negative loadings onto Trend 1. Taken together. Thes trends suggest that upper Kuskokwim stocks are increasingly </w:t>
      </w:r>
      <w:r w:rsidR="008A2375">
        <w:rPr>
          <w:rFonts w:ascii="Garamond" w:hAnsi="Garamond"/>
          <w:sz w:val="22"/>
          <w:szCs w:val="22"/>
        </w:rPr>
        <w:t xml:space="preserve">dominant in the first quartile and absent towards the latter half of the run, where the proportional contribution is more rapidly coming from </w:t>
      </w:r>
      <w:proofErr w:type="gramStart"/>
      <w:r w:rsidR="008A2375">
        <w:rPr>
          <w:rFonts w:ascii="Garamond" w:hAnsi="Garamond"/>
          <w:sz w:val="22"/>
          <w:szCs w:val="22"/>
        </w:rPr>
        <w:t>X,Y</w:t>
      </w:r>
      <w:proofErr w:type="gramEnd"/>
      <w:r w:rsidR="008A2375">
        <w:rPr>
          <w:rFonts w:ascii="Garamond" w:hAnsi="Garamond"/>
          <w:sz w:val="22"/>
          <w:szCs w:val="22"/>
        </w:rPr>
        <w:t xml:space="preserve">,Z. </w:t>
      </w:r>
    </w:p>
    <w:p w14:paraId="26B3F811" w14:textId="77777777" w:rsidR="008A2375" w:rsidRDefault="008A2375" w:rsidP="008A2375">
      <w:pPr>
        <w:spacing w:line="480" w:lineRule="auto"/>
        <w:rPr>
          <w:rFonts w:ascii="Garamond" w:hAnsi="Garamond"/>
          <w:b/>
          <w:bCs/>
          <w:sz w:val="22"/>
          <w:szCs w:val="22"/>
        </w:rPr>
      </w:pPr>
    </w:p>
    <w:p w14:paraId="5FF71E7F" w14:textId="5694D4C9" w:rsidR="008A2375" w:rsidRP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Management </w:t>
      </w:r>
    </w:p>
    <w:p w14:paraId="692363CA" w14:textId="185EC552" w:rsid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w:t>
      </w:r>
      <w:r>
        <w:rPr>
          <w:rFonts w:ascii="Garamond" w:hAnsi="Garamond"/>
          <w:b/>
          <w:bCs/>
          <w:sz w:val="22"/>
          <w:szCs w:val="22"/>
        </w:rPr>
        <w:t xml:space="preserve">ecosystem </w:t>
      </w:r>
      <w:proofErr w:type="spellStart"/>
      <w:r>
        <w:rPr>
          <w:rFonts w:ascii="Garamond" w:hAnsi="Garamond"/>
          <w:b/>
          <w:bCs/>
          <w:sz w:val="22"/>
          <w:szCs w:val="22"/>
        </w:rPr>
        <w:t>resilliance</w:t>
      </w:r>
      <w:proofErr w:type="spellEnd"/>
      <w:r>
        <w:rPr>
          <w:rFonts w:ascii="Garamond" w:hAnsi="Garamond"/>
          <w:b/>
          <w:bCs/>
          <w:sz w:val="22"/>
          <w:szCs w:val="22"/>
        </w:rPr>
        <w:t xml:space="preserve"> </w:t>
      </w:r>
    </w:p>
    <w:p w14:paraId="3CF75F5C" w14:textId="77777777" w:rsidR="008A2375" w:rsidRPr="0067222D" w:rsidRDefault="008A2375" w:rsidP="008A2375">
      <w:pPr>
        <w:spacing w:line="480" w:lineRule="auto"/>
        <w:rPr>
          <w:rFonts w:ascii="Garamond" w:hAnsi="Garamond"/>
          <w:b/>
          <w:bCs/>
          <w:sz w:val="22"/>
          <w:szCs w:val="22"/>
        </w:rPr>
      </w:pPr>
    </w:p>
    <w:p w14:paraId="2BBE4B04" w14:textId="77777777" w:rsidR="00ED7C6A" w:rsidRDefault="00ED7C6A" w:rsidP="002F1DC7">
      <w:pPr>
        <w:spacing w:line="480" w:lineRule="auto"/>
        <w:ind w:firstLine="720"/>
        <w:rPr>
          <w:rFonts w:ascii="Garamond" w:hAnsi="Garamond"/>
          <w:sz w:val="22"/>
          <w:szCs w:val="22"/>
        </w:rPr>
      </w:pPr>
    </w:p>
    <w:p w14:paraId="0CF7801F" w14:textId="77777777" w:rsidR="00087B1B" w:rsidRDefault="00087B1B" w:rsidP="006D1917">
      <w:pPr>
        <w:spacing w:line="480" w:lineRule="auto"/>
        <w:rPr>
          <w:rFonts w:ascii="Garamond" w:hAnsi="Garamond"/>
          <w:b/>
          <w:bCs/>
          <w:sz w:val="22"/>
          <w:szCs w:val="22"/>
        </w:rPr>
      </w:pPr>
    </w:p>
    <w:p w14:paraId="2E38BB01" w14:textId="77777777" w:rsidR="00087B1B" w:rsidRPr="00087B1B" w:rsidRDefault="00087B1B" w:rsidP="006D1917">
      <w:pPr>
        <w:spacing w:line="480" w:lineRule="auto"/>
        <w:rPr>
          <w:rFonts w:ascii="Garamond" w:hAnsi="Garamond"/>
          <w:b/>
          <w:bCs/>
          <w:sz w:val="22"/>
          <w:szCs w:val="22"/>
        </w:rPr>
      </w:pPr>
    </w:p>
    <w:p w14:paraId="67384EA8" w14:textId="2B2F0A7F" w:rsidR="005F3448" w:rsidRDefault="005549AA" w:rsidP="005F3448">
      <w:pPr>
        <w:rPr>
          <w:rFonts w:ascii="Garamond" w:hAnsi="Garamond"/>
        </w:rPr>
      </w:pPr>
      <w:r>
        <w:rPr>
          <w:rFonts w:ascii="Garamond" w:hAnsi="Garamond"/>
        </w:rPr>
        <w:t xml:space="preserve">Nesbitt et al., predicted that communities with access to more diversity may have longer fishing seasons </w:t>
      </w:r>
    </w:p>
    <w:p w14:paraId="40BC4C4B" w14:textId="7EC6640E" w:rsidR="002438CB" w:rsidRDefault="002438CB" w:rsidP="005F3448">
      <w:pPr>
        <w:rPr>
          <w:rFonts w:ascii="Open Sans" w:hAnsi="Open Sans" w:cs="Open Sans"/>
          <w:color w:val="000000"/>
          <w:shd w:val="clear" w:color="auto" w:fill="FFFFFF"/>
        </w:rPr>
      </w:pPr>
      <w:r>
        <w:rPr>
          <w:rFonts w:ascii="Open Sans" w:hAnsi="Open Sans" w:cs="Open Sans"/>
          <w:color w:val="000000"/>
          <w:shd w:val="clear" w:color="auto" w:fill="FFFFFF"/>
        </w:rPr>
        <w:t>Chinook salmon (</w:t>
      </w:r>
      <w:r>
        <w:rPr>
          <w:rFonts w:ascii="Open Sans" w:hAnsi="Open Sans" w:cs="Open Sans"/>
          <w:i/>
          <w:iCs/>
          <w:color w:val="000000"/>
          <w:shd w:val="clear" w:color="auto" w:fill="FFFFFF"/>
        </w:rPr>
        <w:t>Oncorhynchus tshawytscha</w:t>
      </w:r>
      <w:r>
        <w:rPr>
          <w:rFonts w:ascii="Open Sans" w:hAnsi="Open Sans" w:cs="Open Sans"/>
          <w:color w:val="000000"/>
          <w:shd w:val="clear" w:color="auto" w:fill="FFFFFF"/>
        </w:rPr>
        <w:t xml:space="preserve">) populations returning to the Yukon River of Alaska provide vast cultural and economic value to indigenous people of the region that subsist on the resource (Brown &amp; </w:t>
      </w:r>
      <w:proofErr w:type="spellStart"/>
      <w:r>
        <w:rPr>
          <w:rFonts w:ascii="Open Sans" w:hAnsi="Open Sans" w:cs="Open Sans"/>
          <w:color w:val="000000"/>
          <w:shd w:val="clear" w:color="auto" w:fill="FFFFFF"/>
        </w:rPr>
        <w:t>Godduhn</w:t>
      </w:r>
      <w:proofErr w:type="spellEnd"/>
      <w:r>
        <w:rPr>
          <w:rFonts w:ascii="Open Sans" w:hAnsi="Open Sans" w:cs="Open Sans"/>
          <w:color w:val="000000"/>
          <w:shd w:val="clear" w:color="auto" w:fill="FFFFFF"/>
        </w:rPr>
        <w:t>, </w:t>
      </w:r>
      <w:hyperlink r:id="rId6" w:anchor="gcb14315-bib-0006" w:history="1">
        <w:r w:rsidR="005D5AB7">
          <w:rPr>
            <w:rStyle w:val="Hyperlink"/>
            <w:rFonts w:ascii="Open Sans" w:hAnsi="Open Sans" w:cs="Open Sans"/>
            <w:b/>
            <w:bCs/>
            <w:color w:val="123D80"/>
          </w:rPr>
          <w:t>(Makhlouf et al., 2025)</w:t>
        </w:r>
      </w:hyperlink>
      <w:r>
        <w:rPr>
          <w:rFonts w:ascii="Open Sans" w:hAnsi="Open Sans" w:cs="Open Sans"/>
          <w:color w:val="000000"/>
          <w:shd w:val="clear" w:color="auto" w:fill="FFFFFF"/>
        </w:rPr>
        <w:t>).</w:t>
      </w:r>
    </w:p>
    <w:p w14:paraId="18EF8702" w14:textId="77777777" w:rsidR="00413B87" w:rsidRDefault="00413B87" w:rsidP="005F3448">
      <w:pPr>
        <w:rPr>
          <w:rFonts w:ascii="Open Sans" w:hAnsi="Open Sans" w:cs="Open Sans"/>
          <w:color w:val="000000"/>
          <w:shd w:val="clear" w:color="auto" w:fill="FFFFFF"/>
        </w:rPr>
      </w:pPr>
    </w:p>
    <w:p w14:paraId="00CBB898" w14:textId="7EE0C323" w:rsidR="00413B87" w:rsidRDefault="00413B87" w:rsidP="005F3448">
      <w:pPr>
        <w:rPr>
          <w:rFonts w:ascii="Garamond" w:hAnsi="Garamond"/>
        </w:rPr>
      </w:pPr>
      <w:r w:rsidRPr="00413B87">
        <w:rPr>
          <w:rFonts w:ascii="Garamond" w:hAnsi="Garamond"/>
        </w:rPr>
        <w:t>The need to understand what is driving Chinook salmon dynamics is especially urgent, as many populations have experienced an abrupt shift to chronically low productivity and abundance (Atlas et al. 2023; ADFG – DCF 2022; Joint Technical Committee of the Yukon River U.S./Canada Panel 2021).</w:t>
      </w:r>
    </w:p>
    <w:p w14:paraId="334934F7" w14:textId="77777777" w:rsidR="00413B87" w:rsidRDefault="00413B87" w:rsidP="005F3448">
      <w:pPr>
        <w:rPr>
          <w:rFonts w:ascii="Garamond" w:hAnsi="Garamond"/>
        </w:rPr>
      </w:pPr>
    </w:p>
    <w:p w14:paraId="7BEC523D" w14:textId="52379926" w:rsidR="00413B87" w:rsidRDefault="00413B87" w:rsidP="005F3448">
      <w:pPr>
        <w:rPr>
          <w:rFonts w:ascii="Garamond" w:hAnsi="Garamond"/>
        </w:rPr>
      </w:pPr>
      <w:r w:rsidRPr="00413B87">
        <w:rPr>
          <w:rFonts w:ascii="Garamond" w:hAnsi="Garamond"/>
        </w:rPr>
        <w:lastRenderedPageBreak/>
        <w:t xml:space="preserve">Declines in abundance and mean body size have a range of social and ecological implications, like decreased fecundity and a weakened portfolio effect (Staton </w:t>
      </w:r>
      <w:proofErr w:type="gramStart"/>
      <w:r w:rsidRPr="00413B87">
        <w:rPr>
          <w:rFonts w:ascii="Garamond" w:hAnsi="Garamond"/>
        </w:rPr>
        <w:t>et  al.</w:t>
      </w:r>
      <w:proofErr w:type="gramEnd"/>
      <w:r w:rsidRPr="00413B87">
        <w:rPr>
          <w:rFonts w:ascii="Garamond" w:hAnsi="Garamond"/>
        </w:rPr>
        <w:t xml:space="preserve">  2021; </w:t>
      </w:r>
      <w:proofErr w:type="spellStart"/>
      <w:r w:rsidRPr="00413B87">
        <w:rPr>
          <w:rFonts w:ascii="Garamond" w:hAnsi="Garamond"/>
        </w:rPr>
        <w:t>Ohlberger</w:t>
      </w:r>
      <w:proofErr w:type="spellEnd"/>
      <w:r w:rsidRPr="00413B87">
        <w:rPr>
          <w:rFonts w:ascii="Garamond" w:hAnsi="Garamond"/>
        </w:rPr>
        <w:t xml:space="preserve"> </w:t>
      </w:r>
      <w:proofErr w:type="gramStart"/>
      <w:r w:rsidRPr="00413B87">
        <w:rPr>
          <w:rFonts w:ascii="Garamond" w:hAnsi="Garamond"/>
        </w:rPr>
        <w:t>et  al.</w:t>
      </w:r>
      <w:proofErr w:type="gramEnd"/>
      <w:r w:rsidRPr="00413B87">
        <w:rPr>
          <w:rFonts w:ascii="Garamond" w:hAnsi="Garamond"/>
        </w:rPr>
        <w:t xml:space="preserve">  2020; Dorner </w:t>
      </w:r>
      <w:proofErr w:type="gramStart"/>
      <w:r w:rsidRPr="00413B87">
        <w:rPr>
          <w:rFonts w:ascii="Garamond" w:hAnsi="Garamond"/>
        </w:rPr>
        <w:t>et  al.</w:t>
      </w:r>
      <w:proofErr w:type="gramEnd"/>
      <w:r w:rsidRPr="00413B87">
        <w:rPr>
          <w:rFonts w:ascii="Garamond" w:hAnsi="Garamond"/>
        </w:rPr>
        <w:t xml:space="preserve">  2018). A reduced portfolio effect increases a species' risk to adverse events across space and time (Carvalho </w:t>
      </w:r>
      <w:proofErr w:type="gramStart"/>
      <w:r w:rsidRPr="00413B87">
        <w:rPr>
          <w:rFonts w:ascii="Garamond" w:hAnsi="Garamond"/>
        </w:rPr>
        <w:t>et  al.</w:t>
      </w:r>
      <w:proofErr w:type="gramEnd"/>
      <w:r w:rsidRPr="00413B87">
        <w:rPr>
          <w:rFonts w:ascii="Garamond" w:hAnsi="Garamond"/>
        </w:rPr>
        <w:t>  2023).</w:t>
      </w:r>
    </w:p>
    <w:p w14:paraId="72F7C1E9" w14:textId="77777777" w:rsidR="00413B87" w:rsidRDefault="00413B87" w:rsidP="005F3448">
      <w:pPr>
        <w:rPr>
          <w:rFonts w:ascii="Garamond" w:hAnsi="Garamond"/>
        </w:rPr>
      </w:pPr>
    </w:p>
    <w:p w14:paraId="44F04608" w14:textId="60AC93F1" w:rsidR="00413B87" w:rsidRDefault="00413B87" w:rsidP="005F3448">
      <w:pPr>
        <w:rPr>
          <w:rFonts w:ascii="Garamond" w:hAnsi="Garamond"/>
        </w:rPr>
      </w:pPr>
      <w:r w:rsidRPr="00413B87">
        <w:rPr>
          <w:rFonts w:ascii="Garamond" w:hAnsi="Garamond"/>
        </w:rPr>
        <w:t xml:space="preserve">Furthermore, restricting access to fisheries in Alaska threatens cultures, livelihoods, well-being, and the sovereignty of rural and Indigenous communities (Connoy </w:t>
      </w:r>
      <w:proofErr w:type="gramStart"/>
      <w:r w:rsidRPr="00413B87">
        <w:rPr>
          <w:rFonts w:ascii="Garamond" w:hAnsi="Garamond"/>
        </w:rPr>
        <w:t>et  al.</w:t>
      </w:r>
      <w:proofErr w:type="gramEnd"/>
      <w:r w:rsidRPr="00413B87">
        <w:rPr>
          <w:rFonts w:ascii="Garamond" w:hAnsi="Garamond"/>
        </w:rPr>
        <w:t xml:space="preserve">  2024; Carothers </w:t>
      </w:r>
      <w:proofErr w:type="gramStart"/>
      <w:r w:rsidRPr="00413B87">
        <w:rPr>
          <w:rFonts w:ascii="Garamond" w:hAnsi="Garamond"/>
        </w:rPr>
        <w:t>et  al.</w:t>
      </w:r>
      <w:proofErr w:type="gramEnd"/>
      <w:r w:rsidRPr="00413B87">
        <w:rPr>
          <w:rFonts w:ascii="Garamond" w:hAnsi="Garamond"/>
        </w:rPr>
        <w:t>  2021).</w:t>
      </w:r>
    </w:p>
    <w:p w14:paraId="466A42ED" w14:textId="77777777" w:rsidR="005549AA" w:rsidRDefault="005549AA" w:rsidP="005F3448">
      <w:pPr>
        <w:rPr>
          <w:rFonts w:ascii="Garamond" w:hAnsi="Garamond"/>
        </w:rPr>
      </w:pPr>
    </w:p>
    <w:p w14:paraId="262547ED" w14:textId="77777777" w:rsidR="005549AA" w:rsidRPr="00481088" w:rsidRDefault="005549AA" w:rsidP="005F3448">
      <w:pPr>
        <w:rPr>
          <w:rFonts w:ascii="Garamond" w:hAnsi="Garamond"/>
        </w:rPr>
      </w:pPr>
    </w:p>
    <w:sectPr w:rsidR="005549AA"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103582"/>
    <w:rsid w:val="00120202"/>
    <w:rsid w:val="00131432"/>
    <w:rsid w:val="00162958"/>
    <w:rsid w:val="0017407A"/>
    <w:rsid w:val="001844EB"/>
    <w:rsid w:val="00206F6C"/>
    <w:rsid w:val="002438CB"/>
    <w:rsid w:val="00282822"/>
    <w:rsid w:val="00293B26"/>
    <w:rsid w:val="002C21B7"/>
    <w:rsid w:val="002D60DB"/>
    <w:rsid w:val="002F1DC7"/>
    <w:rsid w:val="0032232D"/>
    <w:rsid w:val="003508BF"/>
    <w:rsid w:val="003642FE"/>
    <w:rsid w:val="00374558"/>
    <w:rsid w:val="0039598A"/>
    <w:rsid w:val="003A58F7"/>
    <w:rsid w:val="003B0A46"/>
    <w:rsid w:val="003D0402"/>
    <w:rsid w:val="00413B87"/>
    <w:rsid w:val="004261EE"/>
    <w:rsid w:val="00464971"/>
    <w:rsid w:val="00481088"/>
    <w:rsid w:val="004B12B3"/>
    <w:rsid w:val="004F04C2"/>
    <w:rsid w:val="00530411"/>
    <w:rsid w:val="005416E6"/>
    <w:rsid w:val="00544AA0"/>
    <w:rsid w:val="005549AA"/>
    <w:rsid w:val="005560A6"/>
    <w:rsid w:val="00557824"/>
    <w:rsid w:val="00565BB5"/>
    <w:rsid w:val="00573579"/>
    <w:rsid w:val="005805EB"/>
    <w:rsid w:val="005A0F4E"/>
    <w:rsid w:val="005D5AB7"/>
    <w:rsid w:val="005E64F6"/>
    <w:rsid w:val="005F3448"/>
    <w:rsid w:val="006135E9"/>
    <w:rsid w:val="006617C0"/>
    <w:rsid w:val="0067222D"/>
    <w:rsid w:val="00682611"/>
    <w:rsid w:val="006B418B"/>
    <w:rsid w:val="006B764B"/>
    <w:rsid w:val="006D1917"/>
    <w:rsid w:val="00700F8D"/>
    <w:rsid w:val="007266BC"/>
    <w:rsid w:val="00742E6F"/>
    <w:rsid w:val="007561E4"/>
    <w:rsid w:val="00780305"/>
    <w:rsid w:val="00784BA9"/>
    <w:rsid w:val="007942D8"/>
    <w:rsid w:val="007C20CB"/>
    <w:rsid w:val="00807290"/>
    <w:rsid w:val="00811477"/>
    <w:rsid w:val="00855E39"/>
    <w:rsid w:val="00856168"/>
    <w:rsid w:val="008872F5"/>
    <w:rsid w:val="008A2375"/>
    <w:rsid w:val="008B4FCB"/>
    <w:rsid w:val="008C378F"/>
    <w:rsid w:val="008C3841"/>
    <w:rsid w:val="008D173A"/>
    <w:rsid w:val="00907410"/>
    <w:rsid w:val="009076B8"/>
    <w:rsid w:val="00916784"/>
    <w:rsid w:val="00920CA6"/>
    <w:rsid w:val="00986BAC"/>
    <w:rsid w:val="009873E7"/>
    <w:rsid w:val="009C308C"/>
    <w:rsid w:val="009D66DA"/>
    <w:rsid w:val="00A06CC6"/>
    <w:rsid w:val="00A13EDE"/>
    <w:rsid w:val="00A400C6"/>
    <w:rsid w:val="00A44879"/>
    <w:rsid w:val="00A4712A"/>
    <w:rsid w:val="00A524AD"/>
    <w:rsid w:val="00AF6E03"/>
    <w:rsid w:val="00B30111"/>
    <w:rsid w:val="00B71156"/>
    <w:rsid w:val="00B74D8D"/>
    <w:rsid w:val="00B84613"/>
    <w:rsid w:val="00B93552"/>
    <w:rsid w:val="00BB27C2"/>
    <w:rsid w:val="00C07057"/>
    <w:rsid w:val="00C31CB4"/>
    <w:rsid w:val="00C32D99"/>
    <w:rsid w:val="00C3570A"/>
    <w:rsid w:val="00C9741A"/>
    <w:rsid w:val="00CA262D"/>
    <w:rsid w:val="00CD4717"/>
    <w:rsid w:val="00CF45A1"/>
    <w:rsid w:val="00CF720A"/>
    <w:rsid w:val="00D75D9A"/>
    <w:rsid w:val="00DA2545"/>
    <w:rsid w:val="00DA52E2"/>
    <w:rsid w:val="00DA7E79"/>
    <w:rsid w:val="00DB1156"/>
    <w:rsid w:val="00E06A56"/>
    <w:rsid w:val="00E1058B"/>
    <w:rsid w:val="00E34007"/>
    <w:rsid w:val="00E454BB"/>
    <w:rsid w:val="00E67DF1"/>
    <w:rsid w:val="00E7441D"/>
    <w:rsid w:val="00E774B6"/>
    <w:rsid w:val="00EB7BFF"/>
    <w:rsid w:val="00EC47D6"/>
    <w:rsid w:val="00ED22A3"/>
    <w:rsid w:val="00ED6B2A"/>
    <w:rsid w:val="00ED7C6A"/>
    <w:rsid w:val="00EE55A4"/>
    <w:rsid w:val="00EE7EB5"/>
    <w:rsid w:val="00EF63C2"/>
    <w:rsid w:val="00F06D5A"/>
    <w:rsid w:val="00F210C2"/>
    <w:rsid w:val="00F51DB9"/>
    <w:rsid w:val="00F626FB"/>
    <w:rsid w:val="00FB2460"/>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 w:type="character" w:styleId="Hyperlink">
    <w:name w:val="Hyperlink"/>
    <w:basedOn w:val="DefaultParagraphFont"/>
    <w:uiPriority w:val="99"/>
    <w:semiHidden/>
    <w:unhideWhenUsed/>
    <w:rsid w:val="002438CB"/>
    <w:rPr>
      <w:color w:val="0000FF"/>
      <w:u w:val="single"/>
    </w:rPr>
  </w:style>
  <w:style w:type="character" w:customStyle="1" w:styleId="katex-mathml">
    <w:name w:val="katex-mathml"/>
    <w:basedOn w:val="DefaultParagraphFont"/>
    <w:rsid w:val="00D75D9A"/>
  </w:style>
  <w:style w:type="character" w:customStyle="1" w:styleId="mord">
    <w:name w:val="mord"/>
    <w:basedOn w:val="DefaultParagraphFont"/>
    <w:rsid w:val="00D75D9A"/>
  </w:style>
  <w:style w:type="character" w:customStyle="1" w:styleId="vlist-s">
    <w:name w:val="vlist-s"/>
    <w:basedOn w:val="DefaultParagraphFont"/>
    <w:rsid w:val="00D75D9A"/>
  </w:style>
  <w:style w:type="character" w:customStyle="1" w:styleId="mrel">
    <w:name w:val="mrel"/>
    <w:basedOn w:val="DefaultParagraphFont"/>
    <w:rsid w:val="00D75D9A"/>
  </w:style>
  <w:style w:type="character" w:customStyle="1" w:styleId="mbin">
    <w:name w:val="mbin"/>
    <w:basedOn w:val="DefaultParagraphFont"/>
    <w:rsid w:val="00D75D9A"/>
  </w:style>
  <w:style w:type="paragraph" w:customStyle="1" w:styleId="whitespace-pre-wrap">
    <w:name w:val="whitespace-pre-wrap"/>
    <w:basedOn w:val="Normal"/>
    <w:rsid w:val="00D75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pen">
    <w:name w:val="mopen"/>
    <w:basedOn w:val="DefaultParagraphFont"/>
    <w:rsid w:val="00D75D9A"/>
  </w:style>
  <w:style w:type="character" w:customStyle="1" w:styleId="mpunct">
    <w:name w:val="mpunct"/>
    <w:basedOn w:val="DefaultParagraphFont"/>
    <w:rsid w:val="00D75D9A"/>
  </w:style>
  <w:style w:type="character" w:customStyle="1" w:styleId="mclose">
    <w:name w:val="mclose"/>
    <w:basedOn w:val="DefaultParagraphFont"/>
    <w:rsid w:val="00D75D9A"/>
  </w:style>
  <w:style w:type="character" w:styleId="PlaceholderText">
    <w:name w:val="Placeholder Text"/>
    <w:basedOn w:val="DefaultParagraphFont"/>
    <w:uiPriority w:val="99"/>
    <w:semiHidden/>
    <w:rsid w:val="00E744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370035142">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43520380">
      <w:bodyDiv w:val="1"/>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 w:id="2009163651">
          <w:marLeft w:val="0"/>
          <w:marRight w:val="0"/>
          <w:marTop w:val="0"/>
          <w:marBottom w:val="0"/>
          <w:divBdr>
            <w:top w:val="none" w:sz="0" w:space="0" w:color="auto"/>
            <w:left w:val="none" w:sz="0" w:space="0" w:color="auto"/>
            <w:bottom w:val="none" w:sz="0" w:space="0" w:color="auto"/>
            <w:right w:val="none" w:sz="0" w:space="0" w:color="auto"/>
          </w:divBdr>
        </w:div>
      </w:divsChild>
    </w:div>
    <w:div w:id="873808578">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04500439">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gcb.1431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13</Pages>
  <Words>17252</Words>
  <Characters>98343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bmak29</cp:lastModifiedBy>
  <cp:revision>22</cp:revision>
  <dcterms:created xsi:type="dcterms:W3CDTF">2025-05-30T01:02:00Z</dcterms:created>
  <dcterms:modified xsi:type="dcterms:W3CDTF">2025-06-04T21:21:00Z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id="dI01jIsp"/&gt;&lt;style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