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0BFA7429"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del w:id="7"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8" w:author="Benjamin J. Makhlouf" w:date="2026-06-18T19:19:00Z" w16du:dateUtc="2026-06-19T02:19:00Z">
        <w:r w:rsidR="006B75B5">
          <w:rPr>
            <w:rFonts w:ascii="Garamond" w:hAnsi="Garamond"/>
            <w:sz w:val="22"/>
            <w:szCs w:val="22"/>
          </w:rPr>
          <w:t>s but with a</w:t>
        </w:r>
      </w:ins>
      <w:ins w:id="9" w:author="Benjamin J. Makhlouf" w:date="2026-06-18T19:20:00Z" w16du:dateUtc="2026-06-19T02:20:00Z">
        <w:r w:rsidR="006B75B5">
          <w:rPr>
            <w:rFonts w:ascii="Garamond" w:hAnsi="Garamond"/>
            <w:sz w:val="22"/>
            <w:szCs w:val="22"/>
          </w:rPr>
          <w:t xml:space="preserve">n associated tradeoff of lost harvest opportunity. </w:t>
        </w:r>
      </w:ins>
      <w:ins w:id="10" w:author="Benjamin J. Makhlouf" w:date="2026-06-18T19:21:00Z" w16du:dateUtc="2026-06-19T02:21:00Z">
        <w:r w:rsidR="006B75B5">
          <w:rPr>
            <w:rFonts w:ascii="Garamond" w:hAnsi="Garamond"/>
            <w:sz w:val="22"/>
            <w:szCs w:val="22"/>
          </w:rPr>
          <w:t>The</w:t>
        </w:r>
      </w:ins>
      <w:ins w:id="11" w:author="Benjamin J. Makhlouf" w:date="2026-06-18T19:20:00Z" w16du:dateUtc="2026-06-19T02:20:00Z">
        <w:r w:rsidR="006B75B5">
          <w:rPr>
            <w:rFonts w:ascii="Garamond" w:hAnsi="Garamond"/>
            <w:sz w:val="22"/>
            <w:szCs w:val="22"/>
          </w:rPr>
          <w:t xml:space="preserve"> protection afforded to upper</w:t>
        </w:r>
      </w:ins>
      <w:del w:id="12" w:author="Benjamin J. Makhlouf" w:date="2026-06-18T19:19:00Z" w16du:dateUtc="2026-06-19T02:19:00Z">
        <w:r w:rsidR="006B75B5" w:rsidRPr="00571049" w:rsidDel="006B75B5">
          <w:rPr>
            <w:rFonts w:ascii="Garamond" w:hAnsi="Garamond"/>
            <w:sz w:val="22"/>
            <w:szCs w:val="22"/>
          </w:rPr>
          <w:delText xml:space="preserve">s, though </w:delText>
        </w:r>
      </w:del>
      <w:del w:id="13" w:author="Benjamin J. Makhlouf" w:date="2026-06-18T19:18:00Z" w16du:dateUtc="2026-06-19T02:18:00Z">
        <w:r w:rsidR="006B75B5" w:rsidRPr="00571049" w:rsidDel="006B75B5">
          <w:rPr>
            <w:rFonts w:ascii="Garamond" w:hAnsi="Garamond"/>
            <w:sz w:val="22"/>
            <w:szCs w:val="22"/>
          </w:rPr>
          <w:delText>conservation–harvest tradeoffs varied.</w:delText>
        </w:r>
      </w:del>
      <w:ins w:id="14" w:author="Benjamin J. Makhlouf" w:date="2026-06-18T19:20:00Z" w16du:dateUtc="2026-06-19T02:20:00Z">
        <w:r w:rsidR="006B75B5">
          <w:rPr>
            <w:rFonts w:ascii="Garamond" w:hAnsi="Garamond"/>
            <w:sz w:val="22"/>
            <w:szCs w:val="22"/>
          </w:rPr>
          <w:t xml:space="preserve"> </w:t>
        </w:r>
      </w:ins>
      <w:ins w:id="15" w:author="Benjamin J. Makhlouf" w:date="2026-06-18T19:16:00Z" w16du:dateUtc="2026-06-19T02:16:00Z">
        <w:r w:rsidR="006B75B5">
          <w:rPr>
            <w:rFonts w:ascii="Garamond" w:hAnsi="Garamond"/>
            <w:sz w:val="22"/>
            <w:szCs w:val="22"/>
          </w:rPr>
          <w:t>watershed stocks</w:t>
        </w:r>
      </w:ins>
      <w:ins w:id="16" w:author="Benjamin J. Makhlouf" w:date="2026-06-18T19:20:00Z" w16du:dateUtc="2026-06-19T02:20:00Z">
        <w:r w:rsidR="006B75B5">
          <w:rPr>
            <w:rFonts w:ascii="Garamond" w:hAnsi="Garamond"/>
            <w:sz w:val="22"/>
            <w:szCs w:val="22"/>
          </w:rPr>
          <w:t xml:space="preserve"> </w:t>
        </w:r>
      </w:ins>
      <w:ins w:id="17"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18"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19" w:author="Benjamin J. Makhlouf" w:date="2026-06-18T19:22:00Z" w16du:dateUtc="2026-06-19T02:22:00Z"/>
          <w:rFonts w:ascii="Garamond" w:hAnsi="Garamond"/>
          <w:sz w:val="22"/>
          <w:szCs w:val="22"/>
        </w:rPr>
      </w:pPr>
      <w:del w:id="20" w:author="Benjamin J. Makhlouf" w:date="2026-06-18T19:17:00Z" w16du:dateUtc="2026-06-19T02:17:00Z">
        <w:r w:rsidRPr="00571049" w:rsidDel="006B75B5">
          <w:rPr>
            <w:rFonts w:ascii="Garamond" w:hAnsi="Garamond"/>
            <w:sz w:val="22"/>
            <w:szCs w:val="22"/>
          </w:rPr>
          <w:delText>This pattern was consistent across years</w:delText>
        </w:r>
      </w:del>
      <w:del w:id="21" w:author="Benjamin J. Makhlouf" w:date="2026-06-18T19:13:00Z" w16du:dateUtc="2026-06-19T02:13:00Z">
        <w:r w:rsidRPr="00571049" w:rsidDel="006B75B5">
          <w:rPr>
            <w:rFonts w:ascii="Garamond" w:hAnsi="Garamond"/>
            <w:sz w:val="22"/>
            <w:szCs w:val="22"/>
          </w:rPr>
          <w:delText>,</w:delText>
        </w:r>
      </w:del>
      <w:del w:id="22" w:author="Benjamin J. Makhlouf" w:date="2026-06-18T19:17:00Z" w16du:dateUtc="2026-06-19T02:17:00Z">
        <w:r w:rsidRPr="00571049" w:rsidDel="006B75B5">
          <w:rPr>
            <w:rFonts w:ascii="Garamond" w:hAnsi="Garamond"/>
            <w:sz w:val="22"/>
            <w:szCs w:val="22"/>
          </w:rPr>
          <w:delText xml:space="preserve"> </w:delText>
        </w:r>
      </w:del>
      <w:del w:id="23" w:author="Benjamin J. Makhlouf" w:date="2026-06-18T19:07:00Z" w16du:dateUtc="2026-06-19T02:07:00Z">
        <w:r w:rsidRPr="00571049" w:rsidDel="004D7CC1">
          <w:rPr>
            <w:rFonts w:ascii="Garamond" w:hAnsi="Garamond"/>
            <w:sz w:val="22"/>
            <w:szCs w:val="22"/>
          </w:rPr>
          <w:delText xml:space="preserve">though </w:delText>
        </w:r>
      </w:del>
      <w:del w:id="24" w:author="Benjamin J. Makhlouf" w:date="2026-06-18T19:08:00Z" w16du:dateUtc="2026-06-19T02:08:00Z">
        <w:r w:rsidRPr="00571049" w:rsidDel="004D7CC1">
          <w:rPr>
            <w:rFonts w:ascii="Garamond" w:hAnsi="Garamond"/>
            <w:sz w:val="22"/>
            <w:szCs w:val="22"/>
          </w:rPr>
          <w:delText>magnitude of contribution and run timing varied</w:delText>
        </w:r>
      </w:del>
      <w:del w:id="25" w:author="Benjamin J. Makhlouf" w:date="2026-06-18T19:14:00Z" w16du:dateUtc="2026-06-19T02:14:00Z">
        <w:r w:rsidRPr="00571049" w:rsidDel="006B75B5">
          <w:rPr>
            <w:rFonts w:ascii="Garamond" w:hAnsi="Garamond"/>
            <w:sz w:val="22"/>
            <w:szCs w:val="22"/>
          </w:rPr>
          <w:delText xml:space="preserve">, </w:delText>
        </w:r>
      </w:del>
      <w:del w:id="26"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7" w:author="Benjamin J. Makhlouf" w:date="2026-06-18T19:11:00Z" w16du:dateUtc="2026-06-19T02:11:00Z">
        <w:r w:rsidRPr="00571049" w:rsidDel="004D7CC1">
          <w:rPr>
            <w:rFonts w:ascii="Garamond" w:hAnsi="Garamond"/>
            <w:sz w:val="22"/>
            <w:szCs w:val="22"/>
          </w:rPr>
          <w:delText>processes</w:delText>
        </w:r>
      </w:del>
      <w:del w:id="28" w:author="Benjamin J. Makhlouf" w:date="2026-06-18T19:09:00Z" w16du:dateUtc="2026-06-19T02:09:00Z">
        <w:r w:rsidRPr="00571049" w:rsidDel="004D7CC1">
          <w:rPr>
            <w:rFonts w:ascii="Garamond" w:hAnsi="Garamond"/>
            <w:sz w:val="22"/>
            <w:szCs w:val="22"/>
          </w:rPr>
          <w:delText xml:space="preserve"> influencing efficacy</w:delText>
        </w:r>
      </w:del>
      <w:del w:id="29" w:author="Benjamin J. Makhlouf" w:date="2026-06-18T19:14:00Z" w16du:dateUtc="2026-06-19T02:14:00Z">
        <w:r w:rsidRPr="00571049" w:rsidDel="006B75B5">
          <w:rPr>
            <w:rFonts w:ascii="Garamond" w:hAnsi="Garamond"/>
            <w:sz w:val="22"/>
            <w:szCs w:val="22"/>
          </w:rPr>
          <w:delText>.</w:delText>
        </w:r>
      </w:del>
      <w:del w:id="30"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11253A5E" w:rsidR="00FA76AC" w:rsidRPr="008605CB" w:rsidRDefault="00FA76AC" w:rsidP="003E5F1E">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1" w:author="Benjamin J. Makhlouf" w:date="2026-06-22T09:50:00Z" w16du:dateUtc="2026-06-22T16:50:00Z">
        <w:r w:rsidR="003E5F1E">
          <w:rPr>
            <w:rFonts w:ascii="Garamond" w:hAnsi="Garamond" w:cs="Times New Roman"/>
          </w:rPr>
          <w:t xml:space="preserve"> </w:t>
        </w:r>
      </w:ins>
      <w:ins w:id="32" w:author="Benjamin J. Makhlouf" w:date="2026-06-22T09:53:00Z" w16du:dateUtc="2026-06-22T16:53:00Z">
        <w:r w:rsidR="003E5F1E">
          <w:rPr>
            <w:rFonts w:ascii="Garamond" w:hAnsi="Garamond" w:cs="Times New Roman"/>
          </w:rPr>
          <w:t xml:space="preserve">, </w:t>
        </w:r>
      </w:ins>
      <w:ins w:id="33" w:author="Benjamin J. Makhlouf" w:date="2026-06-22T09:50:00Z" w16du:dateUtc="2026-06-22T16:50:00Z">
        <w:r w:rsidR="003E5F1E">
          <w:rPr>
            <w:rFonts w:ascii="Garamond" w:hAnsi="Garamond" w:cs="Times New Roman"/>
          </w:rPr>
          <w:t xml:space="preserve">which exposes them to </w:t>
        </w:r>
      </w:ins>
      <w:ins w:id="34" w:author="Benjamin J. Makhlouf" w:date="2026-06-22T09:51:00Z" w16du:dateUtc="2026-06-22T16:51:00Z">
        <w:r w:rsidR="003E5F1E">
          <w:rPr>
            <w:rFonts w:ascii="Garamond" w:hAnsi="Garamond" w:cs="Times New Roman"/>
          </w:rPr>
          <w:lastRenderedPageBreak/>
          <w:t>extended fishing pressure</w:t>
        </w:r>
      </w:ins>
      <w:ins w:id="35" w:author="Benjamin J. Makhlouf" w:date="2026-06-22T09:53:00Z" w16du:dateUtc="2026-06-22T16:53:00Z">
        <w:r w:rsidR="003E5F1E">
          <w:rPr>
            <w:rFonts w:ascii="Garamond" w:hAnsi="Garamond" w:cs="Times New Roman"/>
          </w:rPr>
          <w:t xml:space="preserve"> and environmental stressors throughout their return migration. </w:t>
        </w:r>
      </w:ins>
      <w:ins w:id="36" w:author="Benjamin J. Makhlouf" w:date="2026-06-22T09:56:00Z" w16du:dateUtc="2026-06-22T16:56:00Z">
        <w:r w:rsidR="003E5F1E">
          <w:rPr>
            <w:rFonts w:ascii="Garamond" w:hAnsi="Garamond" w:cs="Times New Roman"/>
          </w:rPr>
          <w:t>E</w:t>
        </w:r>
      </w:ins>
      <w:ins w:id="37" w:author="Benjamin J. Makhlouf" w:date="2026-06-22T09:54:00Z" w16du:dateUtc="2026-06-22T16:54:00Z">
        <w:r w:rsidR="003E5F1E">
          <w:rPr>
            <w:rFonts w:ascii="Garamond" w:hAnsi="Garamond" w:cs="Times New Roman"/>
          </w:rPr>
          <w:t>arly migrating populations with extended migration durations</w:t>
        </w:r>
      </w:ins>
      <w:ins w:id="38" w:author="Benjamin J. Makhlouf" w:date="2026-06-22T09:56:00Z" w16du:dateUtc="2026-06-22T16:56:00Z">
        <w:r w:rsidR="003E5F1E">
          <w:rPr>
            <w:rFonts w:ascii="Garamond" w:hAnsi="Garamond" w:cs="Times New Roman"/>
          </w:rPr>
          <w:t xml:space="preserve"> in other systems</w:t>
        </w:r>
      </w:ins>
      <w:ins w:id="39" w:author="Benjamin J. Makhlouf" w:date="2026-06-22T09:54:00Z" w16du:dateUtc="2026-06-22T16:54:00Z">
        <w:r w:rsidR="003E5F1E">
          <w:rPr>
            <w:rFonts w:ascii="Garamond" w:hAnsi="Garamond" w:cs="Times New Roman"/>
          </w:rPr>
          <w:t xml:space="preserve"> have been associated with a heightened risk of declining abundance, suggesting that upper Kuskokwim populations may face higher conservation risk </w:t>
        </w:r>
        <w:r w:rsidR="003E5F1E" w:rsidRPr="003E5F1E">
          <w:rPr>
            <w:rFonts w:ascii="Garamond" w:hAnsi="Garamond" w:cs="Times New Roman"/>
            <w:highlight w:val="yellow"/>
            <w:rPrChange w:id="40" w:author="Benjamin J. Makhlouf" w:date="2026-06-22T09:56:00Z" w16du:dateUtc="2026-06-22T16:56:00Z">
              <w:rPr>
                <w:rFonts w:ascii="Garamond" w:hAnsi="Garamond" w:cs="Times New Roman"/>
              </w:rPr>
            </w:rPrChange>
          </w:rPr>
          <w:t>(Atlas et al., 2023).</w:t>
        </w:r>
      </w:ins>
      <w:del w:id="41" w:author="Benjamin J. Makhlouf" w:date="2026-06-22T09:50:00Z" w16du:dateUtc="2026-06-22T16:50:00Z">
        <w:r w:rsidRPr="003E5F1E" w:rsidDel="003E5F1E">
          <w:rPr>
            <w:rFonts w:ascii="Garamond" w:hAnsi="Garamond" w:cs="Times New Roman"/>
            <w:highlight w:val="yellow"/>
            <w:rPrChange w:id="42"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3" w:author="Benjamin J. Makhlouf" w:date="2026-06-22T09:56:00Z" w16du:dateUtc="2026-06-22T16:56:00Z">
              <w:rPr>
                <w:rFonts w:ascii="Garamond" w:hAnsi="Garamond"/>
              </w:rPr>
            </w:rPrChange>
          </w:rPr>
          <w:delText xml:space="preserve">and sequential nature of large river salmon fisheries </w:delText>
        </w:r>
      </w:del>
      <w:r w:rsidRPr="003E5F1E">
        <w:rPr>
          <w:rFonts w:ascii="Garamond" w:hAnsi="Garamond" w:cs="Times New Roman"/>
          <w:highlight w:val="yellow"/>
          <w:rPrChange w:id="44" w:author="Benjamin J. Makhlouf" w:date="2026-06-22T09:56:00Z" w16du:dateUtc="2026-06-22T16:56:00Z">
            <w:rPr>
              <w:rFonts w:ascii="Garamond" w:hAnsi="Garamond" w:cs="Times New Roman"/>
            </w:rPr>
          </w:rPrChange>
        </w:rPr>
        <w:fldChar w:fldCharType="begin"/>
      </w:r>
      <w:r w:rsidRPr="003E5F1E">
        <w:rPr>
          <w:rFonts w:ascii="Garamond" w:hAnsi="Garamond" w:cs="Times New Roman"/>
          <w:highlight w:val="yellow"/>
          <w:rPrChange w:id="45" w:author="Benjamin J. Makhlouf" w:date="2026-06-22T09:56:00Z" w16du:dateUtc="2026-06-22T16:56:00Z">
            <w:rPr>
              <w:rFonts w:ascii="Garamond" w:hAnsi="Garamond" w:cs="Times New Roman"/>
            </w:rPr>
          </w:rPrChange>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Pr="003E5F1E">
        <w:rPr>
          <w:rFonts w:ascii="Cambria Math" w:hAnsi="Cambria Math" w:cs="Cambria Math"/>
          <w:highlight w:val="yellow"/>
          <w:rPrChange w:id="46" w:author="Benjamin J. Makhlouf" w:date="2026-06-22T09:56:00Z" w16du:dateUtc="2026-06-22T16:56:00Z">
            <w:rPr>
              <w:rFonts w:ascii="Cambria Math" w:hAnsi="Cambria Math" w:cs="Cambria Math"/>
            </w:rPr>
          </w:rPrChange>
        </w:rPr>
        <w:instrText>‐</w:instrText>
      </w:r>
      <w:r w:rsidRPr="003E5F1E">
        <w:rPr>
          <w:rFonts w:ascii="Garamond" w:hAnsi="Garamond" w:cs="Times New Roman"/>
          <w:highlight w:val="yellow"/>
          <w:rPrChange w:id="47" w:author="Benjamin J. Makhlouf" w:date="2026-06-22T09:56:00Z" w16du:dateUtc="2026-06-22T16:56:00Z">
            <w:rPr>
              <w:rFonts w:ascii="Garamond" w:hAnsi="Garamond" w:cs="Times New Roman"/>
            </w:rPr>
          </w:rPrChange>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Pr="003E5F1E">
        <w:rPr>
          <w:rFonts w:ascii="Garamond" w:hAnsi="Garamond" w:cs="Times New Roman"/>
          <w:highlight w:val="yellow"/>
          <w:rPrChange w:id="48" w:author="Benjamin J. Makhlouf" w:date="2026-06-22T09:56:00Z" w16du:dateUtc="2026-06-22T16:56:00Z">
            <w:rPr>
              <w:rFonts w:ascii="Garamond" w:hAnsi="Garamond" w:cs="Times New Roman"/>
            </w:rPr>
          </w:rPrChange>
        </w:rPr>
        <w:fldChar w:fldCharType="separate"/>
      </w:r>
      <w:r w:rsidRPr="003E5F1E">
        <w:rPr>
          <w:rFonts w:ascii="Garamond" w:hAnsi="Garamond" w:cs="Times New Roman"/>
          <w:noProof/>
          <w:highlight w:val="yellow"/>
          <w:rPrChange w:id="49" w:author="Benjamin J. Makhlouf" w:date="2026-06-22T09:56:00Z" w16du:dateUtc="2026-06-22T16:56:00Z">
            <w:rPr>
              <w:rFonts w:ascii="Garamond" w:hAnsi="Garamond" w:cs="Times New Roman"/>
              <w:noProof/>
            </w:rPr>
          </w:rPrChange>
        </w:rPr>
        <w:t>(e.g. Hamazaki, 2008)</w:t>
      </w:r>
      <w:r w:rsidRPr="003E5F1E">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end"/>
      </w:r>
      <w:r>
        <w:rPr>
          <w:rFonts w:ascii="Garamond" w:hAnsi="Garamond" w:cs="Times New Roman"/>
        </w:rPr>
        <w:t xml:space="preserve">. </w:t>
      </w:r>
      <w:ins w:id="51" w:author="Benjamin J. Makhlouf" w:date="2026-06-19T15:17:00Z">
        <w:r w:rsidR="00171E1A" w:rsidRPr="00171E1A">
          <w:rPr>
            <w:rFonts w:ascii="Garamond" w:hAnsi="Garamond" w:cs="Times New Roman"/>
          </w:rPr>
          <w:t xml:space="preserve">However, the timing, yield, and duration of downstream fisheries are shaped by the combined dynamics of the multiple upstream </w:t>
        </w:r>
      </w:ins>
      <w:ins w:id="52" w:author="Benjamin J. Makhlouf" w:date="2026-06-19T15:17:00Z" w16du:dateUtc="2026-06-19T22:17:00Z">
        <w:r w:rsidR="00171E1A">
          <w:rPr>
            <w:rFonts w:ascii="Garamond" w:hAnsi="Garamond" w:cs="Times New Roman"/>
          </w:rPr>
          <w:t>sub-</w:t>
        </w:r>
      </w:ins>
      <w:ins w:id="53" w:author="Benjamin J. Makhlouf" w:date="2026-06-19T15:17:00Z">
        <w:r w:rsidR="00171E1A" w:rsidRPr="00171E1A">
          <w:rPr>
            <w:rFonts w:ascii="Garamond" w:hAnsi="Garamond" w:cs="Times New Roman"/>
          </w:rPr>
          <w:t>populations that contribute fish to those fisheries</w:t>
        </w:r>
      </w:ins>
      <w:ins w:id="54" w:author="Benjamin J. Makhlouf" w:date="2026-06-19T15:17:00Z" w16du:dateUtc="2026-06-19T22:17:00Z">
        <w:r w:rsidR="00171E1A">
          <w:rPr>
            <w:rFonts w:ascii="Garamond" w:hAnsi="Garamond" w:cs="Times New Roman"/>
          </w:rPr>
          <w:t xml:space="preserve">. </w:t>
        </w:r>
      </w:ins>
      <w:del w:id="55" w:author="Benjamin J. Makhlouf" w:date="2026-06-19T15:17:00Z" w16du:dateUtc="2026-06-19T22:17:00Z">
        <w:r w:rsidDel="00171E1A">
          <w:rPr>
            <w:rFonts w:ascii="Garamond" w:hAnsi="Garamond" w:cs="Times New Roman"/>
          </w:rPr>
          <w:delText xml:space="preserve">However, the timing, yield, and duration of downstream fisheries are the result of the aggregate dynamics of these upstream components </w:delText>
        </w:r>
      </w:del>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w:t>
      </w:r>
      <w:ins w:id="56" w:author="Benjamin J. Makhlouf" w:date="2026-06-19T15:15:00Z" w16du:dateUtc="2026-06-19T22:15:00Z">
        <w:r w:rsidR="00171E1A">
          <w:rPr>
            <w:rFonts w:ascii="Garamond" w:hAnsi="Garamond" w:cs="Times New Roman"/>
          </w:rPr>
          <w:t xml:space="preserve"> </w:t>
        </w:r>
      </w:ins>
      <w:ins w:id="57" w:author="Benjamin J. Makhlouf" w:date="2026-06-19T15:18:00Z">
        <w:r w:rsidR="00171E1A" w:rsidRPr="00171E1A">
          <w:rPr>
            <w:rFonts w:ascii="Garamond" w:hAnsi="Garamond" w:cs="Times New Roman"/>
          </w:rPr>
          <w:t xml:space="preserve">For example, diversity in return timing among upstream populations may extend the duration of downstream fishing opportunities relative to a more homogenized stock complex in which fish return </w:t>
        </w:r>
      </w:ins>
      <w:ins w:id="58" w:author="Benjamin J. Makhlouf" w:date="2026-06-19T15:18:00Z" w16du:dateUtc="2026-06-19T22:18:00Z">
        <w:r w:rsidR="00171E1A" w:rsidRPr="00171E1A">
          <w:rPr>
            <w:rFonts w:ascii="Garamond" w:hAnsi="Garamond" w:cs="Times New Roman"/>
          </w:rPr>
          <w:t>simultaneously.</w:t>
        </w:r>
        <w:r w:rsidR="00171E1A">
          <w:rPr>
            <w:rFonts w:ascii="Garamond" w:hAnsi="Garamond" w:cs="Times New Roman"/>
          </w:rPr>
          <w:t xml:space="preserve"> </w:t>
        </w:r>
      </w:ins>
      <w:ins w:id="59" w:author="Benjamin J. Makhlouf" w:date="2026-06-19T15:21:00Z">
        <w:r w:rsidR="00171E1A" w:rsidRPr="00171E1A">
          <w:rPr>
            <w:rFonts w:ascii="Garamond" w:hAnsi="Garamond" w:cs="Times New Roman"/>
          </w:rPr>
          <w:t>Further, maintaining life-history diversity across the full stock complex enhances ecosystem resilience by spreading risk across space and time. This</w:t>
        </w:r>
      </w:ins>
      <w:ins w:id="60" w:author="Benjamin J. Makhlouf" w:date="2026-06-19T15:21:00Z" w16du:dateUtc="2026-06-19T22:21:00Z">
        <w:r w:rsidR="00171E1A">
          <w:rPr>
            <w:rFonts w:ascii="Garamond" w:hAnsi="Garamond" w:cs="Times New Roman"/>
          </w:rPr>
          <w:t>, in turn,</w:t>
        </w:r>
      </w:ins>
      <w:ins w:id="61" w:author="Benjamin J. Makhlouf" w:date="2026-06-19T15:21:00Z">
        <w:r w:rsidR="00171E1A" w:rsidRPr="00171E1A">
          <w:rPr>
            <w:rFonts w:ascii="Garamond" w:hAnsi="Garamond" w:cs="Times New Roman"/>
          </w:rPr>
          <w:t xml:space="preserve"> result</w:t>
        </w:r>
      </w:ins>
      <w:ins w:id="62" w:author="Benjamin J. Makhlouf" w:date="2026-06-19T15:21:00Z" w16du:dateUtc="2026-06-19T22:21:00Z">
        <w:r w:rsidR="00171E1A">
          <w:rPr>
            <w:rFonts w:ascii="Garamond" w:hAnsi="Garamond" w:cs="Times New Roman"/>
          </w:rPr>
          <w:t>s</w:t>
        </w:r>
      </w:ins>
      <w:ins w:id="63" w:author="Benjamin J. Makhlouf" w:date="2026-06-19T15:21:00Z">
        <w:r w:rsidR="00171E1A" w:rsidRPr="00171E1A">
          <w:rPr>
            <w:rFonts w:ascii="Garamond" w:hAnsi="Garamond" w:cs="Times New Roman"/>
          </w:rPr>
          <w:t xml:space="preserve"> in more reliable delivery of ecosystem services by reducing interannual variability in the abundance of returning fish at the watershed scale</w:t>
        </w:r>
      </w:ins>
      <w:ins w:id="64" w:author="Benjamin J. Makhlouf" w:date="2026-06-19T15:21:00Z" w16du:dateUtc="2026-06-19T22:21:00Z">
        <w:r w:rsidR="00171E1A">
          <w:rPr>
            <w:rFonts w:ascii="Garamond" w:hAnsi="Garamond" w:cs="Times New Roman"/>
          </w:rPr>
          <w:t xml:space="preserve"> </w:t>
        </w:r>
      </w:ins>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Designing strategies which explicitly consider and protect this biodiversity, including vulnerable upstream populations, therefore contributes to stabilizing downstream fishery resources</w:t>
      </w:r>
      <w:ins w:id="65" w:author="Benjamin J. Makhlouf" w:date="2026-06-19T15:31:00Z" w16du:dateUtc="2026-06-19T22:31:00Z">
        <w:r w:rsidR="00425BAB">
          <w:rPr>
            <w:rFonts w:ascii="Garamond" w:hAnsi="Garamond" w:cs="Times New Roman"/>
          </w:rPr>
          <w:t xml:space="preserve"> both within and among years</w:t>
        </w:r>
      </w:ins>
      <w:r>
        <w:rPr>
          <w:rFonts w:ascii="Garamond" w:hAnsi="Garamond" w:cs="Times New Roman"/>
        </w:rPr>
        <w:t xml:space="preserve">. </w:t>
      </w:r>
    </w:p>
    <w:p w14:paraId="53256603" w14:textId="3AB75814" w:rsidR="00507803" w:rsidRPr="008605CB" w:rsidRDefault="00720B50" w:rsidP="00FA76AC">
      <w:pPr>
        <w:spacing w:line="480" w:lineRule="auto"/>
        <w:ind w:firstLine="720"/>
        <w:rPr>
          <w:rFonts w:ascii="Garamond" w:hAnsi="Garamond" w:cs="Times New Roman"/>
        </w:rPr>
      </w:pPr>
      <w:ins w:id="66" w:author="Benjamin J. Makhlouf" w:date="2026-06-18T14:25:00Z" w16du:dateUtc="2026-06-18T21:25:00Z">
        <w:r>
          <w:rPr>
            <w:rFonts w:ascii="Garamond" w:hAnsi="Garamond" w:cs="Times New Roman"/>
          </w:rPr>
          <w:t>W</w:t>
        </w:r>
      </w:ins>
      <w:del w:id="67"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w:t>
      </w:r>
      <w:r w:rsidR="00507803">
        <w:rPr>
          <w:rFonts w:ascii="Garamond" w:hAnsi="Garamond" w:cs="Times New Roman"/>
        </w:rPr>
        <w:lastRenderedPageBreak/>
        <w:t xml:space="preserve">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68"/>
      <w:r w:rsidR="00507803">
        <w:rPr>
          <w:rFonts w:ascii="Garamond" w:hAnsi="Garamond" w:cs="Times New Roman"/>
        </w:rPr>
        <w:t>Subsistence</w:t>
      </w:r>
      <w:commentRangeEnd w:id="68"/>
      <w:r w:rsidR="005A4F22">
        <w:rPr>
          <w:rStyle w:val="CommentReference"/>
          <w:rFonts w:ascii="Garamond" w:hAnsi="Garamond" w:cs="Times New Roman"/>
          <w:sz w:val="24"/>
          <w:szCs w:val="24"/>
        </w:rPr>
        <w:commentReference w:id="68"/>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6F7EA299" w14:textId="385A44E1" w:rsidR="005A4F22" w:rsidRPr="00425BAB" w:rsidRDefault="00507803" w:rsidP="00425BAB">
      <w:pPr>
        <w:spacing w:line="480" w:lineRule="auto"/>
        <w:ind w:firstLine="720"/>
        <w:rPr>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be returning to spawn in the furthest upstream regions of the Kuskokwim River. </w:t>
      </w:r>
      <w:ins w:id="69" w:author="Benjamin J. Makhlouf" w:date="2026-06-19T15:33:00Z" w16du:dateUtc="2026-06-19T22:33:00Z">
        <w:r w:rsidR="00425BAB">
          <w:rPr>
            <w:rFonts w:ascii="Garamond" w:hAnsi="Garamond" w:cs="Times New Roman"/>
          </w:rPr>
          <w:t>In doing so</w:t>
        </w:r>
      </w:ins>
      <w:ins w:id="70" w:author="Benjamin J. Makhlouf" w:date="2026-06-19T15:34:00Z" w16du:dateUtc="2026-06-19T22:34:00Z">
        <w:r w:rsidR="00425BAB">
          <w:rPr>
            <w:rFonts w:ascii="Garamond" w:hAnsi="Garamond" w:cs="Times New Roman"/>
          </w:rPr>
          <w:t xml:space="preserve">, managers aim to </w:t>
        </w:r>
      </w:ins>
      <w:moveToRangeStart w:id="71" w:author="Benjamin J. Makhlouf" w:date="2026-06-19T15:33:00Z" w:name="move232775618"/>
      <w:moveTo w:id="72" w:author="Benjamin J. Makhlouf" w:date="2026-06-19T15:33:00Z" w16du:dateUtc="2026-06-19T22:33:00Z">
        <w:del w:id="73"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 provide more equitable harvest opportunities to upstream communities, and protect upper river stocks which are at heightened risk of overharvest but contribute disproportionately to stabilizing downstream fishery dynamics.</w:t>
        </w:r>
      </w:moveTo>
      <w:moveToRangeEnd w:id="71"/>
      <w:ins w:id="74" w:author="Benjamin J. Makhlouf" w:date="2026-06-19T15:35:00Z" w16du:dateUtc="2026-06-19T22:35:00Z">
        <w:r w:rsidR="00425BAB">
          <w:rPr>
            <w:rFonts w:ascii="Garamond" w:hAnsi="Garamond" w:cs="Times New Roman"/>
          </w:rPr>
          <w:t xml:space="preserve"> The relationship between return timing and watershed position underpinning this strategy  </w:t>
        </w:r>
      </w:ins>
      <w:del w:id="75" w:author="Benjamin J. Makhlouf" w:date="2026-06-19T15:35:00Z" w16du:dateUtc="2026-06-19T22:35:00Z">
        <w:r w:rsidDel="00425BAB">
          <w:rPr>
            <w:rFonts w:ascii="Garamond" w:hAnsi="Garamond" w:cs="Times New Roman"/>
          </w:rPr>
          <w:delText xml:space="preserve">This assumption </w:delText>
        </w:r>
      </w:del>
      <w:r>
        <w:rPr>
          <w:rFonts w:ascii="Garamond" w:hAnsi="Garamond" w:cs="Times New Roman"/>
        </w:rPr>
        <w:t xml:space="preserve">is </w:t>
      </w:r>
      <w:ins w:id="76" w:author="Benjamin J. Makhlouf" w:date="2026-06-19T15:35:00Z" w16du:dateUtc="2026-06-19T22:35:00Z">
        <w:r w:rsidR="00425BAB">
          <w:rPr>
            <w:rFonts w:ascii="Garamond" w:hAnsi="Garamond" w:cs="Times New Roman"/>
          </w:rPr>
          <w:t xml:space="preserve">based on </w:t>
        </w:r>
      </w:ins>
      <w:del w:id="77" w:author="Benjamin J. Makhlouf" w:date="2026-06-19T15:35:00Z" w16du:dateUtc="2026-06-19T22:35:00Z">
        <w:r w:rsidDel="00425BAB">
          <w:rPr>
            <w:rFonts w:ascii="Garamond" w:hAnsi="Garamond" w:cs="Times New Roman"/>
          </w:rPr>
          <w:delText>bolstered by</w:delText>
        </w:r>
      </w:del>
      <w:r>
        <w:rPr>
          <w:rFonts w:ascii="Garamond" w:hAnsi="Garamond" w:cs="Times New Roman"/>
        </w:rPr>
        <w:t xml:space="preserve"> patterns observed in other systems </w:t>
      </w:r>
      <w:r>
        <w:rPr>
          <w:rFonts w:ascii="Garamond" w:hAnsi="Garamond" w:cs="Times New Roman"/>
        </w:rPr>
        <w:fldChar w:fldCharType="begin"/>
      </w:r>
      <w:r>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rPr>
        <w:instrText>‐</w:instrText>
      </w:r>
      <w:r>
        <w:rPr>
          <w:rFonts w:ascii="Garamond" w:hAnsi="Garamond" w:cs="Times New Roman"/>
        </w:rPr>
        <w:instrText>wide effects of body size, sex, spawning location, and year on the timing of spawning</w:instrText>
      </w:r>
      <w:r>
        <w:rPr>
          <w:rFonts w:ascii="Cambria Math" w:hAnsi="Cambria Math" w:cs="Cambria Math"/>
        </w:rPr>
        <w:instrText>‐</w:instrText>
      </w:r>
      <w:r>
        <w:rPr>
          <w:rFonts w:ascii="Garamond" w:hAnsi="Garamond" w:cs="Times New Roman"/>
        </w:rPr>
        <w:instrText>run migration into the Togiak River. Migration data and spawning fate were collected using radiotelemetry and analyzed with mixed effects models to account for among</w:instrText>
      </w:r>
      <w:r>
        <w:rPr>
          <w:rFonts w:ascii="Cambria Math" w:hAnsi="Cambria Math" w:cs="Cambria Math"/>
        </w:rPr>
        <w:instrText>‐</w:instrText>
      </w:r>
      <w:r>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cs="Times New Roman"/>
        </w:rPr>
        <w:fldChar w:fldCharType="separate"/>
      </w:r>
      <w:r>
        <w:rPr>
          <w:rFonts w:ascii="Garamond" w:hAnsi="Garamond" w:cs="Times New Roman"/>
          <w:noProof/>
        </w:rPr>
        <w:t>(S. C. Clark et al., 2015)</w:t>
      </w:r>
      <w:r>
        <w:rPr>
          <w:rFonts w:ascii="Garamond" w:hAnsi="Garamond" w:cs="Times New Roman"/>
        </w:rPr>
        <w:fldChar w:fldCharType="end"/>
      </w:r>
      <w:r>
        <w:rPr>
          <w:rFonts w:ascii="Garamond" w:hAnsi="Garamond" w:cs="Times New Roman"/>
        </w:rPr>
        <w:t xml:space="preserve">, </w:t>
      </w:r>
      <w:del w:id="78" w:author="Benjamin J. Makhlouf" w:date="2026-06-19T15:36:00Z" w16du:dateUtc="2026-06-19T22:36:00Z">
        <w:r w:rsidDel="00425BAB">
          <w:rPr>
            <w:rFonts w:ascii="Garamond" w:hAnsi="Garamond" w:cs="Times New Roman"/>
          </w:rPr>
          <w:delText xml:space="preserve">supported by </w:delText>
        </w:r>
      </w:del>
      <w:r>
        <w:rPr>
          <w:rFonts w:ascii="Garamond" w:hAnsi="Garamond" w:cs="Times New Roman"/>
        </w:rPr>
        <w:t xml:space="preserve">telemetry data in the Kuskokwim </w:t>
      </w:r>
      <w:r>
        <w:rPr>
          <w:rFonts w:ascii="Garamond" w:hAnsi="Garamond" w:cs="Times New Roman"/>
        </w:rPr>
        <w:fldChar w:fldCharType="begin"/>
      </w:r>
      <w:r>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Pr>
          <w:rFonts w:ascii="Garamond" w:hAnsi="Garamond" w:cs="Times New Roman"/>
        </w:rPr>
        <w:fldChar w:fldCharType="separate"/>
      </w:r>
      <w:r>
        <w:rPr>
          <w:rFonts w:ascii="Garamond" w:hAnsi="Garamond" w:cs="Times New Roman"/>
          <w:noProof/>
        </w:rPr>
        <w:t>(J. N. Clark &amp; Smith, 2019; Head et al., 2017; Smith &amp; Liller, 2017a, 2017b)</w:t>
      </w:r>
      <w:r>
        <w:rPr>
          <w:rFonts w:ascii="Garamond" w:hAnsi="Garamond" w:cs="Times New Roman"/>
        </w:rPr>
        <w:fldChar w:fldCharType="end"/>
      </w:r>
      <w:r>
        <w:rPr>
          <w:rFonts w:ascii="Garamond" w:hAnsi="Garamond" w:cs="Times New Roman"/>
        </w:rPr>
        <w:t xml:space="preserve">, and further motivated by traditional and local knowledge held by Tribal citizens and stakeholders. </w:t>
      </w:r>
      <w:moveFromRangeStart w:id="79" w:author="Benjamin J. Makhlouf" w:date="2026-06-19T15:33:00Z" w:name="move232775618"/>
      <w:moveFrom w:id="80" w:author="Benjamin J. Makhlouf" w:date="2026-06-19T15:33:00Z" w16du:dateUtc="2026-06-19T22:33:00Z">
        <w:r w:rsidDel="00425BAB">
          <w:rPr>
            <w:rFonts w:ascii="Garamond" w:hAnsi="Garamond" w:cs="Times New Roman"/>
          </w:rPr>
          <w: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t>
        </w:r>
      </w:moveFrom>
      <w:moveFromRangeEnd w:id="79"/>
      <w:ins w:id="81" w:author="Benjamin J. Makhlouf" w:date="2026-06-19T15:36:00Z" w16du:dateUtc="2026-06-19T22:36:00Z">
        <w:r w:rsidR="00425BAB">
          <w:rPr>
            <w:rFonts w:ascii="Garamond" w:hAnsi="Garamond" w:cs="Times New Roman"/>
          </w:rPr>
          <w:t xml:space="preserve">However, </w:t>
        </w:r>
      </w:ins>
      <w:ins w:id="82" w:author="Benjamin J. Makhlouf" w:date="2026-06-18T18:33:00Z">
        <w:r w:rsidR="002B1F16" w:rsidRPr="002B1F16">
          <w:rPr>
            <w:rFonts w:ascii="Garamond" w:hAnsi="Garamond" w:cs="Times New Roman"/>
          </w:rPr>
          <w:t>the spatial ecology of Chinook salmon in the Kuskokwim River basin remains poorly understood at the watershed scale</w:t>
        </w:r>
      </w:ins>
      <w:ins w:id="83" w:author="Benjamin J. Makhlouf" w:date="2026-06-19T15:36:00Z" w16du:dateUtc="2026-06-19T22:36:00Z">
        <w:r w:rsidR="00425BAB">
          <w:rPr>
            <w:rFonts w:ascii="Garamond" w:hAnsi="Garamond" w:cs="Times New Roman"/>
          </w:rPr>
          <w:t>. As a result,</w:t>
        </w:r>
      </w:ins>
      <w:ins w:id="84" w:author="Benjamin J. Makhlouf" w:date="2026-06-18T18:33:00Z">
        <w:r w:rsidR="002B1F16" w:rsidRPr="002B1F16">
          <w:rPr>
            <w:rFonts w:ascii="Garamond" w:hAnsi="Garamond" w:cs="Times New Roman"/>
          </w:rPr>
          <w:t xml:space="preserve"> it remains unclear whether the front-end fishery closure effectively protects upstream stocks as intended. </w:t>
        </w:r>
      </w:ins>
      <w:ins w:id="85" w:author="Benjamin J. Makhlouf" w:date="2026-06-18T18:35:00Z">
        <w:r w:rsidR="002B1F16" w:rsidRPr="002B1F16">
          <w:rPr>
            <w:rFonts w:ascii="Garamond" w:hAnsi="Garamond" w:cs="Times New Roman"/>
          </w:rPr>
          <w:t xml:space="preserve">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w:t>
        </w:r>
        <w:r w:rsidR="002B1F16" w:rsidRPr="002B1F16">
          <w:rPr>
            <w:rFonts w:ascii="Garamond" w:hAnsi="Garamond" w:cs="Times New Roman"/>
          </w:rPr>
          <w:lastRenderedPageBreak/>
          <w:t>dynamics across such a large and remote watershed.</w:t>
        </w:r>
      </w:ins>
      <w:ins w:id="86" w:author="Benjamin J. Makhlouf" w:date="2026-06-18T18:35:00Z" w16du:dateUtc="2026-06-19T01:35:00Z">
        <w:r w:rsidR="002B1F16">
          <w:rPr>
            <w:rFonts w:ascii="Garamond" w:hAnsi="Garamond" w:cs="Times New Roman"/>
          </w:rPr>
          <w:t xml:space="preserve"> </w:t>
        </w:r>
      </w:ins>
      <w:ins w:id="87" w:author="Benjamin J. Makhlouf" w:date="2026-06-18T18:37:00Z">
        <w:r w:rsidR="002B1F16" w:rsidRPr="002B1F16">
          <w:rPr>
            <w:rFonts w:ascii="Garamond" w:hAnsi="Garamond" w:cs="Times New Roman"/>
          </w:rPr>
          <w:t xml:space="preserve">Otolith microchemical approaches have emerged as an alternative tool capable of estimating sub-watershed provenance without the need for extensive field-based monitoring. </w:t>
        </w:r>
      </w:ins>
      <w:ins w:id="88" w:author="Benjamin J. Makhlouf" w:date="2026-06-18T18:42:00Z">
        <w:r w:rsidR="00990A53" w:rsidRPr="00990A53">
          <w:rPr>
            <w:rFonts w:ascii="Garamond" w:hAnsi="Garamond"/>
          </w:rPr>
          <w:t>Otolith microchemical approaches have emerged as an alternative tool for reconstructing spatial patterns of salmon movement and provenance.</w:t>
        </w:r>
      </w:ins>
      <w:ins w:id="89" w:author="Benjamin J. Makhlouf" w:date="2026-06-18T18:42:00Z" w16du:dateUtc="2026-06-19T01:42:00Z">
        <w:r w:rsidR="00990A53">
          <w:rPr>
            <w:rFonts w:ascii="Garamond" w:hAnsi="Garamond"/>
          </w:rPr>
          <w:t xml:space="preserve"> </w:t>
        </w:r>
      </w:ins>
      <w:ins w:id="90" w:author="Benjamin J. Makhlouf" w:date="2026-06-18T18:39:00Z">
        <w:r w:rsidR="002B1F16" w:rsidRPr="002B1F16">
          <w:rPr>
            <w:rFonts w:ascii="Garamond" w:hAnsi="Garamond"/>
          </w:rPr>
          <w:t>By leveraging predictable relationships between chemical signatures recorded in</w:t>
        </w:r>
      </w:ins>
      <w:ins w:id="91" w:author="Benjamin J. Makhlouf" w:date="2026-06-18T18:43:00Z" w16du:dateUtc="2026-06-19T01:43:00Z">
        <w:r w:rsidR="00990A53">
          <w:rPr>
            <w:rFonts w:ascii="Garamond" w:hAnsi="Garamond"/>
          </w:rPr>
          <w:t xml:space="preserve"> the</w:t>
        </w:r>
      </w:ins>
      <w:ins w:id="92" w:author="Benjamin J. Makhlouf" w:date="2026-06-18T18:39:00Z">
        <w:r w:rsidR="002B1F16" w:rsidRPr="002B1F16">
          <w:rPr>
            <w:rFonts w:ascii="Garamond" w:hAnsi="Garamond"/>
          </w:rPr>
          <w:t xml:space="preserve"> otolith and those measured or modeled across the landscape, </w:t>
        </w:r>
      </w:ins>
      <w:ins w:id="93" w:author="Benjamin J. Makhlouf" w:date="2026-06-18T18:43:00Z" w16du:dateUtc="2026-06-19T01:43:00Z">
        <w:r w:rsidR="00990A53">
          <w:rPr>
            <w:rFonts w:ascii="Garamond" w:hAnsi="Garamond"/>
          </w:rPr>
          <w:t>otolith-based</w:t>
        </w:r>
      </w:ins>
      <w:ins w:id="94" w:author="Benjamin J. Makhlouf" w:date="2026-06-18T18:39:00Z">
        <w:r w:rsidR="002B1F16" w:rsidRPr="002B1F16">
          <w:rPr>
            <w:rFonts w:ascii="Garamond" w:hAnsi="Garamond"/>
          </w:rPr>
          <w:t xml:space="preserve"> approaches enable </w:t>
        </w:r>
      </w:ins>
      <w:ins w:id="95" w:author="Benjamin J. Makhlouf" w:date="2026-06-18T18:43:00Z" w16du:dateUtc="2026-06-19T01:43:00Z">
        <w:r w:rsidR="00990A53">
          <w:rPr>
            <w:rFonts w:ascii="Garamond" w:hAnsi="Garamond"/>
          </w:rPr>
          <w:t xml:space="preserve">the </w:t>
        </w:r>
      </w:ins>
      <w:ins w:id="96" w:author="Benjamin J. Makhlouf" w:date="2026-06-18T18:39:00Z">
        <w:r w:rsidR="002B1F16" w:rsidRPr="002B1F16">
          <w:rPr>
            <w:rFonts w:ascii="Garamond" w:hAnsi="Garamond"/>
          </w:rPr>
          <w:t xml:space="preserve">reconstruction of </w:t>
        </w:r>
      </w:ins>
      <w:ins w:id="97" w:author="Benjamin J. Makhlouf" w:date="2026-06-18T18:44:00Z" w16du:dateUtc="2026-06-19T01:44:00Z">
        <w:r w:rsidR="00990A53">
          <w:rPr>
            <w:rFonts w:ascii="Garamond" w:hAnsi="Garamond"/>
          </w:rPr>
          <w:t xml:space="preserve">life history characteristics </w:t>
        </w:r>
      </w:ins>
      <w:ins w:id="98" w:author="Benjamin J. Makhlouf" w:date="2026-06-18T18:45:00Z" w16du:dateUtc="2026-06-19T01:45:00Z">
        <w:r w:rsidR="00990A53">
          <w:rPr>
            <w:rFonts w:ascii="Garamond" w:hAnsi="Garamond"/>
          </w:rPr>
          <w:t xml:space="preserve">throughout the lifetime of the individual inferred from samples easily collected from adult fish. </w:t>
        </w:r>
      </w:ins>
      <w:ins w:id="99" w:author="Benjamin J. Makhlouf" w:date="2026-06-18T18:48:00Z">
        <w:r w:rsidR="00990A53" w:rsidRPr="00990A53">
          <w:rPr>
            <w:rFonts w:ascii="Garamond" w:hAnsi="Garamond"/>
          </w:rPr>
          <w:t>As such, these methods provide an approach for estimating fine-scale patterns in salmon spatial ecology across entire watersheds without requiring extensive manual monitoring.</w:t>
        </w:r>
      </w:ins>
    </w:p>
    <w:p w14:paraId="4B48F71D" w14:textId="19905B6E" w:rsidR="00A72EBD" w:rsidRPr="008605CB" w:rsidRDefault="00A72EBD" w:rsidP="00A72EBD">
      <w:pPr>
        <w:spacing w:line="480" w:lineRule="auto"/>
        <w:ind w:firstLine="72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100"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r>
        <w:rPr>
          <w:rFonts w:ascii="Garamond" w:hAnsi="Garamond" w:cs="Times New Roman"/>
        </w:rPr>
        <w:t>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7FC78F44"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w:t>
      </w:r>
      <w:r>
        <w:rPr>
          <w:rFonts w:ascii="Garamond" w:hAnsi="Garamond" w:cs="Times New Roman"/>
        </w:rPr>
        <w:lastRenderedPageBreak/>
        <w:t xml:space="preserve">fisheries throughout the river. Fish </w:t>
      </w:r>
      <w:ins w:id="101" w:author="Benjamin J. Makhlouf" w:date="2026-06-19T15:58:00Z" w16du:dateUtc="2026-06-19T22:58:00Z">
        <w:r w:rsidR="00AA4630">
          <w:rPr>
            <w:rFonts w:ascii="Garamond" w:hAnsi="Garamond" w:cs="Times New Roman"/>
          </w:rPr>
          <w:t xml:space="preserve">are sampled throughout the full return migration window, and are assumed to </w:t>
        </w:r>
      </w:ins>
      <w:ins w:id="102" w:author="Benjamin J. Makhlouf" w:date="2026-06-19T15:59:00Z" w16du:dateUtc="2026-06-19T22:59:00Z">
        <w:r w:rsidR="00AA4630">
          <w:rPr>
            <w:rFonts w:ascii="Garamond" w:hAnsi="Garamond" w:cs="Times New Roman"/>
          </w:rPr>
          <w:t>be</w:t>
        </w:r>
      </w:ins>
      <w:ins w:id="103" w:author="Benjamin J. Makhlouf" w:date="2026-06-19T15:58:00Z" w16du:dateUtc="2026-06-19T22:58:00Z">
        <w:r w:rsidR="00AA4630">
          <w:rPr>
            <w:rFonts w:ascii="Garamond" w:hAnsi="Garamond" w:cs="Times New Roman"/>
          </w:rPr>
          <w:t xml:space="preserve"> a </w:t>
        </w:r>
      </w:ins>
      <w:del w:id="104"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 xml:space="preserve">representative sample of returning stocks throughout the basin above the test fishery location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105"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 </w:t>
      </w:r>
    </w:p>
    <w:p w14:paraId="23BCDAEA" w14:textId="08FDEC88" w:rsidR="00B857E3" w:rsidRPr="008605CB"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The resulting data represent a continuously integrated measurement of </w:t>
      </w:r>
      <w:ins w:id="106"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07"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108"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109"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110"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111"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112"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113"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14"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w:t>
      </w:r>
      <w:ins w:id="115" w:author="Benjamin J. Makhlouf" w:date="2026-06-18T19:47:00Z" w16du:dateUtc="2026-06-19T02:47:00Z">
        <w:r w:rsidR="00221CA6">
          <w:rPr>
            <w:rFonts w:ascii="Garamond" w:eastAsia="Times New Roman" w:hAnsi="Garamond" w:cs="Times New Roman"/>
            <w:kern w:val="0"/>
            <w14:ligatures w14:val="none"/>
          </w:rPr>
          <w:t xml:space="preserve"> </w:t>
        </w:r>
        <w:r w:rsidR="00221CA6" w:rsidRPr="00221CA6">
          <w:rPr>
            <w:rFonts w:ascii="Garamond" w:eastAsia="Times New Roman" w:hAnsi="Garamond" w:cs="Times New Roman"/>
            <w:kern w:val="0"/>
            <w:highlight w:val="yellow"/>
            <w14:ligatures w14:val="none"/>
            <w:rPrChange w:id="116" w:author="Benjamin J. Makhlouf" w:date="2026-06-18T19:47:00Z" w16du:dateUtc="2026-06-19T02:47:00Z">
              <w:rPr>
                <w:rFonts w:ascii="Garamond" w:eastAsia="Times New Roman" w:hAnsi="Garamond" w:cs="Times New Roman"/>
                <w:kern w:val="0"/>
                <w14:ligatures w14:val="none"/>
              </w:rPr>
            </w:rPrChange>
          </w:rPr>
          <w:t>(</w:t>
        </w:r>
      </w:ins>
      <w:ins w:id="117" w:author="Benjamin J. Makhlouf" w:date="2026-07-08T12:13:00Z" w16du:dateUtc="2026-07-08T19:13:00Z">
        <w:r w:rsidR="00077041">
          <w:rPr>
            <w:rFonts w:ascii="Garamond" w:eastAsia="Times New Roman" w:hAnsi="Garamond" w:cs="Times New Roman"/>
            <w:kern w:val="0"/>
            <w:highlight w:val="yellow"/>
            <w14:ligatures w14:val="none"/>
          </w:rPr>
          <w:t>~120-150 µm</w:t>
        </w:r>
      </w:ins>
      <w:ins w:id="118" w:author="Benjamin J. Makhlouf" w:date="2026-06-18T19:47:00Z" w16du:dateUtc="2026-06-19T02:47:00Z">
        <w:r w:rsidR="00221CA6" w:rsidRPr="00221CA6">
          <w:rPr>
            <w:rFonts w:ascii="Garamond" w:eastAsia="Times New Roman" w:hAnsi="Garamond" w:cs="Times New Roman"/>
            <w:kern w:val="0"/>
            <w:highlight w:val="yellow"/>
            <w14:ligatures w14:val="none"/>
            <w:rPrChange w:id="119" w:author="Benjamin J. Makhlouf" w:date="2026-06-18T19:47:00Z" w16du:dateUtc="2026-06-19T02:47:00Z">
              <w:rPr>
                <w:rFonts w:ascii="Garamond" w:eastAsia="Times New Roman" w:hAnsi="Garamond" w:cs="Times New Roman"/>
                <w:kern w:val="0"/>
                <w14:ligatures w14:val="none"/>
              </w:rPr>
            </w:rPrChange>
          </w:rPr>
          <w:t>)</w:t>
        </w:r>
      </w:ins>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120" w:author="Benjamin J. Makhlouf" w:date="2026-06-18T19:45:00Z" w16du:dateUtc="2026-06-19T02:45:00Z">
        <w:r w:rsidR="00221CA6">
          <w:rPr>
            <w:rFonts w:ascii="Garamond" w:eastAsia="Times New Roman" w:hAnsi="Garamond" w:cs="Times New Roman"/>
            <w:kern w:val="0"/>
            <w14:ligatures w14:val="none"/>
          </w:rPr>
          <w:t xml:space="preserve"> </w:t>
        </w:r>
      </w:ins>
      <w:ins w:id="121" w:author="Benjamin J. Makhlouf" w:date="2026-07-08T12:05:00Z" w16du:dateUtc="2026-07-08T19:05:00Z">
        <w:r w:rsidR="0033663A">
          <w:rPr>
            <w:rFonts w:ascii="Garamond" w:eastAsia="Times New Roman" w:hAnsi="Garamond" w:cs="Times New Roman"/>
            <w:kern w:val="0"/>
            <w:vertAlign w:val="superscript"/>
            <w14:ligatures w14:val="none"/>
          </w:rPr>
          <w:t>88</w:t>
        </w:r>
      </w:ins>
      <w:ins w:id="122" w:author="Benjamin J. Makhlouf" w:date="2026-06-18T19:47:00Z" w16du:dateUtc="2026-06-19T02:47:00Z">
        <w:r w:rsidR="00221CA6">
          <w:rPr>
            <w:rFonts w:ascii="Garamond" w:eastAsia="Times New Roman" w:hAnsi="Garamond" w:cs="Times New Roman"/>
            <w:kern w:val="0"/>
            <w14:ligatures w14:val="none"/>
          </w:rPr>
          <w:t>Sr</w:t>
        </w:r>
      </w:ins>
      <w:ins w:id="123" w:author="Benjamin J. Makhlouf" w:date="2026-06-18T19:48:00Z" w16du:dateUtc="2026-06-19T02:48:00Z">
        <w:r w:rsidR="00221CA6">
          <w:rPr>
            <w:rFonts w:ascii="Garamond" w:eastAsia="Times New Roman" w:hAnsi="Garamond" w:cs="Times New Roman"/>
            <w:kern w:val="0"/>
            <w14:ligatures w14:val="none"/>
          </w:rPr>
          <w:t xml:space="preserve"> can be used as a proxy for Sr concentration, which is expected to be much higher in the marine environment as well as the materna</w:t>
        </w:r>
      </w:ins>
      <w:ins w:id="124" w:author="Benjamin J. Makhlouf" w:date="2026-06-18T19:49:00Z" w16du:dateUtc="2026-06-19T02:49:00Z">
        <w:r w:rsidR="00221CA6">
          <w:rPr>
            <w:rFonts w:ascii="Garamond" w:eastAsia="Times New Roman" w:hAnsi="Garamond" w:cs="Times New Roman"/>
            <w:kern w:val="0"/>
            <w14:ligatures w14:val="none"/>
          </w:rPr>
          <w:t xml:space="preserve">lly influenced core. As a result, the </w:t>
        </w:r>
      </w:ins>
      <w:ins w:id="125" w:author="Benjamin J. Makhlouf" w:date="2026-07-08T12:05:00Z" w16du:dateUtc="2026-07-08T19:05:00Z">
        <w:r w:rsidR="0033663A">
          <w:rPr>
            <w:rFonts w:ascii="Garamond" w:eastAsia="Times New Roman" w:hAnsi="Garamond" w:cs="Times New Roman"/>
            <w:kern w:val="0"/>
            <w:vertAlign w:val="superscript"/>
            <w14:ligatures w14:val="none"/>
          </w:rPr>
          <w:t>88</w:t>
        </w:r>
      </w:ins>
      <w:ins w:id="126" w:author="Benjamin J. Makhlouf" w:date="2026-06-18T19:49:00Z" w16du:dateUtc="2026-06-19T02:49:00Z">
        <w:r w:rsidR="00221CA6">
          <w:rPr>
            <w:rFonts w:ascii="Garamond" w:eastAsia="Times New Roman" w:hAnsi="Garamond" w:cs="Times New Roman"/>
            <w:kern w:val="0"/>
            <w14:ligatures w14:val="none"/>
          </w:rPr>
          <w:t xml:space="preserve">Sr signal of the otolith data was used to guide manual selection of the natal origin region following depletion of the maternal signature, indicated by decreased </w:t>
        </w:r>
      </w:ins>
      <w:ins w:id="127" w:author="Benjamin J. Makhlouf" w:date="2026-07-08T12:05:00Z" w16du:dateUtc="2026-07-08T19:05:00Z">
        <w:r w:rsidR="0033663A">
          <w:rPr>
            <w:rFonts w:ascii="Garamond" w:eastAsia="Times New Roman" w:hAnsi="Garamond" w:cs="Times New Roman"/>
            <w:kern w:val="0"/>
            <w:vertAlign w:val="superscript"/>
            <w14:ligatures w14:val="none"/>
          </w:rPr>
          <w:t>88</w:t>
        </w:r>
      </w:ins>
      <w:ins w:id="128" w:author="Benjamin J. Makhlouf" w:date="2026-06-18T19:49:00Z" w16du:dateUtc="2026-06-19T02:49:00Z">
        <w:r w:rsidR="00221CA6">
          <w:rPr>
            <w:rFonts w:ascii="Garamond" w:eastAsia="Times New Roman" w:hAnsi="Garamond" w:cs="Times New Roman"/>
            <w:kern w:val="0"/>
            <w14:ligatures w14:val="none"/>
          </w:rPr>
          <w:t xml:space="preserve">Sr concentrations. </w:t>
        </w:r>
      </w:ins>
      <w:del w:id="129"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RDefault="00A10423" w:rsidP="00B857E3">
      <w:pPr>
        <w:spacing w:line="480" w:lineRule="auto"/>
        <w:rPr>
          <w:rFonts w:ascii="Garamond" w:eastAsia="Times New Roman" w:hAnsi="Garamond" w:cs="Times New Roman"/>
          <w:b/>
          <w:bCs/>
          <w:kern w:val="0"/>
          <w14:ligatures w14:val="none"/>
        </w:rPr>
      </w:pPr>
    </w:p>
    <w:p w14:paraId="696145BD" w14:textId="1982FBC3" w:rsidR="00B857E3" w:rsidRPr="008605CB" w:rsidRDefault="007C6331" w:rsidP="00B857E3">
      <w:pPr>
        <w:spacing w:line="480" w:lineRule="auto"/>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130"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31"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132"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33"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3B969DDC"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134"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135"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136" w:author="Benjamin J. Makhlouf" w:date="2026-06-22T08:33:00Z" w16du:dateUtc="2026-06-22T15:33:00Z">
        <w:r w:rsidR="000B6B65">
          <w:rPr>
            <w:rFonts w:ascii="Garamond" w:eastAsia="Times New Roman" w:hAnsi="Garamond" w:cs="Times New Roman"/>
            <w:kern w:val="0"/>
            <w14:ligatures w14:val="none"/>
          </w:rPr>
          <w:t>.</w:t>
        </w:r>
      </w:ins>
      <w:ins w:id="137" w:author="Benjamin J. Makhlouf" w:date="2026-06-22T08:49:00Z" w16du:dateUtc="2026-06-22T15:49:00Z">
        <w:r w:rsidR="0080518D" w:rsidRPr="0080518D">
          <w:t xml:space="preserve"> </w:t>
        </w:r>
      </w:ins>
      <w:ins w:id="138" w:author="Benjamin J. Makhlouf" w:date="2026-06-22T08:49:00Z">
        <w:r w:rsidR="0080518D" w:rsidRPr="0080518D">
          <w:rPr>
            <w:rFonts w:ascii="Garamond" w:eastAsia="Times New Roman" w:hAnsi="Garamond" w:cs="Times New Roman"/>
            <w:kern w:val="0"/>
            <w14:ligatures w14:val="none"/>
          </w:rPr>
          <w:t>These sources include analytical error (variation among repeated standard measurements; 0.000055), within-population error (variation among individuals at the same site; 0.00016), and isoscape error (uncertainty in isoscape model predictions; basin-wide mean = 0.00072)</w:t>
        </w:r>
      </w:ins>
      <w:ins w:id="139" w:author="Benjamin J. Makhlouf" w:date="2026-06-22T10:03:00Z" w16du:dateUtc="2026-06-22T17:03:00Z">
        <w:r w:rsidR="003224CC">
          <w:rPr>
            <w:rFonts w:ascii="Garamond" w:eastAsia="Times New Roman" w:hAnsi="Garamond" w:cs="Times New Roman"/>
            <w:kern w:val="0"/>
            <w14:ligatures w14:val="none"/>
          </w:rPr>
          <w:t xml:space="preserve"> </w:t>
        </w:r>
      </w:ins>
      <w:ins w:id="140" w:author="Benjamin J. Makhlouf" w:date="2026-06-22T10:05:00Z" w16du:dateUtc="2026-06-22T17:05:00Z">
        <w:r w:rsidR="003224CC">
          <w:rPr>
            <w:rFonts w:ascii="Garamond" w:eastAsia="Times New Roman" w:hAnsi="Garamond" w:cs="Times New Roman"/>
            <w:kern w:val="0"/>
            <w14:ligatures w14:val="none"/>
          </w:rPr>
          <w:t xml:space="preserve">(Brennan et al., 2015, French at al., X). </w:t>
        </w:r>
      </w:ins>
      <w:del w:id="141"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142"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lastRenderedPageBreak/>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w:t>
      </w:r>
      <w:del w:id="143"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1D2BB64A" w:rsidR="00814EE7" w:rsidRPr="008605CB" w:rsidRDefault="009110AF" w:rsidP="00814EE7">
      <w:pPr>
        <w:spacing w:line="480" w:lineRule="auto"/>
        <w:ind w:firstLine="720"/>
        <w:rPr>
          <w:rFonts w:ascii="Garamond" w:hAnsi="Garamond" w:cs="Times New Roman"/>
        </w:rPr>
      </w:pPr>
      <w:r>
        <w:rPr>
          <w:rFonts w:ascii="Garamond" w:hAnsi="Garamond" w:cs="Times New Roman"/>
        </w:rPr>
        <w:lastRenderedPageBreak/>
        <w:t xml:space="preserve">To estimate the spatial distribution of returns across a </w:t>
      </w:r>
      <w:ins w:id="144"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145"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146"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xml:space="preserve">, posterior probability values for all individuals in that subset were summed at each location. Before summing, only highly likely locations (the top 30% of posterior values) were retained, whereas all other values were assigned a value of zero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147" w:author="Benjamin J. Makhlouf" w:date="2026-06-19T06:36:00Z" w16du:dateUtc="2026-06-19T13:36:00Z">
        <w:r w:rsidR="00D0057C">
          <w:rPr>
            <w:rFonts w:ascii="Garamond" w:hAnsi="Garamond" w:cs="Times New Roman"/>
          </w:rPr>
          <w:t xml:space="preserve">ranges that roughly represent quartiles of the </w:t>
        </w:r>
      </w:ins>
      <w:del w:id="148" w:author="Benjamin J. Makhlouf" w:date="2026-06-19T06:36:00Z" w16du:dateUtc="2026-06-19T13:36:00Z">
        <w:r w:rsidDel="00D0057C">
          <w:rPr>
            <w:rFonts w:ascii="Garamond" w:hAnsi="Garamond" w:cs="Times New Roman"/>
          </w:rPr>
          <w:delText>quartiles</w:delText>
        </w:r>
      </w:del>
      <w:r>
        <w:rPr>
          <w:rFonts w:ascii="Garamond" w:hAnsi="Garamond" w:cs="Times New Roman"/>
        </w:rPr>
        <w:t xml:space="preserve"> of the salmon migration season based on capture date: Q1 (run start through June 11), Q2 (June 12-21), Q3 (June 22-July 1), and Q4 (July 2 onward). These dates were chosen to roughly split the full run </w:t>
      </w:r>
      <w:ins w:id="149" w:author="Benjamin J. Makhlouf" w:date="2026-06-19T06:37:00Z" w16du:dateUtc="2026-06-19T13:37:00Z">
        <w:r w:rsidR="00D0057C">
          <w:rPr>
            <w:rFonts w:ascii="Garamond" w:hAnsi="Garamond" w:cs="Times New Roman"/>
          </w:rPr>
          <w:t>evenly into equal quartiles</w:t>
        </w:r>
      </w:ins>
      <w:del w:id="150"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151"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152" w:author="Benjamin J. Makhlouf" w:date="2026-06-19T06:38:00Z" w16du:dateUtc="2026-06-19T13:38:00Z">
        <w:r w:rsidR="00D0057C">
          <w:rPr>
            <w:rFonts w:ascii="Garamond" w:hAnsi="Garamond" w:cs="Times New Roman"/>
          </w:rPr>
          <w:t>.</w:t>
        </w:r>
      </w:ins>
      <w:r>
        <w:rPr>
          <w:rFonts w:ascii="Garamond" w:hAnsi="Garamond" w:cs="Times New Roman"/>
        </w:rPr>
        <w:t xml:space="preserve"> The June 11 date was chosen specifically to match the end of the ‘front end closure’ of the subsistence fishery. Estimates were also produced for the full run in each year. </w:t>
      </w:r>
    </w:p>
    <w:p w14:paraId="38A831B5" w14:textId="3331B911" w:rsidR="001D3E40" w:rsidRPr="008605CB" w:rsidRDefault="00D04860" w:rsidP="00961F08">
      <w:pPr>
        <w:spacing w:line="480" w:lineRule="auto"/>
        <w:ind w:firstLine="720"/>
        <w:rPr>
          <w:rFonts w:ascii="Garamond" w:hAnsi="Garamond" w:cs="Times New Roman"/>
        </w:rPr>
      </w:pPr>
      <w:ins w:id="153"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del w:id="154"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r w:rsidR="00E3555B">
        <w:rPr>
          <w:rFonts w:ascii="Garamond" w:hAnsi="Garamond" w:cs="Times New Roman"/>
        </w:rPr>
        <w:t xml:space="preserve">To identify regions of the watershed that can be distinguished based on their isotopic composition, we 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each. We then evaluated the clustering results for a range of cluster numbers (n = 2-6) using the silhouette score, which measures cluster quality by comparing within-cluster versus between-cluster distances. From this metric we selected n = 6, which maintained a </w:t>
      </w:r>
      <w:r w:rsidR="00E3555B">
        <w:rPr>
          <w:rFonts w:ascii="Garamond" w:hAnsi="Garamond" w:cs="Times New Roman"/>
        </w:rPr>
        <w:lastRenderedPageBreak/>
        <w:t xml:space="preserve">high silhouette score while providing finer isotopic resolution across groups. The resulting regional groupings displayed a general pattern from upstream to downstream regions (Fig. 2b). However, 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t>
      </w:r>
      <w:ins w:id="155" w:author="Benjamin J. Makhlouf" w:date="2026-06-22T10:17:00Z" w16du:dateUtc="2026-06-22T17:17:00Z">
        <w:r w:rsidR="00AF1AE2">
          <w:rPr>
            <w:rFonts w:ascii="Garamond" w:hAnsi="Garamond" w:cs="Times New Roman"/>
          </w:rPr>
          <w:t>two</w:t>
        </w:r>
      </w:ins>
      <w:del w:id="156" w:author="Benjamin J. Makhlouf" w:date="2026-06-22T10:17:00Z" w16du:dateUtc="2026-06-22T17:17:00Z">
        <w:r w:rsidR="00E3555B" w:rsidDel="00AF1AE2">
          <w:rPr>
            <w:rFonts w:ascii="Garamond" w:hAnsi="Garamond" w:cs="Times New Roman"/>
          </w:rPr>
          <w:delText>five</w:delText>
        </w:r>
      </w:del>
      <w:r w:rsidR="00E3555B">
        <w:rPr>
          <w:rFonts w:ascii="Garamond" w:hAnsi="Garamond" w:cs="Times New Roman"/>
        </w:rPr>
        <w:t xml:space="preser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0AF1A072" w:rsidR="00961F08" w:rsidRPr="008605CB" w:rsidRDefault="00E352BB" w:rsidP="006B5AB0">
      <w:pPr>
        <w:spacing w:line="480" w:lineRule="auto"/>
        <w:ind w:firstLine="720"/>
        <w:rPr>
          <w:rFonts w:ascii="Garamond" w:hAnsi="Garamond" w:cs="Times New Roman"/>
        </w:rPr>
      </w:pPr>
      <w:r>
        <w:rPr>
          <w:rFonts w:ascii="Garamond" w:hAnsi="Garamond" w:cs="Times New Roman"/>
        </w:rPr>
        <w:t>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(Fig. 3).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To directly compare relative run timing to the temporal distribution of the full run, we used daily CPUE data collected from the BTF to calculate the cumulative proportion of the full run’s CPUE remaining for each day</w:t>
      </w:r>
      <w:ins w:id="157" w:author="Benjamin J. Makhlouf" w:date="2026-06-22T10:23:00Z" w16du:dateUtc="2026-06-22T17:23:00Z">
        <w:r w:rsidR="00267F38">
          <w:rPr>
            <w:rFonts w:ascii="Garamond" w:hAnsi="Garamond" w:cs="Times New Roman"/>
          </w:rPr>
          <w:t xml:space="preserve"> based on the sum of the daily CPUE</w:t>
        </w:r>
      </w:ins>
      <w:r>
        <w:rPr>
          <w:rFonts w:ascii="Garamond" w:hAnsi="Garamond" w:cs="Times New Roman"/>
        </w:rPr>
        <w:t xml:space="preserve">. This value represents the maximum potential harvest available if harvest rates are proportional to CPUE. However, this value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 </w:t>
      </w:r>
    </w:p>
    <w:p w14:paraId="2E1403AA" w14:textId="66863828" w:rsidR="00E35059" w:rsidRPr="009C0002" w:rsidRDefault="006E1BBC" w:rsidP="009C0002">
      <w:pPr>
        <w:spacing w:line="480" w:lineRule="auto"/>
        <w:ind w:firstLine="720"/>
        <w:rPr>
          <w:rFonts w:ascii="Garamond" w:hAnsi="Garamond"/>
        </w:rPr>
      </w:pPr>
      <w:r>
        <w:rPr>
          <w:rFonts w:ascii="Garamond" w:hAnsi="Garamond"/>
        </w:rPr>
        <w:lastRenderedPageBreak/>
        <w:t xml:space="preserve">To assess the impact of the existing front-end closure, we quantified the </w:t>
      </w:r>
      <w:ins w:id="158"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159" w:author="Benjamin J. Makhlouf" w:date="2026-06-20T15:20:00Z" w16du:dateUtc="2026-06-20T22:20:00Z">
        <w:r w:rsidR="009C0002">
          <w:rPr>
            <w:rFonts w:ascii="Garamond" w:hAnsi="Garamond"/>
          </w:rPr>
          <w:t xml:space="preserve"> isotope</w:t>
        </w:r>
      </w:ins>
      <w:ins w:id="160" w:author="Benjamin J. Makhlouf" w:date="2026-06-20T15:18:00Z">
        <w:r w:rsidR="009C0002" w:rsidRPr="009C0002">
          <w:rPr>
            <w:rFonts w:ascii="Garamond" w:hAnsi="Garamond"/>
          </w:rPr>
          <w:t xml:space="preserve"> assignments. We refer to this metric</w:t>
        </w:r>
      </w:ins>
      <w:ins w:id="161" w:author="Benjamin J. Makhlouf" w:date="2026-06-20T15:20:00Z" w16du:dateUtc="2026-06-20T22:20:00Z">
        <w:r w:rsidR="009C0002">
          <w:rPr>
            <w:rFonts w:ascii="Garamond" w:hAnsi="Garamond"/>
          </w:rPr>
          <w:t xml:space="preserve"> hereafter</w:t>
        </w:r>
      </w:ins>
      <w:ins w:id="162" w:author="Benjamin J. Makhlouf" w:date="2026-06-20T15:18:00Z">
        <w:r w:rsidR="009C0002" w:rsidRPr="009C0002">
          <w:rPr>
            <w:rFonts w:ascii="Garamond" w:hAnsi="Garamond"/>
          </w:rPr>
          <w:t xml:space="preserve"> as </w:t>
        </w:r>
      </w:ins>
      <w:ins w:id="163" w:author="Benjamin J. Makhlouf" w:date="2026-06-20T15:20:00Z" w16du:dateUtc="2026-06-20T22:20:00Z">
        <w:r w:rsidR="009C0002">
          <w:rPr>
            <w:rFonts w:ascii="Garamond" w:hAnsi="Garamond"/>
          </w:rPr>
          <w:t>“</w:t>
        </w:r>
      </w:ins>
      <w:ins w:id="164" w:author="Benjamin J. Makhlouf" w:date="2026-06-20T15:18:00Z">
        <w:r w:rsidR="009C0002" w:rsidRPr="009C0002">
          <w:rPr>
            <w:rFonts w:ascii="Garamond" w:hAnsi="Garamond"/>
            <w:rPrChange w:id="165" w:author="Benjamin J. Makhlouf" w:date="2026-06-20T15:19:00Z" w16du:dateUtc="2026-06-20T22:19:00Z">
              <w:rPr>
                <w:rFonts w:ascii="Garamond" w:hAnsi="Garamond"/>
                <w:b/>
                <w:bCs/>
              </w:rPr>
            </w:rPrChange>
          </w:rPr>
          <w:t>percent protection</w:t>
        </w:r>
      </w:ins>
      <w:ins w:id="166" w:author="Benjamin J. Makhlouf" w:date="2026-06-20T15:20:00Z" w16du:dateUtc="2026-06-20T22:20:00Z">
        <w:r w:rsidR="009C0002">
          <w:rPr>
            <w:rFonts w:ascii="Garamond" w:hAnsi="Garamond"/>
          </w:rPr>
          <w:t>”</w:t>
        </w:r>
      </w:ins>
      <w:ins w:id="167" w:author="Benjamin J. Makhlouf" w:date="2026-06-20T15:18:00Z">
        <w:r w:rsidR="009C0002" w:rsidRPr="009C0002">
          <w:rPr>
            <w:rFonts w:ascii="Garamond" w:hAnsi="Garamond"/>
          </w:rPr>
          <w:t>.</w:t>
        </w:r>
      </w:ins>
      <w:del w:id="168"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r>
        <w:rPr>
          <w:rFonts w:ascii="Garamond" w:hAnsi="Garamond"/>
        </w:rPr>
        <w:t>). 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64E28138"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 Notably, group one, which contains the North Fork and East Fork Kuskokwim River, consistently contributed little to all years and quartiles (max: 2.9%). Early season returns (Q1: start of run through June 11, Fig. 3a.) were represented primarily by high contributions from group two (median: 42.2%), with relatively low median contribution (20% or less) from all other groups.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xml:space="preserve">, Fig. 3b.) exhibited a slight decrease in contribution from group two </w:t>
      </w:r>
      <w:r>
        <w:rPr>
          <w:rFonts w:ascii="Garamond" w:hAnsi="Garamond"/>
        </w:rPr>
        <w:lastRenderedPageBreak/>
        <w:t>(31.0%),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 Fig. 3c.),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 Fig. 3d.) exhibited a marked increase in median contribution from the furthest downstream group (group six, 17.9%), and contribution to this quartile was largely driven by groups four and five located in the bottom of the watershed (26.9% and 25.4%, respectively). </w:t>
      </w:r>
    </w:p>
    <w:p w14:paraId="54D0CEDA" w14:textId="3E2F8BC0" w:rsidR="001740E9" w:rsidRPr="00FC02BD" w:rsidRDefault="00536536" w:rsidP="00665BC1">
      <w:pPr>
        <w:pStyle w:val="whitespace-normal"/>
        <w:spacing w:line="480" w:lineRule="auto"/>
        <w:ind w:firstLine="720"/>
        <w:rPr>
          <w:rFonts w:ascii="Garamond" w:hAnsi="Garamond"/>
          <w:b/>
          <w:bCs/>
        </w:rPr>
      </w:pPr>
      <w:r>
        <w:rPr>
          <w:rFonts w:ascii="Garamond" w:hAnsi="Garamond"/>
        </w:rPr>
        <w:t>Cumulative distribution plots (Fig. 4) illustrated</w:t>
      </w:r>
      <w:ins w:id="169"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170" w:author="Benjamin J. Makhlouf" w:date="2026-07-08T14:57:00Z" w16du:dateUtc="2026-07-08T21:57:00Z">
        <w:r w:rsidR="00923A9B">
          <w:rPr>
            <w:rFonts w:ascii="Garamond" w:hAnsi="Garamond"/>
          </w:rPr>
          <w:t xml:space="preserve">relative abundance </w:t>
        </w:r>
      </w:ins>
      <w:del w:id="171"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w:t>
      </w:r>
      <w:r>
        <w:rPr>
          <w:rFonts w:ascii="Garamond" w:hAnsi="Garamond"/>
        </w:rPr>
        <w:lastRenderedPageBreak/>
        <w:t xml:space="preserve">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w:t>
      </w:r>
      <w:ins w:id="172" w:author="Benjamin J. Makhlouf" w:date="2026-07-08T14:58:00Z" w16du:dateUtc="2026-07-08T21:58:00Z">
        <w:r w:rsidR="00923A9B">
          <w:rPr>
            <w:rFonts w:ascii="Garamond" w:hAnsi="Garamond"/>
          </w:rPr>
          <w:t>relative ab</w:t>
        </w:r>
      </w:ins>
      <w:ins w:id="173" w:author="Benjamin J. Makhlouf" w:date="2026-07-08T14:59:00Z" w16du:dateUtc="2026-07-08T21:59:00Z">
        <w:r w:rsidR="00923A9B">
          <w:rPr>
            <w:rFonts w:ascii="Garamond" w:hAnsi="Garamond"/>
          </w:rPr>
          <w:t xml:space="preserve">undance </w:t>
        </w:r>
      </w:ins>
      <w:r>
        <w:rPr>
          <w:rFonts w:ascii="Garamond" w:hAnsi="Garamond"/>
        </w:rPr>
        <w:t>protect</w:t>
      </w:r>
      <w:ins w:id="174" w:author="Benjamin J. Makhlouf" w:date="2026-07-08T14:59:00Z" w16du:dateUtc="2026-07-08T21:59:00Z">
        <w:r w:rsidR="00923A9B">
          <w:rPr>
            <w:rFonts w:ascii="Garamond" w:hAnsi="Garamond"/>
          </w:rPr>
          <w:t>ed</w:t>
        </w:r>
      </w:ins>
      <w:del w:id="175"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77777777" w:rsidR="00CE01B9" w:rsidRDefault="00BA542C" w:rsidP="00A95426">
      <w:pPr>
        <w:pStyle w:val="whitespace-normal"/>
        <w:spacing w:line="480" w:lineRule="auto"/>
        <w:ind w:firstLine="720"/>
        <w:rPr>
          <w:ins w:id="176"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177" w:name="_Hlk213834610"/>
      <w:r>
        <w:rPr>
          <w:rFonts w:ascii="Garamond" w:hAnsi="Garamond"/>
        </w:rPr>
        <w:t xml:space="preserve">17.4% and 9.1% in median protection, respectively, by extending the front-end closure three days and the same groups saw a 32.3% and 21.3% </w:t>
      </w:r>
      <w:bookmarkEnd w:id="177"/>
      <w:r>
        <w:rPr>
          <w:rFonts w:ascii="Garamond" w:hAnsi="Garamond"/>
        </w:rPr>
        <w:t xml:space="preserve">increase in protection by extending the front-end closure six days past the current closure date. Importantly, the </w:t>
      </w:r>
      <w:ins w:id="178" w:author="Benjamin J. Makhlouf" w:date="2026-06-23T09:53:00Z" w16du:dateUtc="2026-06-23T16:53:00Z">
        <w:r w:rsidR="00A95426">
          <w:rPr>
            <w:rFonts w:ascii="Garamond" w:hAnsi="Garamond"/>
          </w:rPr>
          <w:t xml:space="preserve">lowest proportional protection in the </w:t>
        </w:r>
      </w:ins>
      <w:del w:id="179"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180" w:author="Benjamin J. Makhlouf" w:date="2026-07-08T15:10:00Z" w16du:dateUtc="2026-07-08T22:10:00Z">
        <w:r w:rsidR="00356C95">
          <w:rPr>
            <w:rFonts w:ascii="Garamond" w:hAnsi="Garamond"/>
          </w:rPr>
          <w:t xml:space="preserve">, indicating that in select years extending the front end closure by three days would not provide additional conservation benefit. </w:t>
        </w:r>
      </w:ins>
      <w:del w:id="181"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w:t>
      </w:r>
      <w:r>
        <w:rPr>
          <w:rFonts w:ascii="Garamond" w:hAnsi="Garamond"/>
        </w:rPr>
        <w:lastRenderedPageBreak/>
        <w:t xml:space="preserve">minimum protection values increased more prominently to 21.9% and 14.9% for groups one and two. </w:t>
      </w:r>
    </w:p>
    <w:p w14:paraId="2A9EA7B8" w14:textId="2DB1BC8F"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12% of the total CPUE fell within the closure period</w:t>
      </w:r>
      <w:ins w:id="182" w:author="Benjamin J. Makhlouf" w:date="2026-07-08T15:16:00Z" w16du:dateUtc="2026-07-08T22:16:00Z">
        <w:r w:rsidR="00CE01B9">
          <w:rPr>
            <w:rFonts w:ascii="Garamond" w:hAnsi="Garamond"/>
          </w:rPr>
          <w:t xml:space="preserve"> </w:t>
        </w:r>
        <w:r w:rsidR="00CE01B9" w:rsidRPr="00CE01B9">
          <w:rPr>
            <w:rFonts w:ascii="Garamond" w:hAnsi="Garamond"/>
            <w:highlight w:val="yellow"/>
            <w:rPrChange w:id="183" w:author="Benjamin J. Makhlouf" w:date="2026-07-08T15:17:00Z" w16du:dateUtc="2026-07-08T22:17:00Z">
              <w:rPr>
                <w:rFonts w:ascii="Garamond" w:hAnsi="Garamond"/>
              </w:rPr>
            </w:rPrChange>
          </w:rPr>
          <w:t>(range X to Y)</w:t>
        </w:r>
      </w:ins>
      <w:r w:rsidRPr="00CE01B9">
        <w:rPr>
          <w:rFonts w:ascii="Garamond" w:hAnsi="Garamond"/>
          <w:highlight w:val="yellow"/>
          <w:rPrChange w:id="184" w:author="Benjamin J. Makhlouf" w:date="2026-07-08T15:17:00Z" w16du:dateUtc="2026-07-08T22:17:00Z">
            <w:rPr>
              <w:rFonts w:ascii="Garamond" w:hAnsi="Garamond"/>
            </w:rPr>
          </w:rPrChange>
        </w:rPr>
        <w:t>.</w:t>
      </w:r>
      <w:r>
        <w:rPr>
          <w:rFonts w:ascii="Garamond" w:hAnsi="Garamond"/>
        </w:rPr>
        <w:t xml:space="preserve"> Shortening the closure reduces this loss to less than 5% but offers very little protection for upstream stocks (Fig. 5). Extending the closure, by contrast, substantially increases protection for </w:t>
      </w:r>
      <w:ins w:id="185" w:author="Benjamin J. Makhlouf" w:date="2026-07-08T15:14:00Z" w16du:dateUtc="2026-07-08T22:14:00Z">
        <w:r w:rsidR="00CE01B9">
          <w:rPr>
            <w:rFonts w:ascii="Garamond" w:hAnsi="Garamond"/>
          </w:rPr>
          <w:t>upriver</w:t>
        </w:r>
      </w:ins>
      <w:del w:id="186" w:author="Benjamin J. Makhlouf" w:date="2026-07-08T15:14:00Z" w16du:dateUtc="2026-07-08T22:14:00Z">
        <w:r w:rsidDel="00CE01B9">
          <w:rPr>
            <w:rFonts w:ascii="Garamond" w:hAnsi="Garamond"/>
          </w:rPr>
          <w:delText>severa</w:delText>
        </w:r>
      </w:del>
      <w:del w:id="187" w:author="Benjamin J. Makhlouf" w:date="2026-07-08T15:13:00Z" w16du:dateUtc="2026-07-08T22:13:00Z">
        <w:r w:rsidDel="00CE01B9">
          <w:rPr>
            <w:rFonts w:ascii="Garamond" w:hAnsi="Garamond"/>
          </w:rPr>
          <w:delText>l</w:delText>
        </w:r>
      </w:del>
      <w:r>
        <w:rPr>
          <w:rFonts w:ascii="Garamond" w:hAnsi="Garamond"/>
        </w:rPr>
        <w:t xml:space="preserve"> groups; however, an average of 17% and 24%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3778E5F1" w:rsidR="00E67672" w:rsidRPr="00FC02BD" w:rsidRDefault="004504D1" w:rsidP="00E67672">
      <w:pPr>
        <w:pStyle w:val="whitespace-normal"/>
        <w:spacing w:line="480" w:lineRule="auto"/>
        <w:ind w:firstLine="720"/>
        <w:rPr>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188" w:author="Benjamin J. Makhlouf" w:date="2026-06-23T10:02:00Z" w16du:dateUtc="2026-06-23T17:02:00Z">
        <w:r w:rsidR="007F65C8">
          <w:rPr>
            <w:rFonts w:ascii="Garamond" w:hAnsi="Garamond"/>
          </w:rPr>
          <w:t>tributaries</w:t>
        </w:r>
      </w:ins>
      <w:del w:id="189" w:author="Benjamin J. Makhlouf" w:date="2026-06-23T10:02:00Z" w16du:dateUtc="2026-06-23T17:02:00Z">
        <w:r w:rsidDel="007F65C8">
          <w:rPr>
            <w:rFonts w:ascii="Garamond" w:hAnsi="Garamond"/>
          </w:rPr>
          <w:delText xml:space="preserve">watersheds </w:delText>
        </w:r>
      </w:del>
      <w:r>
        <w:rPr>
          <w:rFonts w:ascii="Garamond" w:hAnsi="Garamond"/>
        </w:rPr>
        <w:t>in the uppermost portions and the latest returning fish return to the furthest downstream portions of the watershed. This relationship was consistent throughout our multi-year dataset</w:t>
      </w:r>
      <w:ins w:id="190" w:author="Benjamin J. Makhlouf" w:date="2026-07-08T15:15:00Z" w16du:dateUtc="2026-07-08T22:15:00Z">
        <w:r w:rsidR="00CE01B9">
          <w:rPr>
            <w:rFonts w:ascii="Garamond" w:hAnsi="Garamond"/>
          </w:rPr>
          <w:t xml:space="preserve"> (2017-2022)</w:t>
        </w:r>
      </w:ins>
      <w:del w:id="191"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192"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 and abundance.</w:t>
      </w:r>
    </w:p>
    <w:p w14:paraId="476F8195" w14:textId="282A7158" w:rsidR="00450ED3" w:rsidRPr="00A76A53" w:rsidRDefault="00EE2B9C" w:rsidP="00A76A53">
      <w:pPr>
        <w:pStyle w:val="whitespace-normal"/>
        <w:spacing w:line="480" w:lineRule="auto"/>
        <w:ind w:firstLine="720"/>
        <w:rPr>
          <w:rStyle w:val="Strong"/>
          <w:rFonts w:ascii="Garamond" w:eastAsiaTheme="majorEastAsia" w:hAnsi="Garamond"/>
          <w:b w:val="0"/>
          <w:bCs w:val="0"/>
        </w:rPr>
      </w:pPr>
      <w:commentRangeStart w:id="193"/>
      <w:r>
        <w:rPr>
          <w:rFonts w:ascii="Garamond" w:hAnsi="Garamond"/>
        </w:rPr>
        <w:t>A</w:t>
      </w:r>
      <w:commentRangeEnd w:id="193"/>
      <w:r w:rsidR="00F6033C">
        <w:rPr>
          <w:rStyle w:val="CommentReference"/>
          <w:rFonts w:ascii="Garamond" w:hAnsi="Garamond"/>
          <w:sz w:val="24"/>
          <w:szCs w:val="24"/>
        </w:rPr>
        <w:commentReference w:id="193"/>
      </w:r>
      <w:r>
        <w:rPr>
          <w:rFonts w:ascii="Garamond" w:hAnsi="Garamond"/>
        </w:rPr>
        <w:t xml:space="preserve"> clear pattern of early-returning upriver populations supports the front-end closure’s objective of protecting these fish from downriver harvest and providing more equitable harvest opportunities</w:t>
      </w:r>
      <w:r>
        <w:rPr>
          <w:rStyle w:val="CommentReference"/>
          <w:rFonts w:asciiTheme="minorHAnsi" w:eastAsiaTheme="minorHAnsi" w:hAnsiTheme="minorHAnsi" w:cstheme="minorBidi"/>
          <w:kern w:val="2"/>
          <w14:ligatures w14:val="standardContextual"/>
        </w:rPr>
        <w:t xml:space="preserve"> </w:t>
      </w:r>
      <w:r>
        <w:rPr>
          <w:rFonts w:ascii="Garamond" w:hAnsi="Garamond"/>
        </w:rPr>
        <w:t xml:space="preserve">in the upper watershed. Upper Kuskokwim groups contributed substantially to early-season migrants (i.e. group two); however, the furthest upstream populations (group one) consistently represented only a small portion of total basin-wide returns in our dataset. Despite this </w:t>
      </w:r>
      <w:r>
        <w:rPr>
          <w:rFonts w:ascii="Garamond" w:hAnsi="Garamond"/>
        </w:rPr>
        <w:lastRenderedPageBreak/>
        <w:t xml:space="preserve">variation in abundance, individuals in both upper watershed groups returned early in the migration season. As such, the front-end closure strategy as it is currently implemented provides harvest protection to upper watershed 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Pr>
          <w:rStyle w:val="Strong"/>
          <w:rFonts w:ascii="Garamond" w:eastAsiaTheme="majorEastAsia" w:hAnsi="Garamond"/>
          <w:b w:val="0"/>
          <w:bCs w:val="0"/>
        </w:rPr>
        <w:t xml:space="preserve">contributes to maintaining 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690B8EFD" w14:textId="4D392B3F" w:rsidR="009C3FA5" w:rsidRPr="00BA542C" w:rsidRDefault="005312E0" w:rsidP="009C3FA5">
      <w:pPr>
        <w:pStyle w:val="whitespace-normal"/>
        <w:spacing w:line="480" w:lineRule="auto"/>
        <w:ind w:firstLine="720"/>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and the proportional protection afforded by the front-end closure strategy. Variability in spatial patterns of production aligns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w:t>
      </w:r>
      <w:commentRangeStart w:id="194"/>
      <w:r>
        <w:rPr>
          <w:rFonts w:ascii="Garamond" w:hAnsi="Garamond"/>
        </w:rPr>
        <w:t>depends on both the timing (early vs. late) and duration (compressed vs. protracted) of the overall migration</w:t>
      </w:r>
      <w:commentRangeEnd w:id="194"/>
      <w:r w:rsidR="0033663A">
        <w:rPr>
          <w:rStyle w:val="CommentReference"/>
          <w:rFonts w:ascii="Garamond" w:hAnsi="Garamond"/>
          <w:sz w:val="24"/>
          <w:szCs w:val="24"/>
        </w:rPr>
        <w:commentReference w:id="194"/>
      </w:r>
      <w:r>
        <w:rPr>
          <w:rFonts w:ascii="Garamond" w:hAnsi="Garamond"/>
        </w:rPr>
        <w:t xml:space="preserve">. Late return timing or extended run duration may result in less proportional contribution within the closure window as compared to earlier returning and less protracted run timing. As a result, both the amount and distribution of populations afforded protection depend on this interaction. When combined with natural variability in basin-wide production patterns, this may introduce substantial </w:t>
      </w:r>
      <w:r>
        <w:rPr>
          <w:rFonts w:ascii="Garamond" w:hAnsi="Garamond"/>
        </w:rPr>
        <w:lastRenderedPageBreak/>
        <w:t xml:space="preserve">variability in the population-specific effect of the front-end closure. </w:t>
      </w:r>
      <w:commentRangeStart w:id="195"/>
      <w:r>
        <w:rPr>
          <w:rFonts w:ascii="Garamond" w:hAnsi="Garamond"/>
        </w:rPr>
        <w:t xml:space="preserve">These results suggest a potential limitation of a fixed date closure and highlight the difficulty of managing for a dynamic ecosystem with fixed-duration management. A more dynamic closure which is responsive to predicted or observed run dynamics may provide more consistent protection to upstream populations. 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commentRangeEnd w:id="195"/>
      <w:r w:rsidR="00C247A1" w:rsidRPr="00BA542C">
        <w:rPr>
          <w:rStyle w:val="CommentReference"/>
          <w:sz w:val="24"/>
          <w:szCs w:val="24"/>
        </w:rPr>
        <w:commentReference w:id="195"/>
      </w:r>
    </w:p>
    <w:p w14:paraId="21594D6A" w14:textId="7324AE74" w:rsidR="009C3FA5" w:rsidRPr="00FC02BD" w:rsidRDefault="009C3FA5" w:rsidP="00C162F5">
      <w:pPr>
        <w:pStyle w:val="whitespace-normal"/>
        <w:spacing w:line="480" w:lineRule="auto"/>
        <w:ind w:firstLine="720"/>
        <w:rPr>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 of the total potential harvest falling within the closure window. Although the three-day and six-day extensions did improve both the minimum and average protection afforded to upper watershed groups, they also resulted in an additional </w:t>
      </w:r>
      <w:commentRangeStart w:id="196"/>
      <w:r>
        <w:rPr>
          <w:rFonts w:ascii="Garamond" w:hAnsi="Garamond"/>
        </w:rPr>
        <w:t xml:space="preserve">6% and 14% </w:t>
      </w:r>
      <w:commentRangeEnd w:id="196"/>
      <w:r w:rsidR="00CE01B9">
        <w:rPr>
          <w:rStyle w:val="CommentReference"/>
          <w:rFonts w:ascii="Garamond" w:hAnsi="Garamond"/>
          <w:sz w:val="24"/>
          <w:szCs w:val="24"/>
        </w:rPr>
        <w:commentReference w:id="196"/>
      </w:r>
      <w:r>
        <w:rPr>
          <w:rFonts w:ascii="Garamond" w:hAnsi="Garamond"/>
        </w:rPr>
        <w:t xml:space="preserve">of the potential harvest falling within the closure window. </w:t>
      </w:r>
    </w:p>
    <w:p w14:paraId="5003A478" w14:textId="593AF0CD" w:rsidR="003F1234" w:rsidRPr="00FC02BD" w:rsidRDefault="00C57048" w:rsidP="00F8373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goals and harvest opportunities. However, the overall effectiveness of this strategy in sustaining </w:t>
      </w:r>
      <w:r>
        <w:rPr>
          <w:rFonts w:ascii="Garamond" w:hAnsi="Garamond"/>
        </w:rPr>
        <w:lastRenderedPageBreak/>
        <w:t xml:space="preserve">stock diversity and balancing conservation with harvest depends not only on the protection provided to upper-watershed stocks 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Further, the timing of the front-end closure coincides with the preferred and traditional timing of fishing for many communities in the lower Kuskokwim. An extended duration of this closure has the potential to further disrupt </w:t>
      </w:r>
      <w:commentRangeStart w:id="197"/>
      <w:r>
        <w:rPr>
          <w:rFonts w:ascii="Garamond" w:hAnsi="Garamond"/>
        </w:rPr>
        <w:t xml:space="preserve">traditional fishing opportunities </w:t>
      </w:r>
      <w:commentRangeEnd w:id="197"/>
      <w:r w:rsidR="00CE01B9">
        <w:rPr>
          <w:rStyle w:val="CommentReference"/>
          <w:rFonts w:ascii="Garamond" w:hAnsi="Garamond"/>
          <w:sz w:val="24"/>
          <w:szCs w:val="24"/>
        </w:rPr>
        <w:commentReference w:id="197"/>
      </w:r>
      <w:r>
        <w:rPr>
          <w:rFonts w:ascii="Garamond" w:hAnsi="Garamond"/>
        </w:rPr>
        <w:t xml:space="preserve">for these communities and cause further hardship to subsistence communities in the basin. The efficacy of management strategies such as front-end closures must therefore be evaluated in the context of ecosystem, fishery, and cultural dynamics to fully understand their role in maintaining basin-wide biodiversity. </w:t>
      </w:r>
    </w:p>
    <w:p w14:paraId="3B62F4AB" w14:textId="5DE9E9DE" w:rsidR="00D04B7C" w:rsidRDefault="00E46D9E" w:rsidP="007B1069">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w:t>
      </w:r>
      <w:commentRangeStart w:id="198"/>
      <w:r>
        <w:rPr>
          <w:rFonts w:ascii="Garamond" w:hAnsi="Garamond"/>
        </w:rPr>
        <w:t>and our results replicate ecological patterns which have been observed in other contexts in the basin</w:t>
      </w:r>
      <w:commentRangeEnd w:id="198"/>
      <w:r w:rsidR="0033663A">
        <w:rPr>
          <w:rStyle w:val="CommentReference"/>
          <w:rFonts w:ascii="Garamond" w:hAnsi="Garamond"/>
          <w:sz w:val="24"/>
          <w:szCs w:val="24"/>
        </w:rPr>
        <w:commentReference w:id="198"/>
      </w:r>
      <w:r>
        <w:rPr>
          <w:rFonts w:ascii="Garamond" w:hAnsi="Garamond"/>
        </w:rPr>
        <w:t xml:space="preserve">.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commentRangeStart w:id="199"/>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r>
        <w:rPr>
          <w:rStyle w:val="Strong"/>
          <w:rFonts w:ascii="Garamond" w:eastAsiaTheme="majorEastAsia" w:hAnsi="Garamond"/>
        </w:rPr>
        <w:t xml:space="preserve"> </w:t>
      </w:r>
      <w:commentRangeEnd w:id="199"/>
      <w:r w:rsidR="00C247A1">
        <w:rPr>
          <w:rStyle w:val="CommentReference"/>
          <w:rFonts w:ascii="Garamond" w:eastAsiaTheme="majorEastAsia" w:hAnsi="Garamond"/>
          <w:sz w:val="24"/>
          <w:szCs w:val="24"/>
        </w:rPr>
        <w:commentReference w:id="199"/>
      </w:r>
      <w:r>
        <w:rPr>
          <w:rStyle w:val="Strong"/>
          <w:rFonts w:ascii="Garamond" w:eastAsiaTheme="majorEastAsia" w:hAnsi="Garamond"/>
          <w:b w:val="0"/>
          <w:bCs w:val="0"/>
        </w:rPr>
        <w:t>D</w:t>
      </w:r>
      <w:r>
        <w:rPr>
          <w:rFonts w:ascii="Garamond" w:hAnsi="Garamond"/>
        </w:rPr>
        <w:t xml:space="preserve">eveloping methods that explicitly consider this </w:t>
      </w:r>
      <w:r>
        <w:rPr>
          <w:rFonts w:ascii="Garamond" w:hAnsi="Garamond"/>
        </w:rPr>
        <w:lastRenderedPageBreak/>
        <w:t>diversity and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lastRenderedPageBreak/>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1841151D" w:rsidR="00983667" w:rsidRPr="00983667" w:rsidDel="00077041" w:rsidRDefault="00983667" w:rsidP="00983667">
      <w:pPr>
        <w:pStyle w:val="Bibliography"/>
        <w:rPr>
          <w:del w:id="200" w:author="Benjamin J. Makhlouf" w:date="2026-07-08T12:10:00Z" w16du:dateUtc="2026-07-08T19:10:00Z"/>
          <w:rFonts w:ascii="Garamond" w:hAnsi="Garamond"/>
        </w:rPr>
      </w:pPr>
      <w:del w:id="201" w:author="Benjamin J. Makhlouf" w:date="2026-07-08T12:10:00Z" w16du:dateUtc="2026-07-08T19:10:00Z">
        <w:r w:rsidDel="00077041">
          <w:rPr>
            <w:rFonts w:ascii="Garamond" w:hAnsi="Garamond"/>
          </w:rPr>
          <w:delText xml:space="preserve">Capo, R. C., Stewart, B. W., &amp; Chadwick, O. A. (1998). Strontium isotopes as tracers of ecosystem processes: Theory and methods. </w:delText>
        </w:r>
        <w:r w:rsidDel="00077041">
          <w:rPr>
            <w:rFonts w:ascii="Garamond" w:hAnsi="Garamond"/>
            <w:i/>
            <w:iCs/>
          </w:rPr>
          <w:delText>Geoderma</w:delText>
        </w:r>
        <w:r w:rsidDel="00077041">
          <w:rPr>
            <w:rFonts w:ascii="Garamond" w:hAnsi="Garamond"/>
          </w:rPr>
          <w:delText xml:space="preserve">, </w:delText>
        </w:r>
        <w:r w:rsidDel="00077041">
          <w:rPr>
            <w:rFonts w:ascii="Garamond" w:hAnsi="Garamond"/>
            <w:i/>
            <w:iCs/>
          </w:rPr>
          <w:delText>82</w:delText>
        </w:r>
        <w:r w:rsidDel="00077041">
          <w:rPr>
            <w:rFonts w:ascii="Garamond" w:hAnsi="Garamond"/>
          </w:rPr>
          <w:delText>(1), 197–225. https://doi.org/10.1016/S0016-7061(97)00102-X</w:delText>
        </w:r>
      </w:del>
    </w:p>
    <w:p w14:paraId="1F0908C6" w14:textId="77777777" w:rsidR="00983667" w:rsidRPr="00983667" w:rsidRDefault="00983667" w:rsidP="00983667">
      <w:pPr>
        <w:pStyle w:val="Bibliography"/>
        <w:rPr>
          <w:rFonts w:ascii="Garamond" w:hAnsi="Garamond"/>
        </w:rPr>
      </w:pPr>
      <w:r>
        <w:rPr>
          <w:rFonts w:ascii="Garamond" w:hAnsi="Garamond"/>
        </w:rPr>
        <w:t xml:space="preserve">Chittaro, P., Hegg, J., Fuhrman, A., Robichaux, D., Doung, R., Beckman, B., Fisher, C., Vervoort, J., &amp; Kennedy, B. (2023). The incorporation of environmentally derived 87Sr/86Sr and Sr/Ca </w:t>
      </w:r>
      <w:r>
        <w:rPr>
          <w:rFonts w:ascii="Garamond" w:hAnsi="Garamond"/>
        </w:rPr>
        <w:lastRenderedPageBreak/>
        <w:t xml:space="preserve">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t xml:space="preserve">French, D. W., Schindler, D. E., Brennan, S. R., &amp; Whited, D. (2020). Headwater Catchments Govern Biogeochemistry in America’s Largest Free-Flowing River Network. </w:t>
      </w:r>
      <w:r>
        <w:rPr>
          <w:rFonts w:ascii="Garamond" w:hAnsi="Garamond"/>
          <w:i/>
          <w:iCs/>
        </w:rPr>
        <w:t xml:space="preserve">Journal of </w:t>
      </w:r>
      <w:r>
        <w:rPr>
          <w:rFonts w:ascii="Garamond" w:hAnsi="Garamond"/>
          <w:i/>
          <w:iCs/>
        </w:rPr>
        <w:lastRenderedPageBreak/>
        <w:t>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lastRenderedPageBreak/>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lastRenderedPageBreak/>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lastRenderedPageBreak/>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 w:id="193" w:author="Benjamin J. Makhlouf" w:date="2026-06-23T10:24:00Z" w:initials="BM">
    <w:p w14:paraId="4B8310F4" w14:textId="77777777" w:rsidR="00F6033C" w:rsidRDefault="00F6033C" w:rsidP="00F6033C">
      <w:pPr>
        <w:pStyle w:val="CommentText"/>
      </w:pPr>
      <w:r>
        <w:rPr>
          <w:rStyle w:val="CommentReference"/>
        </w:rPr>
        <w:annotationRef/>
      </w:r>
      <w:r>
        <w:t>Suggestion to add comments about regional stock grou</w:t>
      </w:r>
    </w:p>
  </w:comment>
  <w:comment w:id="194" w:author="Benjamin J. Makhlouf" w:date="2026-07-08T11:58:00Z" w:initials="BM">
    <w:p w14:paraId="436C5F82" w14:textId="77777777" w:rsidR="0033663A" w:rsidRDefault="0033663A" w:rsidP="0033663A">
      <w:pPr>
        <w:pStyle w:val="CommentText"/>
      </w:pPr>
      <w:r>
        <w:rPr>
          <w:rStyle w:val="CommentReference"/>
        </w:rPr>
        <w:annotationRef/>
      </w:r>
      <w:r>
        <w:t xml:space="preserve">Add here a discussion of the among group variation </w:t>
      </w:r>
    </w:p>
  </w:comment>
  <w:comment w:id="195" w:author="Benjamin J. Makhlouf" w:date="2026-07-08T12:46:00Z" w:initials="BM">
    <w:p w14:paraId="5218EA46" w14:textId="77777777" w:rsidR="00C247A1" w:rsidRDefault="00C247A1" w:rsidP="00C247A1">
      <w:pPr>
        <w:pStyle w:val="CommentText"/>
      </w:pPr>
      <w:r>
        <w:rPr>
          <w:rStyle w:val="CommentReference"/>
        </w:rPr>
        <w:annotationRef/>
      </w:r>
      <w:r>
        <w:t>Add some additional language about why the front end closure is implemented in the first place and limitations on a dynamic management method</w:t>
      </w:r>
    </w:p>
  </w:comment>
  <w:comment w:id="196" w:author="Benjamin J. Makhlouf" w:date="2026-07-08T15:18:00Z" w:initials="BM">
    <w:p w14:paraId="6CA529B2" w14:textId="77777777" w:rsidR="00CE01B9" w:rsidRDefault="00CE01B9" w:rsidP="00CE01B9">
      <w:pPr>
        <w:pStyle w:val="CommentText"/>
      </w:pPr>
      <w:r>
        <w:rPr>
          <w:rStyle w:val="CommentReference"/>
        </w:rPr>
        <w:annotationRef/>
      </w:r>
      <w:r>
        <w:t>Add Range</w:t>
      </w:r>
    </w:p>
  </w:comment>
  <w:comment w:id="197"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 w:id="198" w:author="Benjamin J. Makhlouf" w:date="2026-07-08T12:00:00Z" w:initials="BM">
    <w:p w14:paraId="72554D13" w14:textId="77777777" w:rsidR="0033663A" w:rsidRDefault="0033663A" w:rsidP="0033663A">
      <w:pPr>
        <w:pStyle w:val="CommentText"/>
      </w:pPr>
      <w:r>
        <w:rPr>
          <w:rStyle w:val="CommentReference"/>
        </w:rPr>
        <w:annotationRef/>
      </w:r>
      <w:r>
        <w:t>Add here more detail and context from other reports/knowledge on the basin</w:t>
      </w:r>
    </w:p>
  </w:comment>
  <w:comment w:id="199" w:author="Benjamin J. Makhlouf" w:date="2026-07-08T12:39:00Z" w:initials="BM">
    <w:p w14:paraId="682934CA" w14:textId="77777777" w:rsidR="00C247A1" w:rsidRDefault="00C247A1" w:rsidP="00C247A1">
      <w:pPr>
        <w:pStyle w:val="CommentText"/>
      </w:pPr>
      <w:r>
        <w:rPr>
          <w:rStyle w:val="CommentReference"/>
        </w:rPr>
        <w:annotationRef/>
      </w:r>
      <w:r>
        <w:t>Add mention of other systems (SAC)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Ex w15:paraId="4B8310F4" w15:done="0"/>
  <w15:commentEx w15:paraId="436C5F82" w15:done="0"/>
  <w15:commentEx w15:paraId="5218EA46" w15:done="0"/>
  <w15:commentEx w15:paraId="6CA529B2" w15:done="0"/>
  <w15:commentEx w15:paraId="4AA07CE7" w15:done="0"/>
  <w15:commentEx w15:paraId="72554D13" w15:done="0"/>
  <w15:commentEx w15:paraId="68293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Extensible w16cex:durableId="08FE87E1" w16cex:dateUtc="2026-06-23T17:24:00Z"/>
  <w16cex:commentExtensible w16cex:durableId="36AF82A6" w16cex:dateUtc="2026-07-08T18:58:00Z"/>
  <w16cex:commentExtensible w16cex:durableId="1A4B2E34" w16cex:dateUtc="2026-07-08T19:46:00Z"/>
  <w16cex:commentExtensible w16cex:durableId="250ECC21" w16cex:dateUtc="2026-07-08T22:18:00Z"/>
  <w16cex:commentExtensible w16cex:durableId="277D6AAB" w16cex:dateUtc="2026-07-08T22:19:00Z"/>
  <w16cex:commentExtensible w16cex:durableId="387E2BD2" w16cex:dateUtc="2026-07-08T19:00:00Z"/>
  <w16cex:commentExtensible w16cex:durableId="137B3CB7" w16cex:dateUtc="2026-07-08T1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Id w16cid:paraId="4B8310F4" w16cid:durableId="08FE87E1"/>
  <w16cid:commentId w16cid:paraId="436C5F82" w16cid:durableId="36AF82A6"/>
  <w16cid:commentId w16cid:paraId="5218EA46" w16cid:durableId="1A4B2E34"/>
  <w16cid:commentId w16cid:paraId="6CA529B2" w16cid:durableId="250ECC21"/>
  <w16cid:commentId w16cid:paraId="4AA07CE7" w16cid:durableId="277D6AAB"/>
  <w16cid:commentId w16cid:paraId="72554D13" w16cid:durableId="387E2BD2"/>
  <w16cid:commentId w16cid:paraId="682934CA" w16cid:durableId="137B3C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EE9F4" w14:textId="77777777" w:rsidR="004956FA" w:rsidRDefault="004956FA">
      <w:pPr>
        <w:spacing w:after="0" w:line="240" w:lineRule="auto"/>
      </w:pPr>
      <w:r>
        <w:separator/>
      </w:r>
    </w:p>
  </w:endnote>
  <w:endnote w:type="continuationSeparator" w:id="0">
    <w:p w14:paraId="3985BEAE" w14:textId="77777777" w:rsidR="004956FA" w:rsidRDefault="00495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E4FA7" w14:textId="77777777" w:rsidR="004956FA" w:rsidRDefault="004956FA">
      <w:pPr>
        <w:spacing w:after="0" w:line="240" w:lineRule="auto"/>
      </w:pPr>
      <w:r>
        <w:separator/>
      </w:r>
    </w:p>
  </w:footnote>
  <w:footnote w:type="continuationSeparator" w:id="0">
    <w:p w14:paraId="282CF752" w14:textId="77777777" w:rsidR="004956FA" w:rsidRDefault="004956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11A0E"/>
    <w:rsid w:val="000259EB"/>
    <w:rsid w:val="00033E6D"/>
    <w:rsid w:val="00040237"/>
    <w:rsid w:val="0004196B"/>
    <w:rsid w:val="00044401"/>
    <w:rsid w:val="000566CD"/>
    <w:rsid w:val="00060FEB"/>
    <w:rsid w:val="00065DC6"/>
    <w:rsid w:val="00066D9D"/>
    <w:rsid w:val="00071218"/>
    <w:rsid w:val="00072056"/>
    <w:rsid w:val="00077041"/>
    <w:rsid w:val="00083A7A"/>
    <w:rsid w:val="00085380"/>
    <w:rsid w:val="000854BE"/>
    <w:rsid w:val="00093841"/>
    <w:rsid w:val="000941AF"/>
    <w:rsid w:val="000979CB"/>
    <w:rsid w:val="000A55A6"/>
    <w:rsid w:val="000B5639"/>
    <w:rsid w:val="000B6B65"/>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90B2C"/>
    <w:rsid w:val="0019169F"/>
    <w:rsid w:val="00197965"/>
    <w:rsid w:val="001A07DD"/>
    <w:rsid w:val="001B0AC6"/>
    <w:rsid w:val="001C3B8F"/>
    <w:rsid w:val="001C6B33"/>
    <w:rsid w:val="001D3E40"/>
    <w:rsid w:val="001D6D0B"/>
    <w:rsid w:val="001D71C8"/>
    <w:rsid w:val="001E03F0"/>
    <w:rsid w:val="001E0D88"/>
    <w:rsid w:val="001F2097"/>
    <w:rsid w:val="001F70E4"/>
    <w:rsid w:val="0020053D"/>
    <w:rsid w:val="002006A2"/>
    <w:rsid w:val="0020187E"/>
    <w:rsid w:val="00206F6C"/>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74F7"/>
    <w:rsid w:val="0026256C"/>
    <w:rsid w:val="00267F38"/>
    <w:rsid w:val="00270862"/>
    <w:rsid w:val="002768BC"/>
    <w:rsid w:val="002769C2"/>
    <w:rsid w:val="00276AFF"/>
    <w:rsid w:val="002811E4"/>
    <w:rsid w:val="002948A2"/>
    <w:rsid w:val="002A3FE3"/>
    <w:rsid w:val="002B1F16"/>
    <w:rsid w:val="002B597E"/>
    <w:rsid w:val="002C1C99"/>
    <w:rsid w:val="002C21B7"/>
    <w:rsid w:val="002C2F48"/>
    <w:rsid w:val="002C3375"/>
    <w:rsid w:val="002C6F1E"/>
    <w:rsid w:val="002D12FE"/>
    <w:rsid w:val="002D2CBF"/>
    <w:rsid w:val="002E45E7"/>
    <w:rsid w:val="002E5716"/>
    <w:rsid w:val="002F0A2B"/>
    <w:rsid w:val="003031E8"/>
    <w:rsid w:val="00304260"/>
    <w:rsid w:val="00306D21"/>
    <w:rsid w:val="003071D2"/>
    <w:rsid w:val="00310A9F"/>
    <w:rsid w:val="00312FC9"/>
    <w:rsid w:val="00313CB8"/>
    <w:rsid w:val="003157C4"/>
    <w:rsid w:val="00320DDA"/>
    <w:rsid w:val="003224CC"/>
    <w:rsid w:val="0033106A"/>
    <w:rsid w:val="0033540B"/>
    <w:rsid w:val="0033663A"/>
    <w:rsid w:val="00343C0B"/>
    <w:rsid w:val="003442B4"/>
    <w:rsid w:val="003474F0"/>
    <w:rsid w:val="003505B6"/>
    <w:rsid w:val="003508BF"/>
    <w:rsid w:val="003525FA"/>
    <w:rsid w:val="0035364D"/>
    <w:rsid w:val="00354EC0"/>
    <w:rsid w:val="00356C95"/>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598A"/>
    <w:rsid w:val="0039711B"/>
    <w:rsid w:val="00397AF1"/>
    <w:rsid w:val="00397FF6"/>
    <w:rsid w:val="003A1EB0"/>
    <w:rsid w:val="003A53E2"/>
    <w:rsid w:val="003A58F7"/>
    <w:rsid w:val="003A7F78"/>
    <w:rsid w:val="003B0A46"/>
    <w:rsid w:val="003B38A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24DB6"/>
    <w:rsid w:val="00425BAB"/>
    <w:rsid w:val="004261EE"/>
    <w:rsid w:val="00431422"/>
    <w:rsid w:val="00433B90"/>
    <w:rsid w:val="00437729"/>
    <w:rsid w:val="00441FFD"/>
    <w:rsid w:val="00442120"/>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513B"/>
    <w:rsid w:val="00477415"/>
    <w:rsid w:val="00481088"/>
    <w:rsid w:val="00491C12"/>
    <w:rsid w:val="004956FA"/>
    <w:rsid w:val="004A0003"/>
    <w:rsid w:val="004A072A"/>
    <w:rsid w:val="004A6CF4"/>
    <w:rsid w:val="004B1488"/>
    <w:rsid w:val="004B1829"/>
    <w:rsid w:val="004B19B1"/>
    <w:rsid w:val="004B2F94"/>
    <w:rsid w:val="004B5E0E"/>
    <w:rsid w:val="004B7BC4"/>
    <w:rsid w:val="004C2230"/>
    <w:rsid w:val="004C3939"/>
    <w:rsid w:val="004C58FF"/>
    <w:rsid w:val="004C5CB5"/>
    <w:rsid w:val="004C6CE6"/>
    <w:rsid w:val="004D0AA2"/>
    <w:rsid w:val="004D6874"/>
    <w:rsid w:val="004D6C38"/>
    <w:rsid w:val="004D7CC1"/>
    <w:rsid w:val="004E359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16E6"/>
    <w:rsid w:val="005463B2"/>
    <w:rsid w:val="00551911"/>
    <w:rsid w:val="005554D7"/>
    <w:rsid w:val="00557194"/>
    <w:rsid w:val="00571049"/>
    <w:rsid w:val="00572EF0"/>
    <w:rsid w:val="0057720D"/>
    <w:rsid w:val="005805EB"/>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C9F"/>
    <w:rsid w:val="00642B65"/>
    <w:rsid w:val="00643AC4"/>
    <w:rsid w:val="00645EF1"/>
    <w:rsid w:val="00651133"/>
    <w:rsid w:val="00653AE8"/>
    <w:rsid w:val="00653AF7"/>
    <w:rsid w:val="006540BC"/>
    <w:rsid w:val="0065535A"/>
    <w:rsid w:val="00655F63"/>
    <w:rsid w:val="00656B48"/>
    <w:rsid w:val="006617C0"/>
    <w:rsid w:val="0066241A"/>
    <w:rsid w:val="00662537"/>
    <w:rsid w:val="00663FC6"/>
    <w:rsid w:val="00665BC1"/>
    <w:rsid w:val="00673B3C"/>
    <w:rsid w:val="006762C3"/>
    <w:rsid w:val="00676513"/>
    <w:rsid w:val="00682611"/>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71BB"/>
    <w:rsid w:val="007C0A61"/>
    <w:rsid w:val="007C1050"/>
    <w:rsid w:val="007C2267"/>
    <w:rsid w:val="007C2373"/>
    <w:rsid w:val="007C6331"/>
    <w:rsid w:val="007C6D95"/>
    <w:rsid w:val="007D1726"/>
    <w:rsid w:val="007D2894"/>
    <w:rsid w:val="007D630A"/>
    <w:rsid w:val="007D7981"/>
    <w:rsid w:val="007E1736"/>
    <w:rsid w:val="007E3A31"/>
    <w:rsid w:val="007F098D"/>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57F51"/>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7376"/>
    <w:rsid w:val="008B0A5A"/>
    <w:rsid w:val="008B3EA1"/>
    <w:rsid w:val="008B64EE"/>
    <w:rsid w:val="008B6684"/>
    <w:rsid w:val="008C03AF"/>
    <w:rsid w:val="008C378F"/>
    <w:rsid w:val="008C65D7"/>
    <w:rsid w:val="008D1422"/>
    <w:rsid w:val="008D1B8A"/>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2FBC"/>
    <w:rsid w:val="00933D52"/>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D0427"/>
    <w:rsid w:val="009D3148"/>
    <w:rsid w:val="009D66DA"/>
    <w:rsid w:val="009E68C7"/>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779D"/>
    <w:rsid w:val="00AC7C2D"/>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7C48"/>
    <w:rsid w:val="00BD0803"/>
    <w:rsid w:val="00BD2F8F"/>
    <w:rsid w:val="00BF0C62"/>
    <w:rsid w:val="00BF307A"/>
    <w:rsid w:val="00BF42AB"/>
    <w:rsid w:val="00C013DD"/>
    <w:rsid w:val="00C107EA"/>
    <w:rsid w:val="00C10AF2"/>
    <w:rsid w:val="00C162F5"/>
    <w:rsid w:val="00C1704A"/>
    <w:rsid w:val="00C247A1"/>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25F2"/>
    <w:rsid w:val="00D71360"/>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54BB"/>
    <w:rsid w:val="00E45959"/>
    <w:rsid w:val="00E45D57"/>
    <w:rsid w:val="00E46D9E"/>
    <w:rsid w:val="00E46ECD"/>
    <w:rsid w:val="00E471DA"/>
    <w:rsid w:val="00E61436"/>
    <w:rsid w:val="00E6389A"/>
    <w:rsid w:val="00E66931"/>
    <w:rsid w:val="00E671EF"/>
    <w:rsid w:val="00E67672"/>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698F"/>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33D7"/>
    <w:rsid w:val="00FB3E37"/>
    <w:rsid w:val="00FC02BD"/>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25</Pages>
  <Words>24387</Words>
  <Characters>139009</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30</cp:revision>
  <cp:lastPrinted>2026-03-10T22:36:00Z</cp:lastPrinted>
  <dcterms:created xsi:type="dcterms:W3CDTF">2026-03-10T22:36:00Z</dcterms:created>
  <dcterms:modified xsi:type="dcterms:W3CDTF">2026-07-08T22:20:00Z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