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11783" w14:textId="7028B994" w:rsidR="0066241A" w:rsidRPr="00E84029" w:rsidRDefault="007F66C5" w:rsidP="0017389D">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1E8600C0" w14:textId="77777777" w:rsidR="00424DB6" w:rsidRDefault="00424DB6" w:rsidP="004712C9">
      <w:pPr>
        <w:suppressLineNumbers/>
        <w:jc w:val="center"/>
        <w:rPr>
          <w:rFonts w:ascii="Garamond" w:hAnsi="Garamond"/>
          <w:sz w:val="20"/>
          <w:szCs w:val="20"/>
        </w:rPr>
      </w:pPr>
    </w:p>
    <w:p w14:paraId="0C7925DE" w14:textId="2EFAB6FE"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w:t>
      </w:r>
      <w:r w:rsidR="0024031C">
        <w:rPr>
          <w:rFonts w:ascii="Garamond" w:hAnsi="Garamond"/>
          <w:sz w:val="20"/>
          <w:szCs w:val="20"/>
        </w:rPr>
        <w:t>othy J.</w:t>
      </w:r>
      <w:r w:rsidRPr="0066241A">
        <w:rPr>
          <w:rFonts w:ascii="Garamond" w:hAnsi="Garamond"/>
          <w:sz w:val="20"/>
          <w:szCs w:val="20"/>
        </w:rPr>
        <w:t xml:space="preserve"> Cline</w:t>
      </w:r>
    </w:p>
    <w:p w14:paraId="398E1809" w14:textId="787A2D25" w:rsidR="009A7B39" w:rsidRPr="0016395C" w:rsidRDefault="009A7B39" w:rsidP="004712C9">
      <w:pPr>
        <w:suppressLineNumbers/>
        <w:jc w:val="center"/>
        <w:rPr>
          <w:rFonts w:ascii="Garamond" w:hAnsi="Garamond"/>
          <w:b/>
          <w:bCs/>
          <w:sz w:val="20"/>
          <w:szCs w:val="20"/>
        </w:rPr>
      </w:pPr>
    </w:p>
    <w:p w14:paraId="75F3761F" w14:textId="092F2BAB" w:rsidR="003717DB" w:rsidRPr="0066241A" w:rsidRDefault="00E61436" w:rsidP="004712C9">
      <w:pPr>
        <w:suppressLineNumbers/>
        <w:rPr>
          <w:rFonts w:ascii="Garamond" w:hAnsi="Garamond"/>
          <w:b/>
          <w:bCs/>
          <w:sz w:val="22"/>
          <w:szCs w:val="22"/>
          <w:u w:val="single"/>
        </w:rPr>
      </w:pPr>
      <w:r>
        <w:rPr>
          <w:rFonts w:ascii="Garamond" w:hAnsi="Garamond"/>
          <w:b/>
          <w:bCs/>
          <w:sz w:val="22"/>
          <w:szCs w:val="22"/>
          <w:u w:val="single"/>
        </w:rPr>
        <w:t>Abstract:</w:t>
      </w:r>
    </w:p>
    <w:p w14:paraId="7006494F" w14:textId="585B0F11" w:rsidR="003717DB" w:rsidRDefault="0026256C" w:rsidP="00424DB6">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w:t>
      </w:r>
      <w:commentRangeStart w:id="0"/>
      <w:commentRangeEnd w:id="0"/>
      <w:r w:rsidR="0024031C">
        <w:rPr>
          <w:rStyle w:val="CommentReference"/>
        </w:rPr>
        <w:commentReference w:id="0"/>
      </w:r>
      <w:r w:rsidRPr="001018D7">
        <w:rPr>
          <w:rFonts w:ascii="Garamond" w:hAnsi="Garamond"/>
          <w:sz w:val="22"/>
          <w:szCs w:val="22"/>
        </w:rPr>
        <w:t xml:space="preserve">biodiversity. Pacific salmon returning to large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w:t>
      </w:r>
      <w:r w:rsidR="007878C0">
        <w:rPr>
          <w:rFonts w:ascii="Garamond" w:hAnsi="Garamond"/>
          <w:sz w:val="22"/>
          <w:szCs w:val="22"/>
        </w:rPr>
        <w:t>population-</w:t>
      </w:r>
      <w:r w:rsidRPr="001018D7">
        <w:rPr>
          <w:rFonts w:ascii="Garamond" w:hAnsi="Garamond"/>
          <w:sz w:val="22"/>
          <w:szCs w:val="22"/>
        </w:rPr>
        <w:t xml:space="preserve">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00424DB6" w:rsidRPr="001018D7">
        <w:rPr>
          <w:rFonts w:ascii="Garamond" w:hAnsi="Garamond"/>
          <w:sz w:val="22"/>
          <w:szCs w:val="22"/>
        </w:rPr>
        <w:t>observe</w:t>
      </w:r>
      <w:r w:rsidRPr="001018D7">
        <w:rPr>
          <w:rFonts w:ascii="Garamond" w:hAnsi="Garamond"/>
          <w:sz w:val="22"/>
          <w:szCs w:val="22"/>
        </w:rPr>
        <w:t xml:space="preserve"> interannual variability in the magnitude of population contributions and overall run timing. The front-end closure strategy provided disproportionately higher protection to upper watershed stocks</w:t>
      </w:r>
      <w:r w:rsidR="007878C0">
        <w:rPr>
          <w:rFonts w:ascii="Garamond" w:hAnsi="Garamond"/>
          <w:sz w:val="22"/>
          <w:szCs w:val="22"/>
        </w:rPr>
        <w:t xml:space="preserve">. Although </w:t>
      </w:r>
      <w:r w:rsidRPr="001018D7">
        <w:rPr>
          <w:rFonts w:ascii="Garamond" w:hAnsi="Garamond"/>
          <w:sz w:val="22"/>
          <w:szCs w:val="22"/>
        </w:rPr>
        <w:t xml:space="preserve">preserving upstream population diversity </w:t>
      </w:r>
      <w:r w:rsidR="007878C0">
        <w:rPr>
          <w:rFonts w:ascii="Garamond" w:hAnsi="Garamond"/>
          <w:sz w:val="22"/>
          <w:szCs w:val="22"/>
        </w:rPr>
        <w:t xml:space="preserve">may help </w:t>
      </w:r>
      <w:r w:rsidRPr="001018D7">
        <w:rPr>
          <w:rFonts w:ascii="Garamond" w:hAnsi="Garamond"/>
          <w:sz w:val="22"/>
          <w:szCs w:val="22"/>
        </w:rPr>
        <w:t>stabilizing basin-wide fishery dynamics</w:t>
      </w:r>
      <w:r w:rsidR="007878C0">
        <w:rPr>
          <w:rFonts w:ascii="Garamond" w:hAnsi="Garamond"/>
          <w:sz w:val="22"/>
          <w:szCs w:val="22"/>
        </w:rPr>
        <w:t xml:space="preserve">, the effect on overall biodiversity depends on the interaction between run dynamics and harvest strategies on later returning stocks.  </w:t>
      </w:r>
    </w:p>
    <w:p w14:paraId="493050FD" w14:textId="77777777" w:rsidR="00C013DD" w:rsidRDefault="00C013DD" w:rsidP="00424DB6">
      <w:pPr>
        <w:suppressLineNumbers/>
        <w:spacing w:line="480" w:lineRule="auto"/>
        <w:ind w:firstLine="720"/>
        <w:rPr>
          <w:rFonts w:ascii="Garamond" w:hAnsi="Garamond"/>
          <w:sz w:val="22"/>
          <w:szCs w:val="22"/>
        </w:rPr>
      </w:pPr>
    </w:p>
    <w:p w14:paraId="31631E8F" w14:textId="77777777" w:rsidR="00C013DD" w:rsidRDefault="00C013DD" w:rsidP="00424DB6">
      <w:pPr>
        <w:suppressLineNumbers/>
        <w:spacing w:line="480" w:lineRule="auto"/>
        <w:ind w:firstLine="720"/>
        <w:rPr>
          <w:rFonts w:ascii="Garamond" w:hAnsi="Garamond"/>
          <w:sz w:val="22"/>
          <w:szCs w:val="22"/>
        </w:rPr>
      </w:pPr>
    </w:p>
    <w:p w14:paraId="0807D546" w14:textId="77777777" w:rsidR="00424DB6" w:rsidRDefault="00424DB6" w:rsidP="00424DB6">
      <w:pPr>
        <w:suppressLineNumbers/>
        <w:spacing w:line="480" w:lineRule="auto"/>
        <w:ind w:firstLine="720"/>
        <w:rPr>
          <w:rFonts w:ascii="Garamond" w:hAnsi="Garamond"/>
          <w:sz w:val="22"/>
          <w:szCs w:val="22"/>
        </w:rPr>
      </w:pPr>
    </w:p>
    <w:p w14:paraId="06EA0954" w14:textId="77777777" w:rsidR="009B595F" w:rsidRPr="00424DB6" w:rsidRDefault="009B595F" w:rsidP="00424DB6">
      <w:pPr>
        <w:suppressLineNumbers/>
        <w:spacing w:line="480" w:lineRule="auto"/>
        <w:ind w:firstLine="720"/>
        <w:rPr>
          <w:rFonts w:ascii="Garamond" w:hAnsi="Garamond"/>
          <w:sz w:val="22"/>
          <w:szCs w:val="22"/>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Introduction: </w:t>
      </w:r>
      <w:r w:rsidRPr="006D1917">
        <w:rPr>
          <w:rFonts w:ascii="Garamond" w:hAnsi="Garamond"/>
          <w:sz w:val="22"/>
          <w:szCs w:val="22"/>
        </w:rPr>
        <w:t xml:space="preserve"> </w:t>
      </w:r>
    </w:p>
    <w:p w14:paraId="6DA4DC8E" w14:textId="5651D983" w:rsidR="00D86CD4" w:rsidRPr="007F098D" w:rsidRDefault="00AD4BE1" w:rsidP="00946A92">
      <w:pPr>
        <w:spacing w:line="480" w:lineRule="auto"/>
        <w:ind w:firstLine="720"/>
        <w:rPr>
          <w:rFonts w:ascii="Garamond" w:hAnsi="Garamond"/>
        </w:rPr>
      </w:pPr>
      <w:r w:rsidRPr="007F098D">
        <w:rPr>
          <w:rFonts w:ascii="Garamond" w:hAnsi="Garamond"/>
        </w:rPr>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F1425A">
        <w:rPr>
          <w:rFonts w:ascii="Garamond" w:hAnsi="Garamond"/>
        </w:rPr>
        <w:t>bio</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r w:rsidR="00B01FE3" w:rsidRPr="007F098D">
        <w:rPr>
          <w:rFonts w:ascii="Garamond" w:hAnsi="Garamond"/>
        </w:rPr>
        <w:fldChar w:fldCharType="begin"/>
      </w:r>
      <w:r w:rsidR="007F7231">
        <w:rPr>
          <w:rFonts w:ascii="Garamond" w:hAnsi="Garamond"/>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sidR="00B01FE3" w:rsidRPr="007F098D">
        <w:rPr>
          <w:rFonts w:ascii="Garamond" w:hAnsi="Garamond"/>
        </w:rPr>
        <w:fldChar w:fldCharType="separate"/>
      </w:r>
      <w:r w:rsidR="007F7231">
        <w:rPr>
          <w:rFonts w:ascii="Garamond" w:hAnsi="Garamond"/>
          <w:noProof/>
        </w:rPr>
        <w:t>(Cline et al., 2017; Schindler et al., 2015; Tilman et al., 2005)</w:t>
      </w:r>
      <w:r w:rsidR="00B01FE3" w:rsidRPr="007F098D">
        <w:rPr>
          <w:rFonts w:ascii="Garamond" w:hAnsi="Garamond"/>
        </w:rPr>
        <w:fldChar w:fldCharType="end"/>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0DA81526" w:rsidR="00ED2A48" w:rsidRPr="007F098D" w:rsidRDefault="009F6624" w:rsidP="00D10F35">
      <w:pPr>
        <w:spacing w:line="480" w:lineRule="auto"/>
        <w:ind w:firstLine="720"/>
        <w:rPr>
          <w:rFonts w:ascii="Garamond" w:hAnsi="Garamond"/>
        </w:rPr>
      </w:pPr>
      <w:r w:rsidRPr="007F098D">
        <w:rPr>
          <w:rFonts w:ascii="Garamond" w:hAnsi="Garamond"/>
        </w:rPr>
        <w:t>Pacific salmon</w:t>
      </w:r>
      <w:r w:rsidR="00B60D7F">
        <w:rPr>
          <w:rFonts w:ascii="Garamond" w:hAnsi="Garamond"/>
        </w:rPr>
        <w:t xml:space="preserve"> (</w:t>
      </w:r>
      <w:r w:rsidR="00B60D7F" w:rsidRPr="007F7231">
        <w:rPr>
          <w:rFonts w:ascii="Garamond" w:hAnsi="Garamond"/>
          <w:i/>
          <w:iCs/>
        </w:rPr>
        <w:t>Oncorhynchus spp.)</w:t>
      </w:r>
      <w:r w:rsidRPr="007F098D">
        <w:rPr>
          <w:rFonts w:ascii="Garamond" w:hAnsi="Garamond"/>
        </w:rPr>
        <w:t xml:space="preserve"> returning to </w:t>
      </w:r>
      <w:r w:rsidR="007F7231">
        <w:rPr>
          <w:rFonts w:ascii="Garamond" w:hAnsi="Garamond"/>
        </w:rPr>
        <w:t xml:space="preserve">their natal </w:t>
      </w:r>
      <w:r w:rsidRPr="007F098D">
        <w:rPr>
          <w:rFonts w:ascii="Garamond" w:hAnsi="Garamond"/>
        </w:rPr>
        <w:t>watersheds</w:t>
      </w:r>
      <w:r w:rsidR="0047513B" w:rsidRPr="007F098D">
        <w:rPr>
          <w:rFonts w:ascii="Garamond" w:hAnsi="Garamond"/>
        </w:rPr>
        <w:t xml:space="preserve"> exhibit significant diversity in run timing and spatial distribution across large</w:t>
      </w:r>
      <w:r w:rsidRPr="007F098D">
        <w:rPr>
          <w:rFonts w:ascii="Garamond" w:hAnsi="Garamond"/>
        </w:rPr>
        <w:t xml:space="preserve"> and</w:t>
      </w:r>
      <w:r w:rsidR="0047513B" w:rsidRPr="007F098D">
        <w:rPr>
          <w:rFonts w:ascii="Garamond" w:hAnsi="Garamond"/>
        </w:rPr>
        <w:t xml:space="preserve"> complex</w:t>
      </w:r>
      <w:r w:rsidRPr="007F098D">
        <w:rPr>
          <w:rFonts w:ascii="Garamond" w:hAnsi="Garamond"/>
        </w:rPr>
        <w:t xml:space="preserve"> </w:t>
      </w:r>
      <w:r w:rsidR="0047513B" w:rsidRPr="007F098D">
        <w:rPr>
          <w:rFonts w:ascii="Garamond" w:hAnsi="Garamond"/>
        </w:rPr>
        <w:t>river systems</w:t>
      </w:r>
      <w:r w:rsidR="007E1736">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E1736">
        <w:rPr>
          <w:rFonts w:ascii="Garamond" w:hAnsi="Garamond"/>
        </w:rPr>
        <w:fldChar w:fldCharType="separate"/>
      </w:r>
      <w:r w:rsidR="007E1736">
        <w:rPr>
          <w:rFonts w:ascii="Garamond" w:hAnsi="Garamond"/>
          <w:noProof/>
        </w:rPr>
        <w:t>(Griffiths et al., 2014; Nesbitt &amp; Moore, 2016; Schindler et al., 2010)</w:t>
      </w:r>
      <w:r w:rsidR="007E1736">
        <w:rPr>
          <w:rFonts w:ascii="Garamond" w:hAnsi="Garamond"/>
        </w:rPr>
        <w:fldChar w:fldCharType="end"/>
      </w:r>
      <w:r w:rsidR="007E1736">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stocks </w:t>
      </w:r>
      <w:r w:rsidR="005078D8" w:rsidRPr="007F098D">
        <w:rPr>
          <w:rFonts w:ascii="Garamond" w:hAnsi="Garamond"/>
        </w:rPr>
        <w:t xml:space="preserve">which vary in their relative </w:t>
      </w:r>
      <w:r w:rsidR="00F1425A">
        <w:rPr>
          <w:rFonts w:ascii="Garamond" w:hAnsi="Garamond"/>
        </w:rPr>
        <w:t>abundance and life-history</w:t>
      </w:r>
      <w:r w:rsidR="00D86CD4" w:rsidRPr="007F098D">
        <w:rPr>
          <w:rFonts w:ascii="Garamond" w:hAnsi="Garamond"/>
        </w:rPr>
        <w:t>,</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9B595F">
        <w:rPr>
          <w:rFonts w:ascii="Garamond" w:hAnsi="Garamond"/>
        </w:rPr>
        <w:t xml:space="preserve">Downstream fisheries which harvest on migrating </w:t>
      </w:r>
      <w:r w:rsidR="0050237A">
        <w:rPr>
          <w:rFonts w:ascii="Garamond" w:hAnsi="Garamond"/>
        </w:rPr>
        <w:t xml:space="preserve">individuals </w:t>
      </w:r>
      <w:r w:rsidR="009B595F">
        <w:rPr>
          <w:rFonts w:ascii="Garamond" w:hAnsi="Garamond"/>
        </w:rPr>
        <w:t>therefore</w:t>
      </w:r>
      <w:r w:rsidR="007F7231">
        <w:rPr>
          <w:rFonts w:ascii="Garamond" w:hAnsi="Garamond"/>
        </w:rPr>
        <w:t xml:space="preserve"> </w:t>
      </w:r>
      <w:r w:rsidR="009B595F">
        <w:rPr>
          <w:rFonts w:ascii="Garamond" w:hAnsi="Garamond"/>
        </w:rPr>
        <w:t xml:space="preserve">risk </w:t>
      </w:r>
      <w:r w:rsidR="007F7231">
        <w:rPr>
          <w:rFonts w:ascii="Garamond" w:hAnsi="Garamond"/>
        </w:rPr>
        <w:t>overexploitation of vulnerable stocks which co-migrate with more robust one</w:t>
      </w:r>
      <w:r w:rsidR="009B595F">
        <w:rPr>
          <w:rFonts w:ascii="Garamond" w:hAnsi="Garamond"/>
        </w:rPr>
        <w:t>s</w:t>
      </w:r>
      <w:r w:rsidR="007F7231">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50237A">
        <w:rPr>
          <w:rFonts w:ascii="Garamond" w:hAnsi="Garamond"/>
        </w:rPr>
        <w:t xml:space="preserve">Stocks which migrate the </w:t>
      </w:r>
      <w:r w:rsidR="003157C4">
        <w:rPr>
          <w:rFonts w:ascii="Garamond" w:hAnsi="Garamond"/>
        </w:rPr>
        <w:t xml:space="preserve">furthest upstream face particular risk </w:t>
      </w:r>
      <w:r w:rsidR="00F40CAD">
        <w:rPr>
          <w:rFonts w:ascii="Garamond" w:hAnsi="Garamond"/>
        </w:rPr>
        <w:t xml:space="preserve">of overharvest given their long migration. </w:t>
      </w:r>
      <w:r w:rsidR="0050237A">
        <w:rPr>
          <w:rFonts w:ascii="Garamond" w:hAnsi="Garamond"/>
        </w:rPr>
        <w:t>However, t</w:t>
      </w:r>
      <w:r w:rsidR="00ED2A48" w:rsidRPr="007F098D">
        <w:rPr>
          <w:rFonts w:ascii="Garamond" w:hAnsi="Garamond"/>
        </w:rPr>
        <w:t xml:space="preserve">he timing, </w:t>
      </w:r>
      <w:r w:rsidR="007F7231">
        <w:rPr>
          <w:rFonts w:ascii="Garamond" w:hAnsi="Garamond"/>
        </w:rPr>
        <w:t>yield</w:t>
      </w:r>
      <w:r w:rsidR="00ED2A48" w:rsidRPr="007F098D">
        <w:rPr>
          <w:rFonts w:ascii="Garamond" w:hAnsi="Garamond"/>
        </w:rPr>
        <w:t>, and duration of</w:t>
      </w:r>
      <w:r w:rsidR="00946A92" w:rsidRPr="007F098D">
        <w:rPr>
          <w:rFonts w:ascii="Garamond" w:hAnsi="Garamond"/>
        </w:rPr>
        <w:t xml:space="preserve"> </w:t>
      </w:r>
      <w:r w:rsidR="0050237A">
        <w:rPr>
          <w:rFonts w:ascii="Garamond" w:hAnsi="Garamond"/>
        </w:rPr>
        <w:t xml:space="preserve">downstream </w:t>
      </w:r>
      <w:r w:rsidR="00946A92" w:rsidRPr="007F098D">
        <w:rPr>
          <w:rFonts w:ascii="Garamond" w:hAnsi="Garamond"/>
        </w:rPr>
        <w:t>fisheries</w:t>
      </w:r>
      <w:r w:rsidR="0050237A">
        <w:rPr>
          <w:rFonts w:ascii="Garamond" w:hAnsi="Garamond"/>
        </w:rPr>
        <w:t xml:space="preserve"> is</w:t>
      </w:r>
      <w:r w:rsidR="00ED2A48" w:rsidRPr="007F098D">
        <w:rPr>
          <w:rFonts w:ascii="Garamond" w:hAnsi="Garamond"/>
        </w:rPr>
        <w:t xml:space="preserve"> the </w:t>
      </w:r>
      <w:r w:rsidR="00946A92" w:rsidRPr="007F098D">
        <w:rPr>
          <w:rFonts w:ascii="Garamond" w:hAnsi="Garamond"/>
        </w:rPr>
        <w:t xml:space="preserve">result of the aggregate dynamics of </w:t>
      </w:r>
      <w:r w:rsidR="00F40CAD">
        <w:rPr>
          <w:rFonts w:ascii="Garamond" w:hAnsi="Garamond"/>
        </w:rPr>
        <w:t xml:space="preserve">these </w:t>
      </w:r>
      <w:r w:rsidR="00946A92" w:rsidRPr="007F098D">
        <w:rPr>
          <w:rFonts w:ascii="Garamond" w:hAnsi="Garamond"/>
        </w:rPr>
        <w:t>upstream stock components</w:t>
      </w:r>
      <w:r w:rsidR="00F40CAD">
        <w:rPr>
          <w:rFonts w:ascii="Garamond" w:hAnsi="Garamond"/>
        </w:rPr>
        <w:t xml:space="preserve"> </w:t>
      </w:r>
      <w:r w:rsidR="00F40CAD">
        <w:rPr>
          <w:rFonts w:ascii="Garamond" w:hAnsi="Garamond"/>
        </w:rPr>
        <w:fldChar w:fldCharType="begin"/>
      </w:r>
      <w:r w:rsidR="00F40CAD">
        <w:rPr>
          <w:rFonts w:ascii="Garamond" w:hAnsi="Garamond"/>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F40CAD">
        <w:rPr>
          <w:rFonts w:ascii="Garamond" w:hAnsi="Garamond"/>
        </w:rPr>
        <w:fldChar w:fldCharType="separate"/>
      </w:r>
      <w:r w:rsidR="00F40CAD">
        <w:rPr>
          <w:rFonts w:ascii="Garamond" w:hAnsi="Garamond"/>
          <w:noProof/>
        </w:rPr>
        <w:t>(Nesbitt &amp; Moore, 2016)</w:t>
      </w:r>
      <w:r w:rsidR="00F40CAD">
        <w:rPr>
          <w:rFonts w:ascii="Garamond" w:hAnsi="Garamond"/>
        </w:rPr>
        <w:fldChar w:fldCharType="end"/>
      </w:r>
      <w:r w:rsidR="003157C4">
        <w:rPr>
          <w:rFonts w:ascii="Garamond" w:hAnsi="Garamond"/>
        </w:rPr>
        <w:t xml:space="preserve">. </w:t>
      </w:r>
      <w:r w:rsidR="00F40CAD">
        <w:rPr>
          <w:rFonts w:ascii="Garamond" w:hAnsi="Garamond"/>
        </w:rPr>
        <w:t xml:space="preserve">Further, maintaining </w:t>
      </w:r>
      <w:r w:rsidR="00F40CAD">
        <w:rPr>
          <w:rFonts w:ascii="Garamond" w:hAnsi="Garamond"/>
        </w:rPr>
        <w:t xml:space="preserve">life </w:t>
      </w:r>
      <w:r w:rsidR="00F40CAD" w:rsidRPr="007F098D">
        <w:rPr>
          <w:rFonts w:ascii="Garamond" w:hAnsi="Garamond"/>
        </w:rPr>
        <w:t>history diversity across the full stock complex distribut</w:t>
      </w:r>
      <w:r w:rsidR="00F40CAD">
        <w:rPr>
          <w:rFonts w:ascii="Garamond" w:hAnsi="Garamond"/>
        </w:rPr>
        <w:t>es</w:t>
      </w:r>
      <w:r w:rsidR="00F40CAD" w:rsidRPr="007F098D">
        <w:rPr>
          <w:rFonts w:ascii="Garamond" w:hAnsi="Garamond"/>
        </w:rPr>
        <w:t xml:space="preserve"> risk across several loosely or negatively correlated </w:t>
      </w:r>
      <w:r w:rsidR="00F40CAD" w:rsidRPr="007F098D">
        <w:rPr>
          <w:rFonts w:ascii="Garamond" w:hAnsi="Garamond"/>
        </w:rPr>
        <w:lastRenderedPageBreak/>
        <w:t>populations</w:t>
      </w:r>
      <w:r w:rsidR="00F40CAD">
        <w:rPr>
          <w:rFonts w:ascii="Garamond" w:hAnsi="Garamond"/>
        </w:rPr>
        <w:t xml:space="preserve"> </w:t>
      </w:r>
      <w:r w:rsidR="00F40CAD">
        <w:rPr>
          <w:rFonts w:ascii="Garamond" w:hAnsi="Garamond"/>
        </w:rPr>
        <w:fldChar w:fldCharType="begin"/>
      </w:r>
      <w:r w:rsidR="00F40CAD">
        <w:rPr>
          <w:rFonts w:ascii="Garamond" w:hAnsi="Garamond"/>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40CAD">
        <w:rPr>
          <w:rFonts w:ascii="Garamond" w:hAnsi="Garamond"/>
        </w:rPr>
        <w:fldChar w:fldCharType="separate"/>
      </w:r>
      <w:r w:rsidR="00F40CAD">
        <w:rPr>
          <w:rFonts w:ascii="Garamond" w:hAnsi="Garamond"/>
          <w:noProof/>
        </w:rPr>
        <w:t>(Schindler et al., 2010)</w:t>
      </w:r>
      <w:r w:rsidR="00F40CAD">
        <w:rPr>
          <w:rFonts w:ascii="Garamond" w:hAnsi="Garamond"/>
        </w:rPr>
        <w:fldChar w:fldCharType="end"/>
      </w:r>
      <w:r w:rsidR="00F40CAD">
        <w:rPr>
          <w:rFonts w:ascii="Garamond" w:hAnsi="Garamond"/>
        </w:rPr>
        <w:t>. Designing strategies which</w:t>
      </w:r>
      <w:r w:rsidR="00D10F35">
        <w:rPr>
          <w:rFonts w:ascii="Garamond" w:hAnsi="Garamond"/>
        </w:rPr>
        <w:t xml:space="preserve"> explicitly consider and</w:t>
      </w:r>
      <w:r w:rsidR="00F40CAD">
        <w:rPr>
          <w:rFonts w:ascii="Garamond" w:hAnsi="Garamond"/>
        </w:rPr>
        <w:t xml:space="preserve"> protect this biodiversity is therefore critical to </w:t>
      </w:r>
      <w:r w:rsidR="00D10F35">
        <w:rPr>
          <w:rFonts w:ascii="Garamond" w:hAnsi="Garamond"/>
        </w:rPr>
        <w:t xml:space="preserve">stabilizing downstream fishery resources. </w:t>
      </w:r>
    </w:p>
    <w:p w14:paraId="05748622" w14:textId="0FBD5947"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t xml:space="preserve">populations </w:t>
      </w:r>
      <w:r w:rsidR="0070135F" w:rsidRPr="007F098D">
        <w:rPr>
          <w:rFonts w:ascii="Garamond" w:hAnsi="Garamond"/>
        </w:rPr>
        <w:t xml:space="preserve">support subsistence fishing opportunities for dozens of communities, almost all of which are rural and indigenous </w:t>
      </w:r>
      <w:r w:rsidR="00C41758">
        <w:rPr>
          <w:rFonts w:ascii="Garamond" w:hAnsi="Garamond"/>
        </w:rPr>
        <w:fldChar w:fldCharType="begin"/>
      </w:r>
      <w:r w:rsidR="00C41758">
        <w:rPr>
          <w:rFonts w:ascii="Garamond" w:hAnsi="Garamond"/>
        </w:rPr>
        <w:instrText xml:space="preserve"> ADDIN ZOTERO_ITEM CSL_CITATION {"citationID":"eaAWsrMq","properties":{"formattedCitation":"(Esquible, 2024)","plainCitation":"(Esquible, 2024)","noteIndex":0},"citationItems":[{"id":5642,"uris":["http://zotero.org/users/8421274/items/IM4GUPIR"],"itemData":{"id":5642,"type":"thesis","abstract":"This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schema":"https://github.com/citation-style-language/schema/raw/master/csl-citation.json"} </w:instrText>
      </w:r>
      <w:r w:rsidR="00C41758">
        <w:rPr>
          <w:rFonts w:ascii="Garamond" w:hAnsi="Garamond"/>
        </w:rPr>
        <w:fldChar w:fldCharType="separate"/>
      </w:r>
      <w:r w:rsidR="00C41758">
        <w:rPr>
          <w:rFonts w:ascii="Garamond" w:hAnsi="Garamond"/>
          <w:noProof/>
        </w:rPr>
        <w:t>(Esquible, 2024)</w:t>
      </w:r>
      <w:r w:rsidR="00C41758">
        <w:rPr>
          <w:rFonts w:ascii="Garamond" w:hAnsi="Garamond"/>
        </w:rPr>
        <w:fldChar w:fldCharType="end"/>
      </w:r>
      <w:r w:rsidR="00C41758">
        <w:rPr>
          <w:rFonts w:ascii="Garamond" w:hAnsi="Garamond"/>
        </w:rPr>
        <w:t>.</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C41758">
        <w:rPr>
          <w:rFonts w:ascii="Garamond" w:hAnsi="Garamond"/>
        </w:rPr>
        <w:fldChar w:fldCharType="begin"/>
      </w:r>
      <w:r w:rsidR="00C41758">
        <w:rPr>
          <w:rFonts w:ascii="Garamond" w:hAnsi="Garamond"/>
        </w:rPr>
        <w:instrText xml:space="preserve"> ADDIN ZOTERO_ITEM CSL_CITATION {"citationID":"zpW1mB0G","properties":{"formattedCitation":"(Esquible, 2024)","plainCitation":"(Esquible, 2024)","noteIndex":0},"citationItems":[{"id":5642,"uris":["http://zotero.org/users/8421274/items/IM4GUPIR"],"itemData":{"id":5642,"type":"thesis","abstract":"This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schema":"https://github.com/citation-style-language/schema/raw/master/csl-citation.json"} </w:instrText>
      </w:r>
      <w:r w:rsidR="00C41758">
        <w:rPr>
          <w:rFonts w:ascii="Garamond" w:hAnsi="Garamond"/>
        </w:rPr>
        <w:fldChar w:fldCharType="separate"/>
      </w:r>
      <w:r w:rsidR="00C41758">
        <w:rPr>
          <w:rFonts w:ascii="Garamond" w:hAnsi="Garamond"/>
          <w:noProof/>
        </w:rPr>
        <w:t>(Esquible, 2024)</w:t>
      </w:r>
      <w:r w:rsidR="00C41758">
        <w:rPr>
          <w:rFonts w:ascii="Garamond" w:hAnsi="Garamond"/>
        </w:rPr>
        <w:fldChar w:fldCharType="end"/>
      </w:r>
      <w:r w:rsidR="00C41758">
        <w:rPr>
          <w:rFonts w:ascii="Garamond" w:hAnsi="Garamond"/>
        </w:rPr>
        <w:t xml:space="preserve">. </w:t>
      </w:r>
      <w:r w:rsidR="007F35F9" w:rsidRPr="007F098D">
        <w:rPr>
          <w:rFonts w:ascii="Garamond" w:hAnsi="Garamond"/>
        </w:rPr>
        <w:t xml:space="preserve">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24EC40EE"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w:t>
      </w:r>
      <w:r w:rsidR="0017389D">
        <w:rPr>
          <w:rFonts w:ascii="Garamond" w:hAnsi="Garamond"/>
        </w:rPr>
        <w:t xml:space="preserve">arriving </w:t>
      </w:r>
      <w:r w:rsidR="00044401" w:rsidRPr="007F098D">
        <w:rPr>
          <w:rFonts w:ascii="Garamond" w:hAnsi="Garamond"/>
        </w:rPr>
        <w:t xml:space="preserve">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E1736">
        <w:rPr>
          <w:rFonts w:ascii="Garamond" w:hAnsi="Garamond"/>
        </w:rPr>
        <w:fldChar w:fldCharType="begin"/>
      </w:r>
      <w:r w:rsidR="00DF28C6">
        <w:rPr>
          <w:rFonts w:ascii="Garamond" w:hAnsi="Garamond"/>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DF28C6">
        <w:rPr>
          <w:rFonts w:ascii="Cambria Math" w:hAnsi="Cambria Math" w:cs="Cambria Math"/>
        </w:rPr>
        <w:instrText>‐</w:instrText>
      </w:r>
      <w:r w:rsidR="00DF28C6">
        <w:rPr>
          <w:rFonts w:ascii="Garamond" w:hAnsi="Garamond"/>
        </w:rPr>
        <w:instrText>wide effects of body size, sex, spawning location, and year on the timing of spawning</w:instrText>
      </w:r>
      <w:r w:rsidR="00DF28C6">
        <w:rPr>
          <w:rFonts w:ascii="Cambria Math" w:hAnsi="Cambria Math" w:cs="Cambria Math"/>
        </w:rPr>
        <w:instrText>‐</w:instrText>
      </w:r>
      <w:r w:rsidR="00DF28C6">
        <w:rPr>
          <w:rFonts w:ascii="Garamond" w:hAnsi="Garamond"/>
        </w:rPr>
        <w:instrText>run migration into the Togiak River. Migration data and spawning fate were collected using radiotelemetry and analyzed with mixed effects models to account for among</w:instrText>
      </w:r>
      <w:r w:rsidR="00DF28C6">
        <w:rPr>
          <w:rFonts w:ascii="Cambria Math" w:hAnsi="Cambria Math" w:cs="Cambria Math"/>
        </w:rPr>
        <w:instrText>‐</w:instrText>
      </w:r>
      <w:r w:rsidR="00DF28C6">
        <w:rPr>
          <w:rFonts w:ascii="Garamond" w:hAnsi="Garamond"/>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7E1736">
        <w:rPr>
          <w:rFonts w:ascii="Garamond" w:hAnsi="Garamond"/>
        </w:rPr>
        <w:fldChar w:fldCharType="separate"/>
      </w:r>
      <w:r w:rsidR="00DF28C6">
        <w:rPr>
          <w:rFonts w:ascii="Garamond" w:hAnsi="Garamond"/>
          <w:noProof/>
        </w:rPr>
        <w:t>(S. C. Clark et al., 2015)</w:t>
      </w:r>
      <w:r w:rsidR="007E1736">
        <w:rPr>
          <w:rFonts w:ascii="Garamond" w:hAnsi="Garamond"/>
        </w:rPr>
        <w:fldChar w:fldCharType="end"/>
      </w:r>
      <w:r w:rsidR="007E1736">
        <w:rPr>
          <w:rFonts w:ascii="Garamond" w:hAnsi="Garamond"/>
        </w:rPr>
        <w:t xml:space="preserve">, </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C41758">
        <w:rPr>
          <w:rFonts w:ascii="Garamond" w:hAnsi="Garamond"/>
        </w:rPr>
        <w:fldChar w:fldCharType="begin"/>
      </w:r>
      <w:r w:rsidR="003157C4">
        <w:rPr>
          <w:rFonts w:ascii="Garamond" w:hAnsi="Garamond"/>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C41758">
        <w:rPr>
          <w:rFonts w:ascii="Garamond" w:hAnsi="Garamond"/>
        </w:rPr>
        <w:fldChar w:fldCharType="separate"/>
      </w:r>
      <w:r w:rsidR="003157C4">
        <w:rPr>
          <w:rFonts w:ascii="Garamond" w:hAnsi="Garamond"/>
          <w:noProof/>
        </w:rPr>
        <w:t>(J. N. Clark &amp; Smith, 2019; Head et al., 2017; Smith &amp; Liller, 2017a, 2017b)</w:t>
      </w:r>
      <w:r w:rsidR="00C41758">
        <w:rPr>
          <w:rFonts w:ascii="Garamond" w:hAnsi="Garamond"/>
        </w:rPr>
        <w:fldChar w:fldCharType="end"/>
      </w:r>
      <w:r w:rsidR="00DF28C6">
        <w:rPr>
          <w:rFonts w:ascii="Garamond" w:hAnsi="Garamond"/>
        </w:rPr>
        <w:t>,</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w:t>
      </w:r>
      <w:r w:rsidR="007D2894" w:rsidRPr="007F098D">
        <w:rPr>
          <w:rFonts w:ascii="Garamond" w:hAnsi="Garamond"/>
        </w:rPr>
        <w:lastRenderedPageBreak/>
        <w:t xml:space="preserve">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 xml:space="preserve">(Lipka &amp; Elison, </w:t>
      </w:r>
      <w:r w:rsidR="0082206F" w:rsidRPr="00EE2480">
        <w:rPr>
          <w:rFonts w:ascii="Garamond" w:eastAsia="Times New Roman" w:hAnsi="Garamond" w:cs="Times New Roman"/>
          <w:noProof/>
          <w:kern w:val="0"/>
          <w14:ligatures w14:val="none"/>
        </w:rPr>
        <w:lastRenderedPageBreak/>
        <w:t>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5E844743"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3157C4">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2002)","dontUpdate":true,"noteIndex":0},"citationItems":[{"id":"qDEtJyvN/a8KGqEKy","uris":["http://zotero.org/users/8421274/items/IY3FLHLM"],"itemData":{"id":915,"type":"article-journal","abstract":"Strontium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3157C4">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1998)","noteIndex":0},"citationItems":[{"id":"qDEtJyvN/a8KGqEKy","uris":["http://zotero.org/users/8421274/items/IY3FLHLM"],"itemData":{"id":"dI01jIsp/qEdWN4pU","type":"article-journal","abstract":"Strontium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18B3B9A0"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(Figure 1)</w:t>
      </w:r>
      <w:r w:rsidR="00AB074C"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7E1736">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 xml:space="preserve">To prevent over-assignment to tributaries with exceptionally </w:t>
      </w:r>
      <w:r w:rsidR="009F3E36" w:rsidRPr="00EE2480">
        <w:rPr>
          <w:rFonts w:ascii="Garamond" w:hAnsi="Garamond" w:cs="Times New Roman"/>
        </w:rPr>
        <w:lastRenderedPageBreak/>
        <w:t>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2BB37456"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w:t>
      </w:r>
      <w:r w:rsidRPr="00EE2480">
        <w:rPr>
          <w:rFonts w:ascii="Garamond" w:hAnsi="Garamond"/>
        </w:rPr>
        <w:lastRenderedPageBreak/>
        <w:t xml:space="preserve">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 xml:space="preserve">Second, a habitat suitability prior (PHabitat)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(Makhlouf et al., 2025)</w:t>
      </w:r>
      <w:r w:rsidR="00EF730C" w:rsidRPr="00EE2480">
        <w:rPr>
          <w:rFonts w:ascii="Garamond" w:eastAsia="Times New Roman" w:hAnsi="Garamond" w:cs="Times New Roman"/>
          <w:kern w:val="0"/>
          <w14:ligatures w14:val="none"/>
        </w:rPr>
        <w:fldChar w:fldCharType="end"/>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From these tributaries, reaches identified as 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r w:rsidR="0015783A" w:rsidRPr="00EE2480">
        <w:rPr>
          <w:rFonts w:ascii="Garamond" w:hAnsi="Garamond"/>
        </w:rPr>
        <w:t xml:space="preserve"> </w:t>
      </w:r>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508BF840" w:rsidR="00E352BB" w:rsidRPr="00EE2480" w:rsidRDefault="000C429D" w:rsidP="00EE2480">
      <w:pPr>
        <w:spacing w:line="480" w:lineRule="auto"/>
        <w:ind w:firstLine="720"/>
        <w:rPr>
          <w:rFonts w:ascii="Garamond" w:hAnsi="Garamond"/>
        </w:rPr>
      </w:pPr>
      <w:r w:rsidRPr="00EE2480">
        <w:rPr>
          <w:rFonts w:ascii="Garamond" w:hAnsi="Garamond"/>
        </w:rPr>
        <w:lastRenderedPageBreak/>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commentRangeStart w:id="1"/>
      <w:r w:rsidR="00401EE2" w:rsidRPr="00EE2480">
        <w:rPr>
          <w:rFonts w:ascii="Garamond" w:hAnsi="Garamond"/>
        </w:rPr>
        <w:t>(Liller reference?)</w:t>
      </w:r>
      <w:r w:rsidR="007F747D" w:rsidRPr="00EE2480">
        <w:rPr>
          <w:rStyle w:val="CommentReference"/>
          <w:rFonts w:ascii="Garamond" w:hAnsi="Garamond"/>
          <w:sz w:val="24"/>
          <w:szCs w:val="24"/>
        </w:rPr>
        <w:t xml:space="preserve">. </w:t>
      </w:r>
      <w:commentRangeEnd w:id="1"/>
      <w:r w:rsidR="00152000">
        <w:rPr>
          <w:rStyle w:val="CommentReference"/>
        </w:rPr>
        <w:commentReference w:id="1"/>
      </w:r>
      <w:r w:rsidR="007F747D" w:rsidRPr="00EE2480">
        <w:rPr>
          <w:rStyle w:val="CommentReference"/>
          <w:rFonts w:ascii="Garamond" w:hAnsi="Garamond"/>
          <w:sz w:val="24"/>
          <w:szCs w:val="24"/>
        </w:rPr>
        <w:t>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152000">
        <w:rPr>
          <w:rStyle w:val="CommentReference"/>
          <w:rFonts w:ascii="Garamond" w:hAnsi="Garamond"/>
          <w:sz w:val="24"/>
          <w:szCs w:val="24"/>
        </w:rPr>
        <w:t xml:space="preserve">regions </w:t>
      </w:r>
      <w:r w:rsidR="009E68C7" w:rsidRPr="00EE2480">
        <w:rPr>
          <w:rStyle w:val="CommentReference"/>
          <w:rFonts w:ascii="Garamond" w:hAnsi="Garamond"/>
          <w:sz w:val="24"/>
          <w:szCs w:val="24"/>
        </w:rPr>
        <w:t>of comparable size and spatial relevance to ensure complete basin coverage</w:t>
      </w:r>
      <w:r w:rsidR="00BD2F8F">
        <w:rPr>
          <w:rStyle w:val="CommentReference"/>
          <w:rFonts w:ascii="Garamond" w:hAnsi="Garamond"/>
          <w:sz w:val="24"/>
          <w:szCs w:val="24"/>
        </w:rPr>
        <w:t xml:space="preserv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13C7BC4C"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r w:rsidR="00C57FD7" w:rsidRPr="00E26D9D">
        <w:rPr>
          <w:rFonts w:ascii="Garamond" w:hAnsi="Garamond" w:cs="Times New Roman"/>
        </w:rPr>
        <w:t>3-day</w:t>
      </w:r>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 xml:space="preserve">To evaluate the effect of the currently implemented front-end closure, we compared the proportion of each stock's total contribution within the front-end closure window (the first seasonal quartile (Q1) in our dataset). The resulting data illustrate the </w:t>
      </w:r>
      <w:r w:rsidR="00460AE8" w:rsidRPr="00E26D9D">
        <w:rPr>
          <w:rFonts w:ascii="Garamond" w:hAnsi="Garamond"/>
        </w:rPr>
        <w:lastRenderedPageBreak/>
        <w:t>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77264AD" w14:textId="77777777" w:rsidR="00424DB6" w:rsidRDefault="00424DB6" w:rsidP="004A0003">
      <w:pPr>
        <w:spacing w:line="480" w:lineRule="auto"/>
        <w:rPr>
          <w:rFonts w:ascii="Garamond" w:hAnsi="Garamond"/>
          <w:b/>
          <w:bCs/>
          <w:sz w:val="32"/>
          <w:szCs w:val="32"/>
        </w:rPr>
      </w:pPr>
    </w:p>
    <w:p w14:paraId="1B967039" w14:textId="5E0E6F18"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 xml:space="preserve">Late season returns (July </w:t>
      </w:r>
      <w:r w:rsidR="002D12FE" w:rsidRPr="005463B2">
        <w:rPr>
          <w:rFonts w:ascii="Garamond" w:hAnsi="Garamond"/>
        </w:rPr>
        <w:lastRenderedPageBreak/>
        <w:t>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the 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E4673EF" w:rsidR="00EE1A96" w:rsidRPr="005463B2" w:rsidRDefault="00536536" w:rsidP="009D3148">
      <w:pPr>
        <w:pStyle w:val="whitespace-normal"/>
        <w:spacing w:line="480" w:lineRule="auto"/>
        <w:ind w:firstLine="720"/>
        <w:rPr>
          <w:rFonts w:ascii="Garamond" w:hAnsi="Garamond"/>
        </w:rPr>
      </w:pPr>
      <w:r w:rsidRPr="005463B2">
        <w:rPr>
          <w:rFonts w:ascii="Garamond" w:hAnsi="Garamond"/>
        </w:rPr>
        <w:t xml:space="preserve">Cumulative distribution plots </w:t>
      </w:r>
      <w:r w:rsidR="006D6AEE" w:rsidRPr="005463B2">
        <w:rPr>
          <w:rFonts w:ascii="Garamond" w:hAnsi="Garamond"/>
        </w:rPr>
        <w:t xml:space="preserve">(Figure 4) </w:t>
      </w:r>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635D073"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w:t>
      </w:r>
      <w:r w:rsidR="00470C70" w:rsidRPr="005463B2">
        <w:rPr>
          <w:rFonts w:ascii="Garamond" w:hAnsi="Garamond"/>
        </w:rPr>
        <w:lastRenderedPageBreak/>
        <w:t xml:space="preserve">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Stocks positioned lower in the watershed received less protection due to their late</w:t>
      </w:r>
      <w:r w:rsidR="004F324B" w:rsidRPr="005463B2">
        <w:rPr>
          <w:rFonts w:ascii="Garamond" w:hAnsi="Garamond"/>
        </w:rPr>
        <w:t>r</w:t>
      </w:r>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6E067599"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w:t>
      </w:r>
      <w:r w:rsidR="00BA369C">
        <w:rPr>
          <w:rFonts w:ascii="Garamond" w:hAnsi="Garamond"/>
        </w:rPr>
        <w:t>consistency</w:t>
      </w:r>
      <w:r w:rsidR="00BA369C" w:rsidRPr="003F1234">
        <w:rPr>
          <w:rFonts w:ascii="Garamond" w:hAnsi="Garamond"/>
        </w:rPr>
        <w:t xml:space="preserve"> </w:t>
      </w:r>
      <w:r w:rsidRPr="003F1234">
        <w:rPr>
          <w:rFonts w:ascii="Garamond" w:hAnsi="Garamond"/>
        </w:rPr>
        <w:t xml:space="preserve">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{"citationID":"IspQSUXO","properties":{"formattedCitation":"(Brennan, Schindler, et al., 2019)","plainCitation":"(Brennan, Schindler,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7E1736">
        <w:rPr>
          <w:rFonts w:ascii="Garamond" w:hAnsi="Garamond"/>
        </w:rPr>
        <w:fldChar w:fldCharType="separate"/>
      </w:r>
      <w:r w:rsidR="007E1736">
        <w:rPr>
          <w:rFonts w:ascii="Garamond" w:hAnsi="Garamond"/>
          <w:noProof/>
        </w:rPr>
        <w:t>(Brennan, Schindler, et al., 2019)</w:t>
      </w:r>
      <w:r w:rsidR="007E1736">
        <w:rPr>
          <w:rFonts w:ascii="Garamond" w:hAnsi="Garamond"/>
        </w:rPr>
        <w:fldChar w:fldCharType="end"/>
      </w:r>
      <w:r w:rsidR="007E1736">
        <w:rPr>
          <w:rFonts w:ascii="Garamond" w:hAnsi="Garamond"/>
        </w:rPr>
        <w:t xml:space="preserve">. </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lastRenderedPageBreak/>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3436253A" w:rsidR="003F1234" w:rsidRPr="003F1234" w:rsidRDefault="003F1234" w:rsidP="00CC7CEE">
      <w:pPr>
        <w:pStyle w:val="whitespace-normal"/>
        <w:spacing w:line="480" w:lineRule="auto"/>
        <w:ind w:firstLine="720"/>
        <w:rPr>
          <w:rFonts w:ascii="Garamond" w:hAnsi="Garamond"/>
        </w:rPr>
      </w:pPr>
      <w:r w:rsidRPr="003F1234">
        <w:rPr>
          <w:rFonts w:ascii="Garamond" w:hAnsi="Garamond"/>
        </w:rPr>
        <w:lastRenderedPageBreak/>
        <w:t xml:space="preserve">Protecting upper Kuskokwim stocks through front-end closures appears to be a </w:t>
      </w:r>
      <w:r w:rsidR="00BA369C">
        <w:rPr>
          <w:rFonts w:ascii="Garamond" w:hAnsi="Garamond"/>
        </w:rPr>
        <w:t>tangible</w:t>
      </w:r>
      <w:r w:rsidR="00BA369C" w:rsidRPr="003F1234">
        <w:rPr>
          <w:rFonts w:ascii="Garamond" w:hAnsi="Garamond"/>
        </w:rPr>
        <w:t xml:space="preserve"> </w:t>
      </w:r>
      <w:r w:rsidRPr="003F1234">
        <w:rPr>
          <w:rFonts w:ascii="Garamond" w:hAnsi="Garamond"/>
        </w:rPr>
        <w:t xml:space="preserve">strategy for maintaining biodiversity across the river basin while ensuring basin-wide escapement goals and harvest opportunities. However, this method may be limited in its ability to provide 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w:t>
      </w:r>
      <w:commentRangeStart w:id="2"/>
      <w:r w:rsidRPr="003F1234">
        <w:rPr>
          <w:rFonts w:ascii="Garamond" w:hAnsi="Garamond"/>
        </w:rPr>
        <w:t xml:space="preserve">protecting a large proportion of upstream stocks may negatively impact weak downstream stocks that could face increased fishing pressure, particularly during years with contracted runs or exceptionally strong early-season returns. </w:t>
      </w:r>
      <w:commentRangeEnd w:id="2"/>
      <w:r w:rsidR="00BA369C">
        <w:rPr>
          <w:rStyle w:val="CommentReference"/>
          <w:rFonts w:asciiTheme="minorHAnsi" w:eastAsiaTheme="minorHAnsi" w:hAnsiTheme="minorHAnsi" w:cstheme="minorBidi"/>
          <w:kern w:val="2"/>
          <w14:ligatures w14:val="standardContextual"/>
        </w:rPr>
        <w:commentReference w:id="2"/>
      </w:r>
      <w:r w:rsidRPr="003F1234">
        <w:rPr>
          <w:rFonts w:ascii="Garamond" w:hAnsi="Garamond"/>
        </w:rPr>
        <w:t>Consequently, the efficacy of management strategies such as front-end closures must be assessed alongside the full suite of ecosystem and fishery dynamics to fully understand their effects on maintaining basin-wide biodiversity.</w:t>
      </w:r>
    </w:p>
    <w:p w14:paraId="3A0C8356" w14:textId="786FD5A3"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7E1736">
        <w:rPr>
          <w:rFonts w:ascii="Garamond" w:hAnsi="Garamond"/>
        </w:rPr>
        <w:fldChar w:fldCharType="begin"/>
      </w:r>
      <w:r w:rsidR="003157C4">
        <w:rPr>
          <w:rFonts w:ascii="Garamond" w:hAnsi="Garamond"/>
        </w:rPr>
        <w:instrText xml:space="preserve"> ADDIN ZOTERO_ITEM CSL_CITATION {"citationID":"tvE9voRc","properties":{"formattedCitation":"(Brennan et al., 2015)","plainCitation":"(Brennan et al., 2015)","noteIndex":0},"citationItems":[{"id":"qDEtJyvN/a8KGqEKy","uris":["http://zotero.org/users/8421274/items/IY3FLHLM"],"itemData":{"id":"qdfHghSJ/KSW9LWYv","type":"article-journal","abstract":"Strontium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sidR="007E1736">
        <w:rPr>
          <w:rFonts w:ascii="Garamond" w:hAnsi="Garamond"/>
        </w:rPr>
        <w:fldChar w:fldCharType="separate"/>
      </w:r>
      <w:r w:rsidR="007E1736">
        <w:rPr>
          <w:rFonts w:ascii="Garamond" w:hAnsi="Garamond"/>
          <w:noProof/>
        </w:rPr>
        <w:t>(Brennan et al., 2015)</w:t>
      </w:r>
      <w:r w:rsidR="007E1736">
        <w:rPr>
          <w:rFonts w:ascii="Garamond" w:hAnsi="Garamond"/>
        </w:rPr>
        <w:fldChar w:fldCharType="end"/>
      </w:r>
      <w:r w:rsidR="007E1736">
        <w:rPr>
          <w:rFonts w:ascii="Garamond" w:hAnsi="Garamond"/>
        </w:rPr>
        <w:t xml:space="preserve">. </w:t>
      </w:r>
      <w:r w:rsidRPr="003F1234">
        <w:rPr>
          <w:rFonts w:ascii="Garamond" w:hAnsi="Garamond"/>
        </w:rPr>
        <w:t>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w:t>
      </w:r>
      <w:r w:rsidR="00A84E4B" w:rsidRPr="003F1234">
        <w:rPr>
          <w:rFonts w:ascii="Garamond" w:hAnsi="Garamond"/>
        </w:rPr>
        <w:lastRenderedPageBreak/>
        <w:t>adaptation strategies that continue to provide ecosystem services while safeguarding their reliability and the communities they support.</w:t>
      </w:r>
    </w:p>
    <w:sectPr w:rsidR="004F0E72" w:rsidRPr="003F1234"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ine, Timothy" w:date="2025-10-06T13:50:00Z" w:initials="TC">
    <w:p w14:paraId="2B7051E6" w14:textId="77777777" w:rsidR="0024031C" w:rsidRDefault="0024031C" w:rsidP="0024031C">
      <w:r>
        <w:rPr>
          <w:rStyle w:val="CommentReference"/>
        </w:rPr>
        <w:annotationRef/>
      </w:r>
      <w:r>
        <w:rPr>
          <w:color w:val="000000"/>
          <w:sz w:val="20"/>
          <w:szCs w:val="20"/>
        </w:rPr>
        <w:t xml:space="preserve">For the broad opening, I think biodiversity more broadly works here. Same principles apply to species diversity. </w:t>
      </w:r>
    </w:p>
  </w:comment>
  <w:comment w:id="1" w:author="bmak29" w:date="2025-10-14T13:20:00Z" w:initials="b">
    <w:p w14:paraId="3E78C2ED" w14:textId="77777777" w:rsidR="00152000" w:rsidRDefault="00152000" w:rsidP="00152000">
      <w:r>
        <w:rPr>
          <w:rStyle w:val="CommentReference"/>
        </w:rPr>
        <w:annotationRef/>
      </w:r>
      <w:r>
        <w:rPr>
          <w:sz w:val="20"/>
          <w:szCs w:val="20"/>
        </w:rPr>
        <w:t xml:space="preserve">Im still not sure where I to get the reference for the map we used... </w:t>
      </w:r>
    </w:p>
  </w:comment>
  <w:comment w:id="2" w:author="Cline, Timothy" w:date="2025-10-08T10:23:00Z" w:initials="TC">
    <w:p w14:paraId="72141828" w14:textId="52D5F29B" w:rsidR="00BA369C" w:rsidRDefault="00BA369C" w:rsidP="00BA369C">
      <w:r>
        <w:rPr>
          <w:rStyle w:val="CommentReference"/>
        </w:rPr>
        <w:annotationRef/>
      </w:r>
      <w:r>
        <w:rPr>
          <w:sz w:val="20"/>
          <w:szCs w:val="20"/>
        </w:rPr>
        <w:t xml:space="preserve">i think this is a really important point and at the end of the abstract you state that this front end closure will protect biodiversity, but its more nuanced. I wonder if some of that nuance should make it up there as well.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051E6" w15:done="1"/>
  <w15:commentEx w15:paraId="3E78C2ED" w15:done="0"/>
  <w15:commentEx w15:paraId="7214182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12DD4F" w16cex:dateUtc="2025-10-06T19:50:00Z"/>
  <w16cex:commentExtensible w16cex:durableId="2E7408B3" w16cex:dateUtc="2025-10-14T20:20:00Z"/>
  <w16cex:commentExtensible w16cex:durableId="3C526B6D" w16cex:dateUtc="2025-10-08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051E6" w16cid:durableId="1412DD4F"/>
  <w16cid:commentId w16cid:paraId="3E78C2ED" w16cid:durableId="2E7408B3"/>
  <w16cid:commentId w16cid:paraId="72141828" w16cid:durableId="3C526B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4DD48" w14:textId="77777777" w:rsidR="00910D0D" w:rsidRDefault="00910D0D">
      <w:pPr>
        <w:spacing w:after="0" w:line="240" w:lineRule="auto"/>
      </w:pPr>
      <w:r>
        <w:separator/>
      </w:r>
    </w:p>
  </w:endnote>
  <w:endnote w:type="continuationSeparator" w:id="0">
    <w:p w14:paraId="4AC5587C" w14:textId="77777777" w:rsidR="00910D0D" w:rsidRDefault="00910D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61F9E" w14:textId="77777777" w:rsidR="00910D0D" w:rsidRDefault="00910D0D">
      <w:pPr>
        <w:spacing w:after="0" w:line="240" w:lineRule="auto"/>
      </w:pPr>
      <w:r>
        <w:separator/>
      </w:r>
    </w:p>
  </w:footnote>
  <w:footnote w:type="continuationSeparator" w:id="0">
    <w:p w14:paraId="19B253B2" w14:textId="77777777" w:rsidR="00910D0D" w:rsidRDefault="00910D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ine, Timothy">
    <w15:presenceInfo w15:providerId="AD" w15:userId="S::s84g549@msu.montana.edu::b53db266-c02e-4ef3-8acb-16ecbf807cff"/>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0406"/>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1C49"/>
    <w:rsid w:val="00152000"/>
    <w:rsid w:val="0015783A"/>
    <w:rsid w:val="00162958"/>
    <w:rsid w:val="0016395C"/>
    <w:rsid w:val="001679D4"/>
    <w:rsid w:val="00171632"/>
    <w:rsid w:val="0017389D"/>
    <w:rsid w:val="001844EB"/>
    <w:rsid w:val="0019169F"/>
    <w:rsid w:val="00197965"/>
    <w:rsid w:val="001E0D88"/>
    <w:rsid w:val="001F2097"/>
    <w:rsid w:val="0020187E"/>
    <w:rsid w:val="00206F6C"/>
    <w:rsid w:val="00213C2D"/>
    <w:rsid w:val="002256A0"/>
    <w:rsid w:val="002323C1"/>
    <w:rsid w:val="00234875"/>
    <w:rsid w:val="0024031C"/>
    <w:rsid w:val="002549E1"/>
    <w:rsid w:val="0025573D"/>
    <w:rsid w:val="002574F7"/>
    <w:rsid w:val="0026256C"/>
    <w:rsid w:val="002811E4"/>
    <w:rsid w:val="002948A2"/>
    <w:rsid w:val="002A3FE3"/>
    <w:rsid w:val="002C1C99"/>
    <w:rsid w:val="002C21B7"/>
    <w:rsid w:val="002C2F48"/>
    <w:rsid w:val="002D12FE"/>
    <w:rsid w:val="002E45E7"/>
    <w:rsid w:val="002E5716"/>
    <w:rsid w:val="00306D21"/>
    <w:rsid w:val="00310A9F"/>
    <w:rsid w:val="00312FC9"/>
    <w:rsid w:val="00313CB8"/>
    <w:rsid w:val="003157C4"/>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4DB6"/>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4F4EF3"/>
    <w:rsid w:val="0050237A"/>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7720D"/>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56B48"/>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30A88"/>
    <w:rsid w:val="007555A4"/>
    <w:rsid w:val="007561E4"/>
    <w:rsid w:val="0076034D"/>
    <w:rsid w:val="007708F4"/>
    <w:rsid w:val="00772AC1"/>
    <w:rsid w:val="00780305"/>
    <w:rsid w:val="007878C0"/>
    <w:rsid w:val="00793B30"/>
    <w:rsid w:val="007A1D0A"/>
    <w:rsid w:val="007B17D6"/>
    <w:rsid w:val="007B71BB"/>
    <w:rsid w:val="007C0A61"/>
    <w:rsid w:val="007C1050"/>
    <w:rsid w:val="007C2267"/>
    <w:rsid w:val="007C6D95"/>
    <w:rsid w:val="007D1726"/>
    <w:rsid w:val="007D2894"/>
    <w:rsid w:val="007D7981"/>
    <w:rsid w:val="007E1736"/>
    <w:rsid w:val="007F098D"/>
    <w:rsid w:val="007F35F9"/>
    <w:rsid w:val="007F4A77"/>
    <w:rsid w:val="007F66C5"/>
    <w:rsid w:val="007F7231"/>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0D0D"/>
    <w:rsid w:val="009110AF"/>
    <w:rsid w:val="00917026"/>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B595F"/>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16F99"/>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0D7F"/>
    <w:rsid w:val="00B62128"/>
    <w:rsid w:val="00B74D8D"/>
    <w:rsid w:val="00B857E3"/>
    <w:rsid w:val="00B923D2"/>
    <w:rsid w:val="00BA369C"/>
    <w:rsid w:val="00BB27C2"/>
    <w:rsid w:val="00BB381E"/>
    <w:rsid w:val="00BC7C48"/>
    <w:rsid w:val="00BD2F8F"/>
    <w:rsid w:val="00BF0C62"/>
    <w:rsid w:val="00C013DD"/>
    <w:rsid w:val="00C107EA"/>
    <w:rsid w:val="00C10AF2"/>
    <w:rsid w:val="00C1704A"/>
    <w:rsid w:val="00C27BF0"/>
    <w:rsid w:val="00C31CB4"/>
    <w:rsid w:val="00C32D99"/>
    <w:rsid w:val="00C40D88"/>
    <w:rsid w:val="00C41758"/>
    <w:rsid w:val="00C50332"/>
    <w:rsid w:val="00C50733"/>
    <w:rsid w:val="00C57FD7"/>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0F35"/>
    <w:rsid w:val="00D149EB"/>
    <w:rsid w:val="00D30A4B"/>
    <w:rsid w:val="00D3134F"/>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2C4D"/>
    <w:rsid w:val="00DD7574"/>
    <w:rsid w:val="00DE33E0"/>
    <w:rsid w:val="00DF1D5B"/>
    <w:rsid w:val="00DF28C6"/>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171A"/>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1425A"/>
    <w:rsid w:val="00F2018F"/>
    <w:rsid w:val="00F20CE9"/>
    <w:rsid w:val="00F21C45"/>
    <w:rsid w:val="00F315A1"/>
    <w:rsid w:val="00F335F2"/>
    <w:rsid w:val="00F3538C"/>
    <w:rsid w:val="00F3736F"/>
    <w:rsid w:val="00F40CAD"/>
    <w:rsid w:val="00F41CBE"/>
    <w:rsid w:val="00F41FAF"/>
    <w:rsid w:val="00F432BD"/>
    <w:rsid w:val="00F51DB9"/>
    <w:rsid w:val="00F552CD"/>
    <w:rsid w:val="00F55974"/>
    <w:rsid w:val="00F73FEE"/>
    <w:rsid w:val="00F770FF"/>
    <w:rsid w:val="00FA2074"/>
    <w:rsid w:val="00FA738D"/>
    <w:rsid w:val="00FB33D7"/>
    <w:rsid w:val="00FB3E37"/>
    <w:rsid w:val="00FC42A0"/>
    <w:rsid w:val="00FD1F7F"/>
    <w:rsid w:val="00FD5572"/>
    <w:rsid w:val="00FD6CE5"/>
    <w:rsid w:val="00FE3CBB"/>
    <w:rsid w:val="00FE3D0B"/>
    <w:rsid w:val="00FF1407"/>
    <w:rsid w:val="00FF19B1"/>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14</Pages>
  <Words>19546</Words>
  <Characters>111418</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10</cp:revision>
  <dcterms:created xsi:type="dcterms:W3CDTF">2025-10-08T17:13:00Z</dcterms:created>
  <dcterms:modified xsi:type="dcterms:W3CDTF">2025-10-14T20:34:00Z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id="qDEtJyvN"/&gt;&lt;style id="http://www.zotero.org/styles/journal-of-applied-ecology" hasBibliography="1" bibliographyStyleHasBeenSet="0"/&gt;&lt;prefs&gt;&lt;pref name="fieldType" value="Field"/&gt;&lt;/prefs&gt;&lt;/data&gt;</vt:lpwstr>
  </property>
</Properties>
</file>