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Default="007F5F83" w:rsidP="007F5F83">
      <w:pPr>
        <w:jc w:val="center"/>
      </w:pPr>
      <w:r>
        <w:t>Response to Reviewers</w:t>
      </w:r>
    </w:p>
    <w:p w14:paraId="186E26E3" w14:textId="4A9A360F" w:rsidR="007F5F83" w:rsidRDefault="007F5F83" w:rsidP="007F5F83">
      <w:pPr>
        <w:jc w:val="center"/>
      </w:pPr>
      <w:r>
        <w:t xml:space="preserve">Ben Makhlouf </w:t>
      </w:r>
    </w:p>
    <w:p w14:paraId="631450E0" w14:textId="77777777" w:rsidR="007F5F83" w:rsidRDefault="007F5F83" w:rsidP="007F5F83">
      <w:pPr>
        <w:jc w:val="center"/>
      </w:pPr>
    </w:p>
    <w:p w14:paraId="59245B29" w14:textId="0FF5B4CF" w:rsidR="007F5F83" w:rsidRPr="00A6390C" w:rsidRDefault="007F5F83" w:rsidP="007F5F83">
      <w:pPr>
        <w:pStyle w:val="Title"/>
        <w:rPr>
          <w:rFonts w:ascii="Garamond" w:hAnsi="Garamond"/>
        </w:rPr>
      </w:pPr>
      <w:r w:rsidRPr="00A6390C">
        <w:rPr>
          <w:rFonts w:ascii="Garamond" w:hAnsi="Garamond"/>
        </w:rPr>
        <w:t xml:space="preserve">Reviewer 1: </w:t>
      </w:r>
    </w:p>
    <w:p w14:paraId="5D9570CC" w14:textId="2BC27FD1" w:rsidR="007F5F83" w:rsidRPr="00A6390C" w:rsidRDefault="007F5F83" w:rsidP="007F5F83">
      <w:pPr>
        <w:rPr>
          <w:rFonts w:ascii="Garamond" w:hAnsi="Garamond"/>
          <w:b/>
          <w:bCs/>
          <w:sz w:val="22"/>
          <w:szCs w:val="22"/>
        </w:rPr>
      </w:pPr>
      <w:r w:rsidRPr="00A6390C">
        <w:rPr>
          <w:rFonts w:ascii="Garamond" w:hAnsi="Garamond"/>
        </w:rPr>
        <w:t>Major Comments</w:t>
      </w:r>
    </w:p>
    <w:p w14:paraId="482E15C8" w14:textId="07B59EB0" w:rsidR="007F5F83" w:rsidRPr="00A6390C" w:rsidRDefault="007F5F83" w:rsidP="007F5F83">
      <w:pPr>
        <w:rPr>
          <w:rFonts w:ascii="Garamond" w:hAnsi="Garamond"/>
          <w:b/>
          <w:bCs/>
          <w:sz w:val="22"/>
          <w:szCs w:val="22"/>
        </w:rPr>
      </w:pPr>
      <w:r w:rsidRPr="00A6390C">
        <w:rPr>
          <w:rFonts w:ascii="Garamond" w:hAnsi="Garamond"/>
          <w:b/>
          <w:bCs/>
          <w:sz w:val="22"/>
          <w:szCs w:val="22"/>
        </w:rPr>
        <w:t xml:space="preserve">I really appreciate the author teams’ succinct presentation of their findings (less than 20 pages excluding references makes for a much easier lift!); </w:t>
      </w:r>
      <w:proofErr w:type="gramStart"/>
      <w:r w:rsidRPr="00A6390C">
        <w:rPr>
          <w:rFonts w:ascii="Garamond" w:hAnsi="Garamond"/>
          <w:b/>
          <w:bCs/>
          <w:sz w:val="22"/>
          <w:szCs w:val="22"/>
        </w:rPr>
        <w:t>however</w:t>
      </w:r>
      <w:proofErr w:type="gramEnd"/>
      <w:r w:rsidRPr="00A6390C">
        <w:rPr>
          <w:rFonts w:ascii="Garamond" w:hAnsi="Garamond"/>
          <w:b/>
          <w:bCs/>
          <w:sz w:val="22"/>
          <w:szCs w:val="22"/>
        </w:rPr>
        <w:t xml:space="preserve">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w:t>
      </w:r>
      <w:proofErr w:type="gramStart"/>
      <w:r w:rsidRPr="00A6390C">
        <w:rPr>
          <w:rFonts w:ascii="Garamond" w:hAnsi="Garamond"/>
          <w:b/>
          <w:bCs/>
          <w:sz w:val="22"/>
          <w:szCs w:val="22"/>
        </w:rPr>
        <w:t>basin</w:t>
      </w:r>
      <w:proofErr w:type="gramEnd"/>
      <w:r w:rsidRPr="00A6390C">
        <w:rPr>
          <w:rFonts w:ascii="Garamond" w:hAnsi="Garamond"/>
          <w:b/>
          <w:bCs/>
          <w:sz w:val="22"/>
          <w:szCs w:val="22"/>
        </w:rPr>
        <w:t xml:space="preserve"> that rely on access to upper river populations exclusively would provide important context. 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70DE0E0C" w14:textId="5FAE380F" w:rsidR="001267A1" w:rsidRPr="00A6390C" w:rsidRDefault="001267A1" w:rsidP="00A6390C">
      <w:pPr>
        <w:ind w:left="720"/>
        <w:rPr>
          <w:rFonts w:ascii="Garamond" w:hAnsi="Garamond"/>
          <w:sz w:val="22"/>
          <w:szCs w:val="22"/>
        </w:rPr>
      </w:pPr>
      <w:r w:rsidRPr="00A6390C">
        <w:rPr>
          <w:rFonts w:ascii="Garamond" w:hAnsi="Garamond"/>
          <w:sz w:val="22"/>
          <w:szCs w:val="22"/>
        </w:rPr>
        <w:t xml:space="preserve">To improve </w:t>
      </w:r>
      <w:proofErr w:type="gramStart"/>
      <w:r w:rsidRPr="00A6390C">
        <w:rPr>
          <w:rFonts w:ascii="Garamond" w:hAnsi="Garamond"/>
          <w:sz w:val="22"/>
          <w:szCs w:val="22"/>
        </w:rPr>
        <w:t>readability</w:t>
      </w:r>
      <w:proofErr w:type="gramEnd"/>
      <w:r w:rsidRPr="00A6390C">
        <w:rPr>
          <w:rFonts w:ascii="Garamond" w:hAnsi="Garamond"/>
          <w:sz w:val="22"/>
          <w:szCs w:val="22"/>
        </w:rPr>
        <w:t xml:space="preserve"> we added a penultimate paragraph per the reviewer’s suggestion expanding on the limitation for estimating basin-scale patterns currently as well as highlighting the unique ability of otolith microchemistry to address these limitations. In addition, we added a few sentences expanding on… </w:t>
      </w:r>
    </w:p>
    <w:p w14:paraId="4633C13B" w14:textId="47F8F467" w:rsidR="001267A1" w:rsidRPr="00A6390C" w:rsidRDefault="001267A1" w:rsidP="007F5F83">
      <w:pPr>
        <w:rPr>
          <w:rFonts w:ascii="Garamond" w:hAnsi="Garamond"/>
          <w:sz w:val="22"/>
          <w:szCs w:val="22"/>
        </w:rPr>
      </w:pPr>
      <w:r w:rsidRPr="00A6390C">
        <w:rPr>
          <w:rFonts w:ascii="Garamond" w:hAnsi="Garamond"/>
          <w:sz w:val="22"/>
          <w:szCs w:val="22"/>
          <w:highlight w:val="yellow"/>
        </w:rPr>
        <w:t>** Add a few more sentences on Chinook salmon distribution etc. **</w:t>
      </w:r>
      <w:r w:rsidRPr="00A6390C">
        <w:rPr>
          <w:rFonts w:ascii="Garamond" w:hAnsi="Garamond"/>
          <w:sz w:val="22"/>
          <w:szCs w:val="22"/>
        </w:rPr>
        <w:t xml:space="preserve"> </w:t>
      </w:r>
    </w:p>
    <w:p w14:paraId="38BBC3E5" w14:textId="77777777" w:rsidR="00A6390C" w:rsidRPr="00A6390C" w:rsidRDefault="007F5F83" w:rsidP="007F5F83">
      <w:pPr>
        <w:rPr>
          <w:rFonts w:ascii="Garamond" w:hAnsi="Garamond"/>
          <w:b/>
          <w:bCs/>
        </w:rPr>
      </w:pPr>
      <w:r w:rsidRPr="00531BBB">
        <w:br/>
      </w:r>
      <w:r w:rsidRPr="00531BBB">
        <w:br/>
      </w:r>
      <w:proofErr w:type="gramStart"/>
      <w:r w:rsidRPr="00A6390C">
        <w:rPr>
          <w:rFonts w:ascii="Garamond" w:hAnsi="Garamond"/>
          <w:b/>
          <w:bCs/>
        </w:rPr>
        <w:t>Similarly</w:t>
      </w:r>
      <w:proofErr w:type="gramEnd"/>
      <w:r w:rsidRPr="00A6390C">
        <w:rPr>
          <w:rFonts w:ascii="Garamond" w:hAnsi="Garamond"/>
          <w:b/>
          <w:bCs/>
        </w:rPr>
        <w:t xml:space="preserve"> a large portion of the methods </w:t>
      </w:r>
      <w:proofErr w:type="gramStart"/>
      <w:r w:rsidRPr="00A6390C">
        <w:rPr>
          <w:rFonts w:ascii="Garamond" w:hAnsi="Garamond"/>
          <w:b/>
          <w:bCs/>
        </w:rPr>
        <w:t>focuses</w:t>
      </w:r>
      <w:proofErr w:type="gramEnd"/>
      <w:r w:rsidRPr="00A6390C">
        <w:rPr>
          <w:rFonts w:ascii="Garamond" w:hAnsi="Garamond"/>
          <w:b/>
          <w:bCs/>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A6390C">
        <w:rPr>
          <w:rFonts w:ascii="Garamond" w:hAnsi="Garamond"/>
          <w:b/>
          <w:bCs/>
        </w:rPr>
        <w:t>Similarly</w:t>
      </w:r>
      <w:proofErr w:type="gramEnd"/>
      <w:r w:rsidRPr="00A6390C">
        <w:rPr>
          <w:rFonts w:ascii="Garamond" w:hAnsi="Garamond"/>
          <w:b/>
          <w:bCs/>
        </w:rPr>
        <w:t xml:space="preserve"> I think some material in the discussion about how well the regional groupings conform to </w:t>
      </w:r>
      <w:proofErr w:type="gramStart"/>
      <w:r w:rsidRPr="00A6390C">
        <w:rPr>
          <w:rFonts w:ascii="Garamond" w:hAnsi="Garamond"/>
          <w:b/>
          <w:bCs/>
        </w:rPr>
        <w:t>any a</w:t>
      </w:r>
      <w:proofErr w:type="gramEnd"/>
      <w:r w:rsidRPr="00A6390C">
        <w:rPr>
          <w:rFonts w:ascii="Garamond" w:hAnsi="Garamond"/>
          <w:b/>
          <w:bCs/>
        </w:rPr>
        <w:t xml:space="preserve"> priori predictions about population structure that were derived from traditional ecological knowledge would be of interest to readers.</w:t>
      </w:r>
      <w:r w:rsidRPr="00A6390C">
        <w:rPr>
          <w:rFonts w:ascii="Garamond" w:hAnsi="Garamond"/>
          <w:b/>
          <w:bCs/>
        </w:rPr>
        <w:br/>
      </w:r>
    </w:p>
    <w:p w14:paraId="6F781A4F" w14:textId="617E1307" w:rsidR="00A6390C" w:rsidRPr="00A6390C" w:rsidRDefault="00A6390C" w:rsidP="007F5F83">
      <w:pPr>
        <w:rPr>
          <w:rFonts w:ascii="Garamond" w:hAnsi="Garamond"/>
          <w:b/>
          <w:bCs/>
        </w:rPr>
      </w:pPr>
      <w:r w:rsidRPr="00A6390C">
        <w:rPr>
          <w:rFonts w:ascii="Garamond" w:hAnsi="Garamond"/>
          <w:b/>
          <w:bCs/>
        </w:rPr>
        <w:t xml:space="preserve">** Move some description of the clustering, including histogram of the isotopic composition per group** </w:t>
      </w:r>
    </w:p>
    <w:p w14:paraId="5129C267" w14:textId="77777777" w:rsidR="00A6390C" w:rsidRPr="00A6390C" w:rsidRDefault="00A6390C" w:rsidP="007F5F83">
      <w:pPr>
        <w:rPr>
          <w:rFonts w:ascii="Garamond" w:hAnsi="Garamond"/>
          <w:b/>
          <w:bCs/>
        </w:rPr>
      </w:pPr>
    </w:p>
    <w:p w14:paraId="768F261B" w14:textId="77777777" w:rsidR="00A6390C" w:rsidRPr="00A6390C" w:rsidRDefault="00A6390C" w:rsidP="007F5F83">
      <w:pPr>
        <w:rPr>
          <w:rFonts w:ascii="Garamond" w:hAnsi="Garamond"/>
          <w:b/>
          <w:bCs/>
        </w:rPr>
      </w:pPr>
    </w:p>
    <w:p w14:paraId="233B5CFD" w14:textId="2402C238" w:rsidR="00A6390C" w:rsidRPr="00A6390C" w:rsidRDefault="007F5F83" w:rsidP="007F5F83">
      <w:pPr>
        <w:rPr>
          <w:rFonts w:ascii="Garamond" w:hAnsi="Garamond"/>
          <w:b/>
          <w:bCs/>
        </w:rPr>
      </w:pPr>
      <w:r w:rsidRPr="00A6390C">
        <w:rPr>
          <w:rFonts w:ascii="Garamond" w:hAnsi="Garamond"/>
          <w:b/>
          <w:bCs/>
        </w:rPr>
        <w:lastRenderedPageBreak/>
        <w:br/>
        <w:t xml:space="preserve">I appreciated the </w:t>
      </w:r>
      <w:proofErr w:type="gramStart"/>
      <w:r w:rsidRPr="00A6390C">
        <w:rPr>
          <w:rFonts w:ascii="Garamond" w:hAnsi="Garamond"/>
          <w:b/>
          <w:bCs/>
        </w:rPr>
        <w:t>authors’</w:t>
      </w:r>
      <w:proofErr w:type="gramEnd"/>
      <w:r w:rsidRPr="00A6390C">
        <w:rPr>
          <w:rFonts w:ascii="Garamond" w:hAnsi="Garamond"/>
          <w:b/>
          <w:bCs/>
        </w:rPr>
        <w:t xml:space="preserve"> attempt to account for multiple sources of </w:t>
      </w:r>
      <w:proofErr w:type="gramStart"/>
      <w:r w:rsidRPr="00A6390C">
        <w:rPr>
          <w:rFonts w:ascii="Garamond" w:hAnsi="Garamond"/>
          <w:b/>
          <w:bCs/>
        </w:rPr>
        <w:t>uncertainty, but</w:t>
      </w:r>
      <w:proofErr w:type="gramEnd"/>
      <w:r w:rsidRPr="00A6390C">
        <w:rPr>
          <w:rFonts w:ascii="Garamond" w:hAnsi="Garamond"/>
          <w:b/>
          <w:bCs/>
        </w:rPr>
        <w:t xml:space="preserve"> found the section on natal origin estimation difficult to parse. What does within-population error represent in this case? Would it be informative to present the relative magnitude of each of these variance parameters? </w:t>
      </w:r>
    </w:p>
    <w:p w14:paraId="24F9850B" w14:textId="77777777" w:rsidR="00A6390C" w:rsidRPr="00A6390C" w:rsidRDefault="00A6390C" w:rsidP="007F5F83">
      <w:pPr>
        <w:rPr>
          <w:rFonts w:ascii="Garamond" w:hAnsi="Garamond"/>
          <w:b/>
          <w:bCs/>
        </w:rPr>
      </w:pPr>
    </w:p>
    <w:p w14:paraId="0DA812F9" w14:textId="77777777" w:rsidR="00A6390C" w:rsidRPr="00A6390C" w:rsidRDefault="007F5F83" w:rsidP="007F5F83">
      <w:pPr>
        <w:rPr>
          <w:rFonts w:ascii="Garamond" w:hAnsi="Garamond"/>
          <w:b/>
          <w:bCs/>
        </w:rPr>
      </w:pPr>
      <w:proofErr w:type="gramStart"/>
      <w:r w:rsidRPr="00A6390C">
        <w:rPr>
          <w:rFonts w:ascii="Garamond" w:hAnsi="Garamond"/>
          <w:b/>
          <w:bCs/>
        </w:rPr>
        <w:t>Similarly</w:t>
      </w:r>
      <w:proofErr w:type="gramEnd"/>
      <w:r w:rsidRPr="00A6390C">
        <w:rPr>
          <w:rFonts w:ascii="Garamond" w:hAnsi="Garamond"/>
          <w:b/>
          <w:bCs/>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26330E4F" w14:textId="77777777" w:rsidR="00A6390C" w:rsidRPr="00A6390C" w:rsidRDefault="007F5F83" w:rsidP="007F5F83">
      <w:pPr>
        <w:rPr>
          <w:rFonts w:ascii="Garamond" w:hAnsi="Garamond"/>
          <w:b/>
          <w:bCs/>
        </w:rPr>
      </w:pPr>
      <w:r w:rsidRPr="00A6390C">
        <w:rPr>
          <w:rFonts w:ascii="Garamond" w:hAnsi="Garamond"/>
          <w:b/>
          <w:bCs/>
        </w:rPr>
        <w:br/>
      </w:r>
      <w:r w:rsidRPr="00A6390C">
        <w:rPr>
          <w:rFonts w:ascii="Garamond" w:hAnsi="Garamond"/>
          <w:b/>
          <w:bCs/>
        </w:rPr>
        <w:br/>
        <w:t>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r w:rsidRPr="00A6390C">
        <w:rPr>
          <w:rFonts w:ascii="Garamond" w:hAnsi="Garamond"/>
          <w:b/>
          <w:bCs/>
        </w:rPr>
        <w:br/>
      </w:r>
    </w:p>
    <w:p w14:paraId="3296D9F8" w14:textId="03EC9594" w:rsidR="007F5F83" w:rsidRPr="00A6390C" w:rsidRDefault="007F5F83" w:rsidP="007F5F83">
      <w:pPr>
        <w:rPr>
          <w:rFonts w:ascii="Garamond" w:hAnsi="Garamond"/>
          <w:b/>
          <w:bCs/>
        </w:rPr>
      </w:pPr>
      <w:r w:rsidRPr="00A6390C">
        <w:rPr>
          <w:rFonts w:ascii="Garamond" w:hAnsi="Garamond"/>
          <w:b/>
          <w:bCs/>
        </w:rPr>
        <w:br/>
        <w:t>Interannual Variability in Migration Phenology of Upstream Components</w:t>
      </w:r>
      <w:r w:rsidRPr="00A6390C">
        <w:rPr>
          <w:rFonts w:ascii="Garamond" w:hAnsi="Garamond"/>
          <w:b/>
          <w:bCs/>
        </w:rPr>
        <w:br/>
        <w:t xml:space="preserve">At least to my eye from Fig 4, it seems as though groups 1 and 2 have much greater interannual variability in run timing. I would recommend testing for this quantitatively (e.g. the CV of 50% passage date among years by group). It’s not only of ecological </w:t>
      </w:r>
      <w:proofErr w:type="gramStart"/>
      <w:r w:rsidRPr="00A6390C">
        <w:rPr>
          <w:rFonts w:ascii="Garamond" w:hAnsi="Garamond"/>
          <w:b/>
          <w:bCs/>
        </w:rPr>
        <w:t>interest, but</w:t>
      </w:r>
      <w:proofErr w:type="gramEnd"/>
      <w:r w:rsidRPr="00A6390C">
        <w:rPr>
          <w:rFonts w:ascii="Garamond" w:hAnsi="Garamond"/>
          <w:b/>
          <w:bCs/>
        </w:rPr>
        <w:t xml:space="preserve"> presumably is driving the effects seen in Fig 5 and strongly constrains the performance of a harvest control rule based on a fixed temporal window.</w:t>
      </w:r>
      <w:r w:rsidRPr="00A6390C">
        <w:rPr>
          <w:rFonts w:ascii="Garamond" w:hAnsi="Garamond"/>
          <w:b/>
          <w:bCs/>
        </w:rPr>
        <w:br/>
      </w:r>
    </w:p>
    <w:p w14:paraId="03C141F6" w14:textId="78137472" w:rsidR="00A6390C" w:rsidRDefault="00A6390C" w:rsidP="00A6390C">
      <w:pPr>
        <w:pStyle w:val="Title"/>
        <w:rPr>
          <w:rFonts w:ascii="Garamond" w:hAnsi="Garamond"/>
        </w:rPr>
      </w:pPr>
      <w:r w:rsidRPr="00A6390C">
        <w:rPr>
          <w:rFonts w:ascii="Garamond" w:hAnsi="Garamond"/>
        </w:rPr>
        <w:t xml:space="preserve">Reviewer </w:t>
      </w:r>
      <w:r>
        <w:rPr>
          <w:rFonts w:ascii="Garamond" w:hAnsi="Garamond"/>
        </w:rPr>
        <w:t>2</w:t>
      </w:r>
      <w:r w:rsidRPr="00A6390C">
        <w:rPr>
          <w:rFonts w:ascii="Garamond" w:hAnsi="Garamond"/>
        </w:rPr>
        <w:t xml:space="preserve">: </w:t>
      </w:r>
    </w:p>
    <w:p w14:paraId="1AF50157" w14:textId="1F542DB0" w:rsidR="00A6390C" w:rsidRDefault="00A6390C" w:rsidP="00A6390C">
      <w:r>
        <w:t xml:space="preserve">General Comments </w:t>
      </w:r>
    </w:p>
    <w:p w14:paraId="58AA414B" w14:textId="597DB26E" w:rsidR="00A6390C" w:rsidRPr="00733A9B" w:rsidRDefault="005052B4" w:rsidP="00A6390C">
      <w:pPr>
        <w:rPr>
          <w:rFonts w:ascii="Garamond" w:hAnsi="Garamond"/>
          <w:b/>
          <w:bCs/>
        </w:rPr>
      </w:pPr>
      <w:r w:rsidRPr="00733A9B">
        <w:rPr>
          <w:rFonts w:ascii="Garamond" w:hAnsi="Garamond"/>
          <w:b/>
          <w:bCs/>
        </w:rPr>
        <w:lastRenderedPageBreak/>
        <w:t>From the title I didn’t think “multi-year otolith isotope study”. I am also not sure “balance” is the right word and a more pointed title about the upper-watershed fish may be more appropriate.</w:t>
      </w:r>
    </w:p>
    <w:p w14:paraId="5959770B" w14:textId="041BEF7C" w:rsidR="005052B4" w:rsidRPr="00733A9B" w:rsidRDefault="005052B4" w:rsidP="00733A9B">
      <w:pPr>
        <w:ind w:left="720"/>
        <w:rPr>
          <w:rFonts w:ascii="Garamond" w:hAnsi="Garamond"/>
        </w:rPr>
      </w:pPr>
      <w:r w:rsidRPr="00733A9B">
        <w:rPr>
          <w:rFonts w:ascii="Garamond" w:hAnsi="Garamond"/>
        </w:rPr>
        <w:t xml:space="preserve">Although we agree that the title does not lead the reader to the conclusion that this is an otolith-based study, we believe that the key take home message here is assessing how the strategic closure can balance the dual goals of opportunity and stock diversity when provided with sufficient spatial resolution (achieved via the otolith chemistry). For this </w:t>
      </w:r>
      <w:proofErr w:type="gramStart"/>
      <w:r w:rsidRPr="00733A9B">
        <w:rPr>
          <w:rFonts w:ascii="Garamond" w:hAnsi="Garamond"/>
        </w:rPr>
        <w:t>reason</w:t>
      </w:r>
      <w:proofErr w:type="gramEnd"/>
      <w:r w:rsidRPr="00733A9B">
        <w:rPr>
          <w:rFonts w:ascii="Garamond" w:hAnsi="Garamond"/>
        </w:rPr>
        <w:t xml:space="preserve"> we have opted to keep the title the same. </w:t>
      </w:r>
    </w:p>
    <w:p w14:paraId="3D8A9FEC" w14:textId="77777777" w:rsidR="005052B4" w:rsidRPr="00A6390C" w:rsidRDefault="005052B4" w:rsidP="00A6390C"/>
    <w:p w14:paraId="0A8E7970" w14:textId="4176A926" w:rsidR="007F5F83" w:rsidRDefault="005052B4">
      <w:pPr>
        <w:rPr>
          <w:b/>
          <w:bCs/>
        </w:rPr>
      </w:pPr>
      <w:r w:rsidRPr="005052B4">
        <w:rPr>
          <w:b/>
          <w:bCs/>
        </w:rPr>
        <w:t>Throughout the entire manuscript text and figures change Sr87/Sr86 to 87Sr/86Sr.</w:t>
      </w:r>
    </w:p>
    <w:p w14:paraId="23FAEEFF" w14:textId="6ABCF2B7" w:rsidR="005052B4" w:rsidRDefault="005052B4">
      <w:pPr>
        <w:rPr>
          <w:b/>
          <w:bCs/>
        </w:rPr>
      </w:pPr>
      <w:r w:rsidRPr="005052B4">
        <w:rPr>
          <w:b/>
          <w:bCs/>
          <w:highlight w:val="yellow"/>
        </w:rPr>
        <w:t>** Change throughout **</w:t>
      </w:r>
      <w:r>
        <w:rPr>
          <w:b/>
          <w:bCs/>
        </w:rPr>
        <w:t xml:space="preserve"> </w:t>
      </w:r>
    </w:p>
    <w:p w14:paraId="4F4D7E03" w14:textId="77777777" w:rsidR="005052B4" w:rsidRDefault="005052B4"/>
    <w:p w14:paraId="63229207" w14:textId="77777777" w:rsidR="005052B4" w:rsidRDefault="005052B4"/>
    <w:p w14:paraId="23317A3B" w14:textId="6AE80C08" w:rsidR="005052B4" w:rsidRPr="00733A9B" w:rsidRDefault="005052B4">
      <w:pPr>
        <w:rPr>
          <w:b/>
          <w:bCs/>
        </w:rPr>
      </w:pPr>
      <w:r w:rsidRPr="00733A9B">
        <w:rPr>
          <w:b/>
          <w:bCs/>
        </w:rPr>
        <w:t xml:space="preserve">The abstract does a good job of introducing the problem and research objectives. However, without reading the rest of the paper the last two sentences don’t make a lot of sense to me. What are magnitudes of run-timing? And </w:t>
      </w:r>
      <w:proofErr w:type="gramStart"/>
      <w:r w:rsidRPr="00733A9B">
        <w:rPr>
          <w:b/>
          <w:bCs/>
        </w:rPr>
        <w:t>efficacy</w:t>
      </w:r>
      <w:proofErr w:type="gramEnd"/>
      <w:r w:rsidRPr="00733A9B">
        <w:rPr>
          <w:b/>
          <w:bCs/>
        </w:rPr>
        <w:t xml:space="preserve"> of what? (I assume the closure-dates?) Finally, how are simulated closure end dates providing greater protection (I assume </w:t>
      </w:r>
      <w:proofErr w:type="gramStart"/>
      <w:r w:rsidRPr="00733A9B">
        <w:rPr>
          <w:b/>
          <w:bCs/>
        </w:rPr>
        <w:t>its</w:t>
      </w:r>
      <w:proofErr w:type="gramEnd"/>
      <w:r w:rsidRPr="00733A9B">
        <w:rPr>
          <w:b/>
          <w:bCs/>
        </w:rPr>
        <w:t xml:space="preserve"> specific for simulated later closure end dates). I am sure this will become clear when reading the rest of the manuscript but ideally the abstract stands by itself. Maybe strategic rewording of these sentences will make this </w:t>
      </w:r>
      <w:proofErr w:type="gramStart"/>
      <w:r w:rsidRPr="00733A9B">
        <w:rPr>
          <w:b/>
          <w:bCs/>
        </w:rPr>
        <w:t>more clear</w:t>
      </w:r>
      <w:proofErr w:type="gramEnd"/>
      <w:r w:rsidRPr="00733A9B">
        <w:rPr>
          <w:b/>
          <w:bCs/>
        </w:rPr>
        <w:t>.</w:t>
      </w:r>
    </w:p>
    <w:p w14:paraId="31594003" w14:textId="77777777" w:rsidR="00733A9B" w:rsidRDefault="00733A9B"/>
    <w:p w14:paraId="43E47D48" w14:textId="47F98BBB" w:rsidR="005052B4" w:rsidRPr="00733A9B" w:rsidRDefault="005052B4" w:rsidP="00733A9B">
      <w:pPr>
        <w:ind w:firstLine="720"/>
        <w:rPr>
          <w:rFonts w:ascii="Garamond" w:hAnsi="Garamond"/>
        </w:rPr>
      </w:pPr>
      <w:r w:rsidRPr="00733A9B">
        <w:rPr>
          <w:rFonts w:ascii="Garamond" w:hAnsi="Garamond"/>
        </w:rPr>
        <w:t xml:space="preserve">To </w:t>
      </w:r>
      <w:r w:rsidR="00733A9B" w:rsidRPr="00733A9B">
        <w:rPr>
          <w:rFonts w:ascii="Garamond" w:hAnsi="Garamond"/>
        </w:rPr>
        <w:t xml:space="preserve">clarify the abstract for the reader we re-worded to read: </w:t>
      </w:r>
    </w:p>
    <w:p w14:paraId="22DF3D39" w14:textId="7FEB4058" w:rsidR="005052B4" w:rsidRDefault="00A32532" w:rsidP="00733A9B">
      <w:pPr>
        <w:ind w:left="720"/>
        <w:rPr>
          <w:rFonts w:ascii="Garamond" w:hAnsi="Garamond"/>
        </w:rPr>
      </w:pPr>
      <w:proofErr w:type="gramStart"/>
      <w:r w:rsidRPr="00733A9B">
        <w:rPr>
          <w:rFonts w:ascii="Garamond" w:hAnsi="Garamond"/>
        </w:rPr>
        <w:t xml:space="preserve">“ </w:t>
      </w:r>
      <w:r w:rsidR="00733A9B" w:rsidRPr="00733A9B">
        <w:rPr>
          <w:rFonts w:ascii="Garamond" w:hAnsi="Garamond"/>
          <w:sz w:val="22"/>
          <w:szCs w:val="22"/>
        </w:rPr>
        <w:t>A</w:t>
      </w:r>
      <w:proofErr w:type="gramEnd"/>
      <w:r w:rsidR="00733A9B" w:rsidRPr="00733A9B">
        <w:rPr>
          <w:rFonts w:ascii="Garamond" w:hAnsi="Garamond"/>
          <w:sz w:val="22"/>
          <w:szCs w:val="22"/>
        </w:rPr>
        <w:t xml:space="preserve"> longer simulated closure </w:t>
      </w:r>
      <w:r w:rsidR="00733A9B" w:rsidRPr="00733A9B">
        <w:rPr>
          <w:rFonts w:ascii="Garamond" w:hAnsi="Garamond"/>
          <w:sz w:val="22"/>
          <w:szCs w:val="22"/>
        </w:rPr>
        <w:t>provided greater protection for upper watershed stock</w:t>
      </w:r>
      <w:r w:rsidR="00733A9B" w:rsidRPr="00733A9B">
        <w:rPr>
          <w:rFonts w:ascii="Garamond" w:hAnsi="Garamond"/>
          <w:sz w:val="22"/>
          <w:szCs w:val="22"/>
        </w:rPr>
        <w:t>s but with an associated tradeoff of lost harvest opportunity. The protection afforded to upper</w:t>
      </w:r>
      <w:r w:rsidR="00733A9B" w:rsidRPr="00733A9B">
        <w:rPr>
          <w:rFonts w:ascii="Garamond" w:hAnsi="Garamond"/>
          <w:sz w:val="22"/>
          <w:szCs w:val="22"/>
        </w:rPr>
        <w:t xml:space="preserve"> watershed stocks varied substantially among years due to variable overall return migration timing, highlighting the interaction between a fixed closure strategy and dynamic ecological processes that impact </w:t>
      </w:r>
      <w:proofErr w:type="gramStart"/>
      <w:r w:rsidR="00733A9B" w:rsidRPr="00733A9B">
        <w:rPr>
          <w:rFonts w:ascii="Garamond" w:hAnsi="Garamond"/>
          <w:sz w:val="22"/>
          <w:szCs w:val="22"/>
        </w:rPr>
        <w:t>it’s</w:t>
      </w:r>
      <w:proofErr w:type="gramEnd"/>
      <w:r w:rsidR="00733A9B" w:rsidRPr="00733A9B">
        <w:rPr>
          <w:rFonts w:ascii="Garamond" w:hAnsi="Garamond"/>
          <w:sz w:val="22"/>
          <w:szCs w:val="22"/>
        </w:rPr>
        <w:t xml:space="preserve"> overall efficacy.</w:t>
      </w:r>
      <w:r w:rsidR="00733A9B" w:rsidRPr="00733A9B">
        <w:rPr>
          <w:rFonts w:ascii="Garamond" w:hAnsi="Garamond"/>
        </w:rPr>
        <w:t xml:space="preserve">” </w:t>
      </w:r>
    </w:p>
    <w:p w14:paraId="6847D43C" w14:textId="77777777" w:rsidR="00733A9B" w:rsidRDefault="00733A9B" w:rsidP="00733A9B">
      <w:pPr>
        <w:rPr>
          <w:rFonts w:ascii="Garamond" w:hAnsi="Garamond"/>
        </w:rPr>
      </w:pPr>
    </w:p>
    <w:p w14:paraId="47C79846" w14:textId="4F29836E" w:rsidR="00733A9B" w:rsidRPr="00733A9B" w:rsidRDefault="00733A9B" w:rsidP="00733A9B">
      <w:pPr>
        <w:rPr>
          <w:rFonts w:ascii="Garamond" w:hAnsi="Garamond"/>
          <w:b/>
          <w:bCs/>
        </w:rPr>
      </w:pPr>
      <w:r w:rsidRPr="00733A9B">
        <w:rPr>
          <w:rFonts w:ascii="Garamond" w:hAnsi="Garamond"/>
          <w:b/>
          <w:bCs/>
        </w:rPr>
        <w:t xml:space="preserve">Most CJFAS readers are likely familiar with the importance of the </w:t>
      </w:r>
      <w:proofErr w:type="gramStart"/>
      <w:r w:rsidRPr="00733A9B">
        <w:rPr>
          <w:rFonts w:ascii="Garamond" w:hAnsi="Garamond"/>
          <w:b/>
          <w:bCs/>
        </w:rPr>
        <w:t>Kuskokwim river</w:t>
      </w:r>
      <w:proofErr w:type="gramEnd"/>
      <w:r w:rsidRPr="00733A9B">
        <w:rPr>
          <w:rFonts w:ascii="Garamond" w:hAnsi="Garamond"/>
          <w:b/>
          <w:bCs/>
        </w:rPr>
        <w:t xml:space="preserve"> but for international readers it would be beneficial to add a qualifier like “major Pacific salmon producing river” or “</w:t>
      </w:r>
      <w:proofErr w:type="gramStart"/>
      <w:r w:rsidRPr="00733A9B">
        <w:rPr>
          <w:rFonts w:ascii="Garamond" w:hAnsi="Garamond"/>
          <w:b/>
          <w:bCs/>
        </w:rPr>
        <w:t>a  large</w:t>
      </w:r>
      <w:proofErr w:type="gramEnd"/>
      <w:r w:rsidRPr="00733A9B">
        <w:rPr>
          <w:rFonts w:ascii="Garamond" w:hAnsi="Garamond"/>
          <w:b/>
          <w:bCs/>
        </w:rPr>
        <w:t xml:space="preserve"> and remote Chinook salmon watershed” or something similar.</w:t>
      </w:r>
    </w:p>
    <w:p w14:paraId="086EFF69" w14:textId="67FF9780" w:rsidR="00733A9B" w:rsidRDefault="00733A9B" w:rsidP="00733A9B">
      <w:pPr>
        <w:ind w:left="720"/>
        <w:rPr>
          <w:rFonts w:ascii="Garamond" w:hAnsi="Garamond"/>
        </w:rPr>
      </w:pPr>
      <w:r w:rsidRPr="00733A9B">
        <w:rPr>
          <w:rFonts w:ascii="Garamond" w:hAnsi="Garamond"/>
        </w:rPr>
        <w:lastRenderedPageBreak/>
        <w:t xml:space="preserve">We added a clearer introduction of the Kuskokwim as a salmon producing river in western Alaska. </w:t>
      </w:r>
    </w:p>
    <w:p w14:paraId="65632E51" w14:textId="77777777" w:rsidR="00733A9B" w:rsidRDefault="00733A9B" w:rsidP="00733A9B">
      <w:pPr>
        <w:rPr>
          <w:rFonts w:ascii="Garamond" w:hAnsi="Garamond"/>
        </w:rPr>
      </w:pPr>
    </w:p>
    <w:p w14:paraId="77288623" w14:textId="68AEEE44" w:rsidR="00733A9B" w:rsidRPr="00733A9B" w:rsidRDefault="00733A9B" w:rsidP="00733A9B">
      <w:pPr>
        <w:rPr>
          <w:b/>
          <w:bCs/>
        </w:rPr>
      </w:pPr>
      <w:r w:rsidRPr="00733A9B">
        <w:rPr>
          <w:b/>
          <w:bCs/>
        </w:rPr>
        <w:t xml:space="preserve">Line 47-49 “However, the timing, yield, and duration of downstream fisheries are the result of the aggregate dynamics of these upstream components (Nesbitt &amp; Moore, 2016).” I am not sure I fully understand what </w:t>
      </w:r>
      <w:proofErr w:type="gramStart"/>
      <w:r w:rsidRPr="00733A9B">
        <w:rPr>
          <w:b/>
          <w:bCs/>
        </w:rPr>
        <w:t>is</w:t>
      </w:r>
      <w:proofErr w:type="gramEnd"/>
      <w:r w:rsidRPr="00733A9B">
        <w:rPr>
          <w:b/>
          <w:bCs/>
        </w:rPr>
        <w:t xml:space="preserve"> </w:t>
      </w:r>
      <w:proofErr w:type="gramStart"/>
      <w:r w:rsidRPr="00733A9B">
        <w:rPr>
          <w:b/>
          <w:bCs/>
        </w:rPr>
        <w:t>meant</w:t>
      </w:r>
      <w:proofErr w:type="gramEnd"/>
      <w:r w:rsidRPr="00733A9B">
        <w:rPr>
          <w:b/>
          <w:bCs/>
        </w:rPr>
        <w:t xml:space="preserve"> here. </w:t>
      </w:r>
      <w:proofErr w:type="gramStart"/>
      <w:r w:rsidRPr="00733A9B">
        <w:rPr>
          <w:b/>
          <w:bCs/>
        </w:rPr>
        <w:t>So</w:t>
      </w:r>
      <w:proofErr w:type="gramEnd"/>
      <w:r w:rsidRPr="00733A9B">
        <w:rPr>
          <w:b/>
          <w:bCs/>
        </w:rPr>
        <w:t xml:space="preserve"> the duration and yield of downstream fisheries are impacted by the dynamics of the salmon in the upper watersheds?</w:t>
      </w:r>
    </w:p>
    <w:p w14:paraId="617E69E1" w14:textId="77777777" w:rsidR="00733A9B" w:rsidRDefault="00733A9B" w:rsidP="00733A9B"/>
    <w:p w14:paraId="1C86EFDC" w14:textId="4D472ECB" w:rsidR="00733A9B" w:rsidRDefault="00733A9B" w:rsidP="00733A9B">
      <w:pPr>
        <w:ind w:left="720"/>
      </w:pPr>
      <w:r>
        <w:t>Yes, the duration and yield of the downstream fishery is a direct result of the dynamics of salmon in the upper watershed. Because the sub-populations that make up the watershed are characterized by variable run timing/abundance/</w:t>
      </w:r>
      <w:proofErr w:type="gramStart"/>
      <w:r>
        <w:t>etc. ,</w:t>
      </w:r>
      <w:proofErr w:type="gramEnd"/>
      <w:r>
        <w:t xml:space="preserve"> what is observed in the downstream fishery is the aggregate of these patterns among stocks. For example, several upper watershed stocks with variable and non-overlapping run timing would extend the duration of the available harvest time for downstream fisheries as demonstrated in Nesbitt and Moore, 2016.  </w:t>
      </w:r>
    </w:p>
    <w:p w14:paraId="717480BC" w14:textId="77777777" w:rsidR="00733A9B" w:rsidRDefault="00733A9B" w:rsidP="00733A9B"/>
    <w:p w14:paraId="28512D64" w14:textId="2AA1491F" w:rsidR="00733A9B" w:rsidRDefault="00974EB1" w:rsidP="00733A9B">
      <w:pPr>
        <w:rPr>
          <w:b/>
          <w:bCs/>
        </w:rPr>
      </w:pPr>
      <w:r w:rsidRPr="00974EB1">
        <w:rPr>
          <w:b/>
          <w:bCs/>
        </w:rPr>
        <w:t>Line 54. “western” should be “Western”.</w:t>
      </w:r>
    </w:p>
    <w:p w14:paraId="52161DA6" w14:textId="768EC7FE" w:rsidR="00974EB1" w:rsidRDefault="00974EB1" w:rsidP="00733A9B">
      <w:r>
        <w:tab/>
        <w:t xml:space="preserve">Corrected error. </w:t>
      </w:r>
    </w:p>
    <w:p w14:paraId="09DA6005" w14:textId="77777777" w:rsidR="00974EB1" w:rsidRDefault="00974EB1" w:rsidP="00733A9B"/>
    <w:p w14:paraId="786EF20D" w14:textId="44833B5A" w:rsidR="00974EB1" w:rsidRDefault="00974EB1" w:rsidP="00733A9B">
      <w:pPr>
        <w:rPr>
          <w:b/>
          <w:bCs/>
        </w:rPr>
      </w:pPr>
      <w:r w:rsidRPr="00974EB1">
        <w:rPr>
          <w:b/>
          <w:bCs/>
        </w:rPr>
        <w:t xml:space="preserve">Line 77. If available add a reference for the local/tribal knowledge. </w:t>
      </w:r>
      <w:proofErr w:type="spellStart"/>
      <w:proofErr w:type="gramStart"/>
      <w:r w:rsidRPr="00974EB1">
        <w:rPr>
          <w:b/>
          <w:bCs/>
        </w:rPr>
        <w:t>Its</w:t>
      </w:r>
      <w:proofErr w:type="spellEnd"/>
      <w:proofErr w:type="gramEnd"/>
      <w:r w:rsidRPr="00974EB1">
        <w:rPr>
          <w:b/>
          <w:bCs/>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051CFF85" w:rsidR="00974EB1" w:rsidRDefault="00974EB1" w:rsidP="00974EB1">
      <w:pPr>
        <w:ind w:firstLine="720"/>
      </w:pPr>
      <w:r w:rsidRPr="00974EB1">
        <w:t xml:space="preserve">** Ask Janessa** </w:t>
      </w:r>
    </w:p>
    <w:p w14:paraId="3B649B0F" w14:textId="77777777" w:rsidR="00974EB1" w:rsidRDefault="00974EB1" w:rsidP="00974EB1"/>
    <w:p w14:paraId="3ADEEEBF" w14:textId="1579DB73" w:rsidR="00974EB1" w:rsidRDefault="00974EB1" w:rsidP="00974EB1">
      <w:pPr>
        <w:rPr>
          <w:b/>
          <w:bCs/>
        </w:rPr>
      </w:pPr>
      <w:r w:rsidRPr="00974EB1">
        <w:rPr>
          <w:b/>
          <w:bCs/>
        </w:rPr>
        <w:t>Line 106. This should be a supplement table with year, CPUE, and available and selected samples. How were samples within a year subsampled?</w:t>
      </w:r>
    </w:p>
    <w:p w14:paraId="1B5AD1AC" w14:textId="1A88E402" w:rsidR="00974EB1" w:rsidRDefault="00974EB1" w:rsidP="00974EB1">
      <w:pPr>
        <w:ind w:left="720"/>
      </w:pPr>
      <w:r w:rsidRPr="00974EB1">
        <w:rPr>
          <w:highlight w:val="yellow"/>
        </w:rPr>
        <w:t>** WE don’t have available vs sampled, but we do the other information, make a table**</w:t>
      </w:r>
      <w:r>
        <w:t xml:space="preserve"> </w:t>
      </w:r>
    </w:p>
    <w:p w14:paraId="47ACF5B8" w14:textId="77777777" w:rsidR="00974EB1" w:rsidRDefault="00974EB1" w:rsidP="00974EB1"/>
    <w:p w14:paraId="3A21748B" w14:textId="265DF688" w:rsidR="00974EB1" w:rsidRPr="00974EB1" w:rsidRDefault="00974EB1" w:rsidP="00974EB1">
      <w:pPr>
        <w:rPr>
          <w:b/>
          <w:bCs/>
        </w:rPr>
      </w:pPr>
      <w:r w:rsidRPr="00974EB1">
        <w:rPr>
          <w:b/>
          <w:bCs/>
        </w:rPr>
        <w:lastRenderedPageBreak/>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0918E139" w14:textId="6E24BAF7" w:rsidR="00974EB1" w:rsidRDefault="00974EB1" w:rsidP="00974EB1">
      <w:r>
        <w:tab/>
        <w:t xml:space="preserve">** Add supplemental from Diego** </w:t>
      </w:r>
    </w:p>
    <w:p w14:paraId="4335AEC4" w14:textId="77777777" w:rsidR="00974EB1" w:rsidRDefault="00974EB1" w:rsidP="00974EB1"/>
    <w:p w14:paraId="5DA4D83A" w14:textId="77777777" w:rsidR="00DF1FA4" w:rsidRDefault="00DF1FA4" w:rsidP="00DF1FA4">
      <w:r w:rsidRPr="00531BBB">
        <w:br/>
        <w:t>Line 115. I don’t think Capo et al is the correct reference here</w:t>
      </w:r>
    </w:p>
    <w:p w14:paraId="136A166D" w14:textId="77777777" w:rsidR="00DF1FA4" w:rsidRDefault="00DF1FA4" w:rsidP="00DF1FA4">
      <w:r>
        <w:tab/>
        <w:t xml:space="preserve">** Find more appropriate citations or remove Capo ** </w:t>
      </w:r>
    </w:p>
    <w:p w14:paraId="6AF2D687" w14:textId="77777777" w:rsidR="00DF1FA4" w:rsidRDefault="00DF1FA4" w:rsidP="00DF1FA4"/>
    <w:p w14:paraId="6FA1DDA8" w14:textId="77777777" w:rsidR="00DF1FA4" w:rsidRPr="00DF1FA4" w:rsidRDefault="00DF1FA4" w:rsidP="00DF1FA4">
      <w:pPr>
        <w:rPr>
          <w:b/>
          <w:bCs/>
        </w:rPr>
      </w:pPr>
      <w:r w:rsidRPr="00DF1FA4">
        <w:rPr>
          <w:b/>
          <w:bCs/>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7015CFAF" w14:textId="77777777" w:rsidR="00DF1FA4" w:rsidRDefault="00DF1FA4" w:rsidP="00DF1FA4">
      <w:pPr>
        <w:ind w:firstLine="720"/>
      </w:pPr>
      <w:r>
        <w:t xml:space="preserve">** Add range of </w:t>
      </w:r>
      <w:proofErr w:type="spellStart"/>
      <w:r>
        <w:t>Chittaro</w:t>
      </w:r>
      <w:proofErr w:type="spellEnd"/>
      <w:r>
        <w:t xml:space="preserve"> et al * </w:t>
      </w:r>
    </w:p>
    <w:p w14:paraId="64E8B60D" w14:textId="77777777" w:rsidR="00DF1FA4" w:rsidRDefault="00DF1FA4" w:rsidP="00DF1FA4">
      <w:pPr>
        <w:ind w:left="720"/>
      </w:pPr>
      <w:r>
        <w:t xml:space="preserve">Added a brief description of how Sr88 was used as a proxy for Sr concentration to indicate full depletion of the maternal signature. </w:t>
      </w:r>
    </w:p>
    <w:p w14:paraId="0C4387A5" w14:textId="77777777" w:rsidR="00DF1FA4" w:rsidRDefault="00DF1FA4" w:rsidP="00DF1FA4"/>
    <w:p w14:paraId="30F8E2A6" w14:textId="64758A32" w:rsidR="00DF1FA4" w:rsidRDefault="00DF1FA4" w:rsidP="00DF1FA4">
      <w:r w:rsidRPr="00531BBB">
        <w:br/>
      </w:r>
    </w:p>
    <w:p w14:paraId="76BEA76F" w14:textId="77777777" w:rsidR="00974EB1" w:rsidRPr="00974EB1" w:rsidRDefault="00974EB1" w:rsidP="00974EB1">
      <w:pPr>
        <w:rPr>
          <w:rFonts w:ascii="Garamond" w:hAnsi="Garamond"/>
        </w:rPr>
      </w:pPr>
    </w:p>
    <w:sectPr w:rsidR="00974EB1" w:rsidRPr="00974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1267A1"/>
    <w:rsid w:val="00163126"/>
    <w:rsid w:val="004B2F94"/>
    <w:rsid w:val="005052B4"/>
    <w:rsid w:val="00733A9B"/>
    <w:rsid w:val="00754A39"/>
    <w:rsid w:val="007F5F83"/>
    <w:rsid w:val="00974EB1"/>
    <w:rsid w:val="00A32532"/>
    <w:rsid w:val="00A6390C"/>
    <w:rsid w:val="00B974E8"/>
    <w:rsid w:val="00CF720A"/>
    <w:rsid w:val="00DD7012"/>
    <w:rsid w:val="00DF1F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5</Pages>
  <Words>1353</Words>
  <Characters>7716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2026-06-18T21:05:00Z</dcterms:created>
  <dcterms:modified xsi:type="dcterms:W3CDTF">2026-06-19T02:53:00Z</dcterms:modified>
</cp:coreProperties>
</file>