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5130" w14:textId="77777777" w:rsidR="003525FA" w:rsidRPr="001A17C1" w:rsidRDefault="003525FA" w:rsidP="003525FA">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5ACD91D3" w14:textId="77777777" w:rsidR="003525FA" w:rsidRPr="001A17C1" w:rsidRDefault="003525FA" w:rsidP="003525FA">
      <w:pPr>
        <w:rPr>
          <w:rFonts w:ascii="Garamond" w:hAnsi="Garamond" w:cs="Times New Roman"/>
          <w:sz w:val="28"/>
          <w:szCs w:val="28"/>
        </w:rPr>
      </w:pPr>
    </w:p>
    <w:p w14:paraId="1B60415E" w14:textId="03E87CCE" w:rsidR="003525FA" w:rsidRPr="001A17C1" w:rsidRDefault="003525FA" w:rsidP="003525FA">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r w:rsidR="003B674A">
        <w:rPr>
          <w:rFonts w:ascii="Garamond" w:hAnsi="Garamond" w:cs="Times New Roman"/>
          <w:sz w:val="28"/>
          <w:szCs w:val="28"/>
          <w:vertAlign w:val="superscript"/>
        </w:rPr>
        <w:t>,5</w:t>
      </w:r>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56B87456" w14:textId="77777777" w:rsidR="003525FA" w:rsidRPr="001A17C1" w:rsidRDefault="003525FA" w:rsidP="003525FA">
      <w:pPr>
        <w:jc w:val="center"/>
        <w:rPr>
          <w:rFonts w:ascii="Garamond" w:hAnsi="Garamond"/>
        </w:rPr>
      </w:pPr>
    </w:p>
    <w:p w14:paraId="7D53E220" w14:textId="77777777" w:rsidR="003525FA" w:rsidRPr="001A17C1" w:rsidRDefault="003525FA" w:rsidP="003525FA">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1616F27E" w14:textId="77777777" w:rsidR="003525FA" w:rsidRPr="001A17C1" w:rsidRDefault="003525FA" w:rsidP="003525FA">
      <w:pPr>
        <w:rPr>
          <w:rFonts w:ascii="Garamond" w:hAnsi="Garamond" w:cs="Times New Roman"/>
        </w:rPr>
      </w:pPr>
    </w:p>
    <w:p w14:paraId="71D345F0" w14:textId="00177B00" w:rsidR="005323CA" w:rsidRDefault="003525FA" w:rsidP="005323CA">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hyperlink r:id="rId8" w:history="1">
        <w:r w:rsidR="005323CA" w:rsidRPr="006F0069">
          <w:rPr>
            <w:rStyle w:val="Hyperlink"/>
            <w:rFonts w:ascii="Garamond" w:hAnsi="Garamond" w:cs="Times New Roman"/>
          </w:rPr>
          <w:t>bmak29@uw.edu</w:t>
        </w:r>
      </w:hyperlink>
    </w:p>
    <w:p w14:paraId="50920FF1" w14:textId="68B6B223" w:rsidR="005323CA" w:rsidRPr="001A17C1" w:rsidRDefault="005323CA" w:rsidP="00A844A4">
      <w:pPr>
        <w:jc w:val="center"/>
        <w:rPr>
          <w:rFonts w:ascii="Garamond" w:hAnsi="Garamond" w:cs="Times New Roman"/>
        </w:rPr>
      </w:pPr>
      <w:r w:rsidRPr="005323CA">
        <w:rPr>
          <w:rFonts w:ascii="Garamond" w:hAnsi="Garamond" w:cs="Times New Roman"/>
          <w:b/>
          <w:bCs/>
        </w:rPr>
        <w:t>Conflict of interest statement:</w:t>
      </w:r>
      <w:r>
        <w:rPr>
          <w:rFonts w:ascii="Garamond" w:hAnsi="Garamond" w:cs="Times New Roman"/>
        </w:rPr>
        <w:t xml:space="preserve"> The authors declare there is no conflict of interest </w:t>
      </w:r>
    </w:p>
    <w:p w14:paraId="2DE0C705" w14:textId="77777777" w:rsidR="003525FA" w:rsidRDefault="003525FA" w:rsidP="0017389D">
      <w:pPr>
        <w:suppressLineNumbers/>
        <w:jc w:val="center"/>
        <w:rPr>
          <w:rFonts w:ascii="Garamond" w:hAnsi="Garamond" w:cs="Times New Roman"/>
          <w:b/>
          <w:bCs/>
          <w:sz w:val="40"/>
          <w:szCs w:val="40"/>
        </w:rPr>
      </w:pPr>
    </w:p>
    <w:p w14:paraId="276639A8" w14:textId="77777777" w:rsidR="003525FA" w:rsidRDefault="003525FA" w:rsidP="0017389D">
      <w:pPr>
        <w:suppressLineNumbers/>
        <w:jc w:val="center"/>
        <w:rPr>
          <w:rFonts w:ascii="Garamond" w:hAnsi="Garamond" w:cs="Times New Roman"/>
          <w:b/>
          <w:bCs/>
          <w:sz w:val="40"/>
          <w:szCs w:val="40"/>
        </w:rPr>
      </w:pPr>
    </w:p>
    <w:p w14:paraId="46651501" w14:textId="77777777" w:rsidR="003525FA" w:rsidRDefault="003525FA" w:rsidP="0017389D">
      <w:pPr>
        <w:suppressLineNumbers/>
        <w:jc w:val="center"/>
        <w:rPr>
          <w:rFonts w:ascii="Garamond" w:hAnsi="Garamond" w:cs="Times New Roman"/>
          <w:b/>
          <w:bCs/>
          <w:sz w:val="40"/>
          <w:szCs w:val="40"/>
        </w:rPr>
      </w:pPr>
    </w:p>
    <w:p w14:paraId="4CF20524" w14:textId="77777777" w:rsidR="003525FA" w:rsidRDefault="003525FA" w:rsidP="0017389D">
      <w:pPr>
        <w:suppressLineNumbers/>
        <w:jc w:val="center"/>
        <w:rPr>
          <w:rFonts w:ascii="Garamond" w:hAnsi="Garamond" w:cs="Times New Roman"/>
          <w:b/>
          <w:bCs/>
          <w:sz w:val="40"/>
          <w:szCs w:val="40"/>
        </w:rPr>
      </w:pPr>
    </w:p>
    <w:p w14:paraId="658EE6B9" w14:textId="77777777" w:rsidR="003525FA" w:rsidRDefault="003525FA" w:rsidP="0017389D">
      <w:pPr>
        <w:suppressLineNumbers/>
        <w:jc w:val="center"/>
        <w:rPr>
          <w:rFonts w:ascii="Garamond" w:hAnsi="Garamond" w:cs="Times New Roman"/>
          <w:b/>
          <w:bCs/>
          <w:sz w:val="40"/>
          <w:szCs w:val="40"/>
        </w:rPr>
      </w:pPr>
    </w:p>
    <w:p w14:paraId="0B5F49C9" w14:textId="77777777" w:rsidR="003525FA" w:rsidRDefault="003525FA" w:rsidP="0017389D">
      <w:pPr>
        <w:suppressLineNumbers/>
        <w:jc w:val="center"/>
        <w:rPr>
          <w:rFonts w:ascii="Garamond" w:hAnsi="Garamond" w:cs="Times New Roman"/>
          <w:b/>
          <w:bCs/>
          <w:sz w:val="40"/>
          <w:szCs w:val="40"/>
        </w:rPr>
      </w:pPr>
    </w:p>
    <w:p w14:paraId="3DFE12E9" w14:textId="77777777" w:rsidR="003525FA" w:rsidRDefault="003525FA" w:rsidP="0017389D">
      <w:pPr>
        <w:suppressLineNumbers/>
        <w:jc w:val="center"/>
        <w:rPr>
          <w:rFonts w:ascii="Garamond" w:hAnsi="Garamond" w:cs="Times New Roman"/>
          <w:b/>
          <w:bCs/>
          <w:sz w:val="40"/>
          <w:szCs w:val="40"/>
        </w:rPr>
      </w:pPr>
    </w:p>
    <w:p w14:paraId="398E1809" w14:textId="787A2D25" w:rsidR="009A7B39" w:rsidRPr="0016395C" w:rsidRDefault="009A7B39" w:rsidP="006A2A72">
      <w:pPr>
        <w:suppressLineNumbers/>
        <w:rPr>
          <w:rFonts w:ascii="Garamond" w:hAnsi="Garamond"/>
          <w:b/>
          <w:bCs/>
          <w:sz w:val="20"/>
          <w:szCs w:val="20"/>
        </w:rPr>
      </w:pPr>
    </w:p>
    <w:p w14:paraId="57B09708" w14:textId="77777777" w:rsidR="003525FA" w:rsidRDefault="003525FA" w:rsidP="004712C9">
      <w:pPr>
        <w:suppressLineNumbers/>
        <w:rPr>
          <w:rFonts w:ascii="Garamond" w:hAnsi="Garamond" w:cs="Times New Roman"/>
          <w:b/>
          <w:bCs/>
          <w:u w:val="single"/>
        </w:rPr>
      </w:pPr>
    </w:p>
    <w:p w14:paraId="6A12FAB1" w14:textId="77777777" w:rsidR="003525FA" w:rsidRDefault="003525FA" w:rsidP="004712C9">
      <w:pPr>
        <w:suppressLineNumbers/>
        <w:rPr>
          <w:rFonts w:ascii="Garamond" w:hAnsi="Garamond" w:cs="Times New Roman"/>
          <w:b/>
          <w:bCs/>
          <w:u w:val="single"/>
        </w:rPr>
      </w:pPr>
    </w:p>
    <w:p w14:paraId="1E04B217" w14:textId="77777777" w:rsidR="003525FA" w:rsidRDefault="003525FA" w:rsidP="004712C9">
      <w:pPr>
        <w:suppressLineNumbers/>
        <w:rPr>
          <w:rFonts w:ascii="Garamond" w:hAnsi="Garamond" w:cs="Times New Roman"/>
          <w:b/>
          <w:bCs/>
          <w:u w:val="single"/>
        </w:rPr>
      </w:pPr>
    </w:p>
    <w:p w14:paraId="11C4E2DB" w14:textId="77777777" w:rsidR="00B26B57" w:rsidRDefault="00B26B57" w:rsidP="004712C9">
      <w:pPr>
        <w:suppressLineNumbers/>
        <w:rPr>
          <w:rFonts w:ascii="Garamond" w:hAnsi="Garamond" w:cs="Times New Roman"/>
          <w:b/>
          <w:bCs/>
          <w:u w:val="single"/>
        </w:rPr>
      </w:pPr>
    </w:p>
    <w:p w14:paraId="2F3E3570" w14:textId="77777777" w:rsidR="00B26B57" w:rsidRDefault="00B26B57" w:rsidP="004712C9">
      <w:pPr>
        <w:suppressLineNumbers/>
        <w:rPr>
          <w:rFonts w:ascii="Garamond" w:hAnsi="Garamond" w:cs="Times New Roman"/>
          <w:b/>
          <w:bCs/>
          <w:u w:val="single"/>
        </w:rPr>
      </w:pPr>
    </w:p>
    <w:p w14:paraId="1DB5BB82" w14:textId="77777777" w:rsidR="00B26B57" w:rsidRDefault="00B26B57" w:rsidP="004712C9">
      <w:pPr>
        <w:suppressLineNumbers/>
        <w:rPr>
          <w:rFonts w:ascii="Garamond" w:hAnsi="Garamond" w:cs="Times New Roman"/>
          <w:b/>
          <w:bCs/>
          <w:u w:val="single"/>
        </w:rPr>
      </w:pPr>
    </w:p>
    <w:p w14:paraId="75F3761F" w14:textId="39AC2FE2" w:rsidR="003717DB" w:rsidRPr="00665BC1" w:rsidRDefault="00E61436" w:rsidP="004712C9">
      <w:pPr>
        <w:suppressLineNumbers/>
        <w:rPr>
          <w:rFonts w:ascii="Garamond" w:hAnsi="Garamond" w:cs="Times New Roman"/>
          <w:b/>
          <w:bCs/>
          <w:u w:val="single"/>
        </w:rPr>
      </w:pPr>
      <w:r>
        <w:rPr>
          <w:rFonts w:ascii="Garamond" w:hAnsi="Garamond" w:cs="Times New Roman"/>
          <w:b/>
          <w:bCs/>
          <w:u w:val="single"/>
        </w:rPr>
        <w:t>Abstract:</w:t>
      </w:r>
    </w:p>
    <w:p w14:paraId="0123CEA6" w14:textId="4D86696B" w:rsidR="006B75B5" w:rsidRDefault="00571049" w:rsidP="00571049">
      <w:pPr>
        <w:spacing w:line="480" w:lineRule="auto"/>
        <w:rPr>
          <w:rFonts w:ascii="Garamond" w:hAnsi="Garamond"/>
          <w:sz w:val="22"/>
          <w:szCs w:val="22"/>
        </w:rPr>
      </w:pPr>
      <w:r w:rsidRPr="00571049">
        <w:rPr>
          <w:rFonts w:ascii="Garamond" w:hAnsi="Garamond"/>
          <w:sz w:val="22"/>
          <w:szCs w:val="22"/>
        </w:rPr>
        <w:t>Effective conservation of exploited species requires balancing harvest opportunities with the protection of biodiversity. In Pacific salmon, biodiversity among populations contributes to basin-wide resilience, yet spatiotemporal dynamics of adult migrating Chinook salmon remain poorly understood</w:t>
      </w:r>
      <w:r w:rsidR="00171E1A">
        <w:rPr>
          <w:rFonts w:ascii="Garamond" w:hAnsi="Garamond"/>
          <w:sz w:val="22"/>
          <w:szCs w:val="22"/>
        </w:rPr>
        <w:t xml:space="preserve"> in many large salmon producing watersheds</w:t>
      </w:r>
      <w:r w:rsidRPr="00571049">
        <w:rPr>
          <w:rFonts w:ascii="Garamond" w:hAnsi="Garamond"/>
          <w:sz w:val="22"/>
          <w:szCs w:val="22"/>
        </w:rPr>
        <w:t>, creating uncertainty about management impacts. Declining abundance in western Alaska watersheds has led to restrictions in subsistence harvest and challenges for upstream communities.</w:t>
      </w:r>
      <w:r w:rsidR="0035364D">
        <w:rPr>
          <w:rFonts w:ascii="Garamond" w:hAnsi="Garamond"/>
          <w:sz w:val="22"/>
          <w:szCs w:val="22"/>
        </w:rPr>
        <w:t xml:space="preserve"> In the Kuskokwim River, a large salmon producing river in western Alaska</w:t>
      </w:r>
      <w:r w:rsidRPr="00571049">
        <w:rPr>
          <w:rFonts w:ascii="Garamond" w:hAnsi="Garamond"/>
          <w:sz w:val="22"/>
          <w:szCs w:val="22"/>
        </w:rPr>
        <w:t xml:space="preserve">, a front-end closure limits fishing early in the run to reduce exploitation of fish migrating to the upper watershed. To quantify stock-specific </w:t>
      </w:r>
      <w:r w:rsidR="00611D91">
        <w:rPr>
          <w:rFonts w:ascii="Garamond" w:hAnsi="Garamond"/>
          <w:sz w:val="22"/>
          <w:szCs w:val="22"/>
        </w:rPr>
        <w:t>effects</w:t>
      </w:r>
      <w:r w:rsidR="00611D91" w:rsidRPr="00571049">
        <w:rPr>
          <w:rFonts w:ascii="Garamond" w:hAnsi="Garamond"/>
          <w:sz w:val="22"/>
          <w:szCs w:val="22"/>
        </w:rPr>
        <w:t xml:space="preserve"> </w:t>
      </w:r>
      <w:r w:rsidRPr="00571049">
        <w:rPr>
          <w:rFonts w:ascii="Garamond" w:hAnsi="Garamond"/>
          <w:sz w:val="22"/>
          <w:szCs w:val="22"/>
        </w:rPr>
        <w:t xml:space="preserve">of this strategy, we reconstruct spatiotemporal dynamics of return migration timing for Chinook salmon to the Kuskokwim River across six years using otolith isotope signatures. We demonstrate a consistent relationship between seasonal run timing and watershed origin, with earlier migrants contributing disproportionately to upper watershed regions. </w:t>
      </w:r>
      <w:r w:rsidR="006B75B5">
        <w:rPr>
          <w:rFonts w:ascii="Garamond" w:hAnsi="Garamond"/>
          <w:sz w:val="22"/>
          <w:szCs w:val="22"/>
        </w:rPr>
        <w:t xml:space="preserve">A longer simulated closure </w:t>
      </w:r>
      <w:r w:rsidR="00BC21CC">
        <w:rPr>
          <w:rFonts w:ascii="Garamond" w:hAnsi="Garamond"/>
          <w:sz w:val="22"/>
          <w:szCs w:val="22"/>
        </w:rPr>
        <w:t xml:space="preserve">duration </w:t>
      </w:r>
      <w:r w:rsidR="006B75B5" w:rsidRPr="00571049">
        <w:rPr>
          <w:rFonts w:ascii="Garamond" w:hAnsi="Garamond"/>
          <w:sz w:val="22"/>
          <w:szCs w:val="22"/>
        </w:rPr>
        <w:t>provided greater protection for upper watershed stock</w:t>
      </w:r>
      <w:r w:rsidR="006B75B5">
        <w:rPr>
          <w:rFonts w:ascii="Garamond" w:hAnsi="Garamond"/>
          <w:sz w:val="22"/>
          <w:szCs w:val="22"/>
        </w:rPr>
        <w:t xml:space="preserve">s but with an associated tradeoff of lost harvest opportunity. The protection afforded to upper watershed stocks varied substantially among years </w:t>
      </w:r>
      <w:r w:rsidR="0035364D">
        <w:rPr>
          <w:rFonts w:ascii="Garamond" w:hAnsi="Garamond"/>
          <w:sz w:val="22"/>
          <w:szCs w:val="22"/>
        </w:rPr>
        <w:t xml:space="preserve">due to </w:t>
      </w:r>
      <w:r w:rsidR="00646BBC">
        <w:rPr>
          <w:rFonts w:ascii="Garamond" w:hAnsi="Garamond"/>
          <w:sz w:val="22"/>
          <w:szCs w:val="22"/>
        </w:rPr>
        <w:t>variable migration</w:t>
      </w:r>
      <w:r w:rsidR="0035364D">
        <w:rPr>
          <w:rFonts w:ascii="Garamond" w:hAnsi="Garamond"/>
          <w:sz w:val="22"/>
          <w:szCs w:val="22"/>
        </w:rPr>
        <w:t xml:space="preserve"> timing, highlighting the interaction between a fixed closure strategy and dynamic ecological processes that impact it’s overall efficacy. </w:t>
      </w:r>
    </w:p>
    <w:p w14:paraId="47893FEA" w14:textId="77777777" w:rsidR="00571049" w:rsidRDefault="00571049" w:rsidP="003525FA"/>
    <w:p w14:paraId="3E93BEF4" w14:textId="2CBF721B" w:rsidR="003525FA" w:rsidRPr="001A17C1" w:rsidRDefault="003525FA" w:rsidP="003525FA">
      <w:pP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3FD6F3F7" w14:textId="77777777" w:rsidR="007E3A31" w:rsidRDefault="007E3A31" w:rsidP="00BF42AB">
      <w:pPr>
        <w:suppressLineNumbers/>
        <w:spacing w:line="480" w:lineRule="auto"/>
        <w:rPr>
          <w:rFonts w:ascii="Garamond" w:hAnsi="Garamond" w:cs="Times New Roman"/>
        </w:rPr>
      </w:pPr>
    </w:p>
    <w:p w14:paraId="5566A155" w14:textId="77777777" w:rsidR="00571049" w:rsidRDefault="00571049" w:rsidP="00BF42AB">
      <w:pPr>
        <w:suppressLineNumbers/>
        <w:spacing w:line="480" w:lineRule="auto"/>
        <w:rPr>
          <w:rFonts w:ascii="Garamond" w:hAnsi="Garamond" w:cs="Times New Roman"/>
        </w:rPr>
      </w:pPr>
    </w:p>
    <w:p w14:paraId="6FC98385" w14:textId="77777777" w:rsidR="00571049" w:rsidRDefault="00571049" w:rsidP="00BF42AB">
      <w:pPr>
        <w:suppressLineNumbers/>
        <w:spacing w:line="480" w:lineRule="auto"/>
        <w:rPr>
          <w:rFonts w:ascii="Garamond" w:hAnsi="Garamond" w:cs="Times New Roman"/>
        </w:rPr>
      </w:pPr>
    </w:p>
    <w:p w14:paraId="0CB59415" w14:textId="77777777" w:rsidR="00571049" w:rsidRDefault="00571049" w:rsidP="00BF42AB">
      <w:pPr>
        <w:suppressLineNumbers/>
        <w:spacing w:line="480" w:lineRule="auto"/>
        <w:rPr>
          <w:rFonts w:ascii="Garamond" w:hAnsi="Garamond" w:cs="Times New Roman"/>
        </w:rPr>
      </w:pPr>
    </w:p>
    <w:p w14:paraId="09D9F601" w14:textId="77777777" w:rsidR="00571049" w:rsidRDefault="00571049" w:rsidP="00BF42AB">
      <w:pPr>
        <w:suppressLineNumbers/>
        <w:spacing w:line="480" w:lineRule="auto"/>
        <w:rPr>
          <w:rFonts w:ascii="Garamond" w:hAnsi="Garamond" w:cs="Times New Roman"/>
        </w:rPr>
      </w:pPr>
    </w:p>
    <w:p w14:paraId="58C68C67" w14:textId="4AAD3718" w:rsidR="00F552CD" w:rsidRPr="007C6331" w:rsidRDefault="00F552CD"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lastRenderedPageBreak/>
        <w:t xml:space="preserve">Introduction: </w:t>
      </w:r>
      <w:r>
        <w:rPr>
          <w:rFonts w:ascii="Garamond" w:hAnsi="Garamond" w:cs="Times New Roman"/>
          <w:sz w:val="28"/>
          <w:szCs w:val="28"/>
        </w:rPr>
        <w:t xml:space="preserve"> </w:t>
      </w:r>
    </w:p>
    <w:p w14:paraId="6DA4DC8E" w14:textId="2835681F" w:rsidR="00D86CD4" w:rsidRDefault="00507803" w:rsidP="00DB58D6">
      <w:pPr>
        <w:spacing w:line="480" w:lineRule="auto"/>
        <w:ind w:firstLine="720"/>
        <w:rPr>
          <w:rFonts w:ascii="Garamond" w:hAnsi="Garamond" w:cs="Times New Roman"/>
        </w:rPr>
      </w:pPr>
      <w:r>
        <w:rPr>
          <w:rFonts w:ascii="Garamond" w:hAnsi="Garamond"/>
        </w:rPr>
        <w:t xml:space="preserve">A key challenge in the management of harvested species is balancing the dual goals of providing adequate harvest opportunities while preserving biodiversity. </w:t>
      </w:r>
      <w:r>
        <w:rPr>
          <w:rFonts w:ascii="Garamond" w:hAnsi="Garamond" w:cs="Times New Roman"/>
        </w:rPr>
        <w:t>In this context, biodiversity can be defined both by the number of species within an ecosystem</w:t>
      </w:r>
      <w:r w:rsidR="00646BBC">
        <w:rPr>
          <w:rFonts w:ascii="Garamond" w:hAnsi="Garamond" w:cs="Times New Roman"/>
        </w:rPr>
        <w:t xml:space="preserve"> </w:t>
      </w:r>
      <w:r>
        <w:rPr>
          <w:rFonts w:ascii="Garamond" w:hAnsi="Garamond" w:cs="Times New Roman"/>
        </w:rPr>
        <w:t xml:space="preserve">and intrapopulation diversity among metapopulations of a single species </w:t>
      </w:r>
      <w:r>
        <w:rPr>
          <w:rFonts w:ascii="Garamond" w:hAnsi="Garamond" w:cs="Times New Roman"/>
        </w:rPr>
        <w:fldChar w:fldCharType="begin"/>
      </w:r>
      <w:r>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(Bolnick et al., 2011; Luck et al., 2003; Schindler et al., 2010)</w:t>
      </w:r>
      <w:r>
        <w:rPr>
          <w:rFonts w:ascii="Garamond" w:hAnsi="Garamond" w:cs="Times New Roman"/>
        </w:rPr>
        <w:fldChar w:fldCharType="end"/>
      </w:r>
      <w:r>
        <w:rPr>
          <w:rFonts w:ascii="Garamond" w:hAnsi="Garamond" w:cs="Times New Roman"/>
        </w:rPr>
        <w:t>. In either case, biodiversity stabilizes ecosystem</w:t>
      </w:r>
      <w:r w:rsidR="00646BBC">
        <w:rPr>
          <w:rFonts w:ascii="Garamond" w:hAnsi="Garamond" w:cs="Times New Roman"/>
        </w:rPr>
        <w:t xml:space="preserve"> </w:t>
      </w:r>
      <w:r>
        <w:rPr>
          <w:rFonts w:ascii="Garamond" w:hAnsi="Garamond" w:cs="Times New Roman"/>
        </w:rPr>
        <w:t xml:space="preserve">level processes, bolsters resilience to environmental change, and increases the reliability of ecosystem services </w:t>
      </w:r>
      <w:r>
        <w:rPr>
          <w:rFonts w:ascii="Garamond" w:hAnsi="Garamond" w:cs="Times New Roman"/>
        </w:rPr>
        <w:fldChar w:fldCharType="begin"/>
      </w:r>
      <w:r w:rsidR="00417AEA">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2005)","dontUpdate":true,"noteIndex":0},"citationItems":[{"id":1181,"uris":["http://zotero.org/users/8421274/items/B23FV4AJ"],"itemData":{"id":1181,"type":"article-journal","abstract":"Abrupt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Pr>
          <w:rFonts w:ascii="Garamond" w:hAnsi="Garamond" w:cs="Times New Roman"/>
        </w:rPr>
        <w:fldChar w:fldCharType="separate"/>
      </w:r>
      <w:r>
        <w:rPr>
          <w:rFonts w:ascii="Garamond" w:hAnsi="Garamond" w:cs="Times New Roman"/>
          <w:noProof/>
        </w:rPr>
        <w:t>( Schindler et al., 2015; Tilman et al., 2005)</w:t>
      </w:r>
      <w:r>
        <w:rPr>
          <w:rFonts w:ascii="Garamond" w:hAnsi="Garamond" w:cs="Times New Roman"/>
        </w:rPr>
        <w:fldChar w:fldCharType="end"/>
      </w:r>
      <w:r>
        <w:rPr>
          <w:rFonts w:ascii="Garamond" w:hAnsi="Garamond" w:cs="Times New Roman"/>
        </w:rPr>
        <w:t xml:space="preserve">. Designing strategies that explicitly protect biodiversity, however, requires  understanding the potential consequences of different strategies on both harvest and ecological processes as well as the tradeoffs between them. In many cases, such as in large and remote ecosystems, understanding these patterns at sufficient spatial or temporal scales remains a challenge, resulting in conservation and resource management strategies with uncertain outcomes. </w:t>
      </w:r>
    </w:p>
    <w:p w14:paraId="3FC0951D" w14:textId="18D17AE6" w:rsidR="007F1A07" w:rsidRDefault="00FA76AC" w:rsidP="00931F9A">
      <w:pPr>
        <w:spacing w:line="480" w:lineRule="auto"/>
        <w:ind w:firstLine="720"/>
        <w:rPr>
          <w:rFonts w:ascii="Garamond" w:hAnsi="Garamond" w:cs="Times New Roman"/>
        </w:rPr>
      </w:pPr>
      <w:r>
        <w:rPr>
          <w:rFonts w:ascii="Garamond" w:hAnsi="Garamond" w:cs="Times New Roman"/>
        </w:rPr>
        <w:t>Pacific salmon (</w:t>
      </w:r>
      <w:r>
        <w:rPr>
          <w:rFonts w:ascii="Garamond" w:hAnsi="Garamond" w:cs="Times New Roman"/>
          <w:i/>
          <w:iCs/>
        </w:rPr>
        <w:t>Oncorhynchus spp.)</w:t>
      </w:r>
      <w:r>
        <w:rPr>
          <w:rFonts w:ascii="Garamond" w:hAnsi="Garamond" w:cs="Times New Roman"/>
        </w:rPr>
        <w:t xml:space="preserve"> returning to their natal watersheds often exhibit significant diversity in run timing and spatial distribution across large and complex river systems </w:t>
      </w:r>
      <w:r>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(Griffiths et al., 2014; Nesbitt &amp; Moore, 2016; Schindler et al., 2010)</w:t>
      </w:r>
      <w:r>
        <w:rPr>
          <w:rFonts w:ascii="Garamond" w:hAnsi="Garamond" w:cs="Times New Roman"/>
        </w:rPr>
        <w:fldChar w:fldCharType="end"/>
      </w:r>
      <w:r>
        <w:rPr>
          <w:rFonts w:ascii="Garamond" w:hAnsi="Garamond" w:cs="Times New Roman"/>
        </w:rPr>
        <w:t xml:space="preserve">. Populations of adult salmon migrating upstream within large river basins are </w:t>
      </w:r>
      <w:r w:rsidR="00611D91">
        <w:rPr>
          <w:rFonts w:ascii="Garamond" w:hAnsi="Garamond" w:cs="Times New Roman"/>
        </w:rPr>
        <w:t xml:space="preserve">typically </w:t>
      </w:r>
      <w:r>
        <w:rPr>
          <w:rFonts w:ascii="Garamond" w:hAnsi="Garamond" w:cs="Times New Roman"/>
        </w:rPr>
        <w:t>comprised of multiple distinct sub-stocks (or populations) which vary in their relative abundance</w:t>
      </w:r>
      <w:r w:rsidR="00611D91">
        <w:rPr>
          <w:rFonts w:ascii="Garamond" w:hAnsi="Garamond" w:cs="Times New Roman"/>
        </w:rPr>
        <w:t>, productivity,</w:t>
      </w:r>
      <w:r>
        <w:rPr>
          <w:rFonts w:ascii="Garamond" w:hAnsi="Garamond" w:cs="Times New Roman"/>
        </w:rPr>
        <w:t xml:space="preserve"> and life-history, but which co-migrate within overlapping temporal windows. Downstream fisheries that harvest migrating individuals therefore risk overexploitation of vulnerable populations which commingle with more robust ones </w:t>
      </w:r>
      <w:r>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Pr>
          <w:rFonts w:ascii="Garamond" w:hAnsi="Garamond" w:cs="Times New Roman"/>
        </w:rPr>
        <w:fldChar w:fldCharType="separate"/>
      </w:r>
      <w:r>
        <w:rPr>
          <w:rFonts w:ascii="Garamond" w:hAnsi="Garamond" w:cs="Times New Roman"/>
          <w:noProof/>
        </w:rPr>
        <w:t>(Connors et al., 2020; Moore et al., 2021)</w:t>
      </w:r>
      <w:r>
        <w:rPr>
          <w:rFonts w:ascii="Garamond" w:hAnsi="Garamond" w:cs="Times New Roman"/>
        </w:rPr>
        <w:fldChar w:fldCharType="end"/>
      </w:r>
      <w:r>
        <w:rPr>
          <w:rFonts w:ascii="Garamond" w:hAnsi="Garamond" w:cs="Times New Roman"/>
        </w:rPr>
        <w:t>. Populations returning to the furthest upstream portions of the watershed face particular risk of overharvest given their extended migration</w:t>
      </w:r>
      <w:r w:rsidR="003E5F1E">
        <w:rPr>
          <w:rFonts w:ascii="Garamond" w:hAnsi="Garamond" w:cs="Times New Roman"/>
        </w:rPr>
        <w:t xml:space="preserve">, which exposes them to extended fishing pressure and environmental stressors throughout </w:t>
      </w:r>
      <w:r w:rsidR="003E5F1E">
        <w:rPr>
          <w:rFonts w:ascii="Garamond" w:hAnsi="Garamond" w:cs="Times New Roman"/>
        </w:rPr>
        <w:lastRenderedPageBreak/>
        <w:t>their return migration</w:t>
      </w:r>
      <w:r w:rsidR="00931F9A">
        <w:rPr>
          <w:rFonts w:ascii="Garamond" w:hAnsi="Garamond" w:cs="Times New Roman"/>
        </w:rPr>
        <w:t>. As such, salmon populations with extended migration durations have been associated with heightened conservation risk in several large river systems</w:t>
      </w:r>
      <w:r w:rsidR="003E5F1E">
        <w:rPr>
          <w:rFonts w:ascii="Garamond" w:hAnsi="Garamond" w:cs="Times New Roman"/>
        </w:rPr>
        <w:t xml:space="preserve"> </w:t>
      </w:r>
      <w:r w:rsidR="00417AEA">
        <w:rPr>
          <w:rFonts w:ascii="Garamond" w:hAnsi="Garamond" w:cs="Times New Roman"/>
        </w:rPr>
        <w:fldChar w:fldCharType="begin"/>
      </w:r>
      <w:r w:rsidR="00417AEA">
        <w:rPr>
          <w:rFonts w:ascii="Garamond" w:hAnsi="Garamond" w:cs="Times New Roman"/>
        </w:rPr>
        <w:instrText xml:space="preserve"> ADDIN ZOTERO_ITEM CSL_CITATION {"citationID":"Pt3fZW7C","properties":{"unsorted":false,"formattedCitation":"(Atlas et al., 2023)","plainCitation":"(Atlas et al., 2023)","noteIndex":0},"citationItems":[{"id":5384,"uris":["http://zotero.org/users/8421274/items/YYBUBGXV"],"itemData":{"id":5384,"type":"article-journal","abstract":"Chinook salmon (Oncorhynchus tshawytscha, Salmonidae) are foundational to social-ecological systems of the Northeast Pacific Rim and exhibit a rich diversity of life histories including in their adult migration timing, age at critical life-history transitions and marine feeding distributions. In recent decades Chinook have experienced declines across much of their native range; however, changes in productivity and abundance have rarely been evaluated in relation to life-history variation. To understand trends in Chinook salmon production, and how they are related to life history, we compiled time series data from the Fraser River to the Sacramento River on total run size (pre-fishery abundance) and escapement (post-fishery spawner abundance) and fit time series models to estimate trends across this bioregion. Our analysis revealed that most Chinook populations are declining, with negative trends in escapement (57 of 79) and total run (16 of 23) size. Trends were most acutely negative for interior spring Chinook in the Fraser, Columbia and Snake Rivers and most populations in California. Summer and fall Chinook had mixed trends, with several summer and fall upriver bright populations in the interior Columbia and Fraser exhibiting increases in abundance from the 1990s to 2019. Our research reveals widespread declines of this important species, but local complexity in trends that are mediated by population-level life history, migratory behaviours and watershed-scale restoration actions. Understanding linkages between life histories and resilience should inform rebuilding efforts for Chinook salmon and highlight the need to conserve intraspecific biodiversity.","container-title":"Fish and Fisheries","DOI":"10.1111/faf.12750","ISSN":"1467-2979","issue":"4","language":"en","license":"© 2023 The Authors. Fish and Fisheries published by John Wiley &amp; Sons Ltd.","note":"_eprint: https://onlinelibrary.wiley.com/doi/pdf/10.1111/faf.12750","page":"595-617","source":"Wiley Online Library","title":"Trends in Chinook salmon spawner abundance and total run size highlight linkages between life history, geography and decline","volume":"24","author":[{"family":"Atlas","given":"William I."},{"family":"Sloat","given":"Matthew R."},{"family":"Satterthwaite","given":"William H."},{"family":"Buehrens","given":"Thomas W."},{"family":"Parken","given":"Charles K."},{"family":"Moore","given":"Jonathan W."},{"family":"Mantua","given":"Nathan J."},{"family":"Hart","given":"Jon"},{"family":"Potapova","given":"Anna"}],"issued":{"date-parts":[["2023"]]}}}],"schema":"https://github.com/citation-style-language/schema/raw/master/csl-citation.json"} </w:instrText>
      </w:r>
      <w:r w:rsidR="00417AEA">
        <w:rPr>
          <w:rFonts w:ascii="Garamond" w:hAnsi="Garamond" w:cs="Times New Roman"/>
        </w:rPr>
        <w:fldChar w:fldCharType="separate"/>
      </w:r>
      <w:r w:rsidR="00417AEA">
        <w:rPr>
          <w:rFonts w:ascii="Garamond" w:hAnsi="Garamond" w:cs="Times New Roman"/>
          <w:noProof/>
        </w:rPr>
        <w:t>(Atlas et al., 2023)</w:t>
      </w:r>
      <w:r w:rsidR="00417AEA">
        <w:rPr>
          <w:rFonts w:ascii="Garamond" w:hAnsi="Garamond" w:cs="Times New Roman"/>
        </w:rPr>
        <w:fldChar w:fldCharType="end"/>
      </w:r>
      <w:r>
        <w:rPr>
          <w:rFonts w:ascii="Garamond" w:hAnsi="Garamond" w:cs="Times New Roman"/>
        </w:rPr>
        <w:t xml:space="preserve"> </w:t>
      </w:r>
    </w:p>
    <w:p w14:paraId="655019F9" w14:textId="7C20BBFB" w:rsidR="00FA76AC" w:rsidRPr="008605CB" w:rsidRDefault="007F1A07" w:rsidP="007F1A07">
      <w:pPr>
        <w:spacing w:line="480" w:lineRule="auto"/>
        <w:ind w:firstLine="720"/>
        <w:rPr>
          <w:rFonts w:ascii="Garamond" w:hAnsi="Garamond" w:cs="Times New Roman"/>
        </w:rPr>
      </w:pPr>
      <w:r>
        <w:rPr>
          <w:rFonts w:ascii="Garamond" w:hAnsi="Garamond" w:cs="Times New Roman"/>
        </w:rPr>
        <w:t xml:space="preserve">The </w:t>
      </w:r>
      <w:r w:rsidR="00171E1A" w:rsidRPr="00171E1A">
        <w:rPr>
          <w:rFonts w:ascii="Garamond" w:hAnsi="Garamond" w:cs="Times New Roman"/>
        </w:rPr>
        <w:t>timing, yield, and duration of downstream fisheries are shaped by the combined dynamics of upstream</w:t>
      </w:r>
      <w:r>
        <w:rPr>
          <w:rFonts w:ascii="Garamond" w:hAnsi="Garamond" w:cs="Times New Roman"/>
        </w:rPr>
        <w:t xml:space="preserve"> components</w:t>
      </w:r>
      <w:r w:rsidR="00171E1A">
        <w:rPr>
          <w:rFonts w:ascii="Garamond" w:hAnsi="Garamond" w:cs="Times New Roman"/>
        </w:rPr>
        <w:t xml:space="preserve">. </w:t>
      </w:r>
      <w:r w:rsidRPr="007F1A07">
        <w:t xml:space="preserve"> </w:t>
      </w:r>
      <w:r w:rsidRPr="00646BBC">
        <w:rPr>
          <w:rFonts w:ascii="Garamond" w:hAnsi="Garamond"/>
        </w:rPr>
        <w:t xml:space="preserve">For example, diversity in return timing among upstream populations may extend the duration of downstream fishing opportunities by spreading harvest opportunities across a longer period </w:t>
      </w:r>
      <w:r w:rsidR="00417AEA" w:rsidRPr="007F1A07">
        <w:rPr>
          <w:rFonts w:ascii="Garamond" w:hAnsi="Garamond" w:cs="Times New Roman"/>
        </w:rPr>
        <w:fldChar w:fldCharType="begin"/>
      </w:r>
      <w:r w:rsidR="00417AEA" w:rsidRPr="007F1A07">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417AEA" w:rsidRPr="007F1A07">
        <w:rPr>
          <w:rFonts w:ascii="Garamond" w:hAnsi="Garamond" w:cs="Times New Roman"/>
        </w:rPr>
        <w:fldChar w:fldCharType="separate"/>
      </w:r>
      <w:r w:rsidR="00417AEA" w:rsidRPr="007F1A07">
        <w:rPr>
          <w:rFonts w:ascii="Garamond" w:hAnsi="Garamond" w:cs="Times New Roman"/>
        </w:rPr>
        <w:t>(Nesbitt &amp; Moore, 2016)</w:t>
      </w:r>
      <w:r w:rsidR="00417AEA" w:rsidRPr="007F1A07">
        <w:rPr>
          <w:rFonts w:ascii="Garamond" w:hAnsi="Garamond" w:cs="Times New Roman"/>
        </w:rPr>
        <w:fldChar w:fldCharType="end"/>
      </w:r>
      <w:r w:rsidR="00417AEA" w:rsidRPr="007F1A07">
        <w:rPr>
          <w:rFonts w:ascii="Garamond" w:hAnsi="Garamond" w:cs="Times New Roman"/>
        </w:rPr>
        <w:t>.</w:t>
      </w:r>
      <w:r>
        <w:rPr>
          <w:rFonts w:ascii="Garamond" w:hAnsi="Garamond" w:cs="Times New Roman"/>
        </w:rPr>
        <w:t xml:space="preserve"> L</w:t>
      </w:r>
      <w:r w:rsidR="00171E1A" w:rsidRPr="00171E1A">
        <w:rPr>
          <w:rFonts w:ascii="Garamond" w:hAnsi="Garamond" w:cs="Times New Roman"/>
        </w:rPr>
        <w:t>ife-history diversity across the full stock complex enhances ecosystem resilience by spreading risk across space and time</w:t>
      </w:r>
      <w:r w:rsidR="00931F9A">
        <w:rPr>
          <w:rFonts w:ascii="Garamond" w:hAnsi="Garamond" w:cs="Times New Roman"/>
        </w:rPr>
        <w:t xml:space="preserve">, </w:t>
      </w:r>
      <w:r w:rsidR="00171E1A" w:rsidRPr="00171E1A">
        <w:rPr>
          <w:rFonts w:ascii="Garamond" w:hAnsi="Garamond" w:cs="Times New Roman"/>
        </w:rPr>
        <w:t>result</w:t>
      </w:r>
      <w:r w:rsidR="00931F9A">
        <w:rPr>
          <w:rFonts w:ascii="Garamond" w:hAnsi="Garamond" w:cs="Times New Roman"/>
        </w:rPr>
        <w:t>ing</w:t>
      </w:r>
      <w:r w:rsidR="00171E1A" w:rsidRPr="00171E1A">
        <w:rPr>
          <w:rFonts w:ascii="Garamond" w:hAnsi="Garamond" w:cs="Times New Roman"/>
        </w:rPr>
        <w:t xml:space="preserve"> in more reliable delivery of ecosystem services </w:t>
      </w:r>
      <w:r>
        <w:rPr>
          <w:rFonts w:ascii="Garamond" w:hAnsi="Garamond" w:cs="Times New Roman"/>
        </w:rPr>
        <w:t xml:space="preserve">(i.e. abundance of returning fish) </w:t>
      </w:r>
      <w:r w:rsidR="00171E1A" w:rsidRPr="00171E1A">
        <w:rPr>
          <w:rFonts w:ascii="Garamond" w:hAnsi="Garamond" w:cs="Times New Roman"/>
        </w:rPr>
        <w:t>at the watershed scale</w:t>
      </w:r>
      <w:r w:rsidR="00171E1A">
        <w:rPr>
          <w:rFonts w:ascii="Garamond" w:hAnsi="Garamond" w:cs="Times New Roman"/>
        </w:rPr>
        <w:t xml:space="preserve"> </w:t>
      </w:r>
      <w:r w:rsidR="00FA76AC">
        <w:rPr>
          <w:rFonts w:ascii="Garamond" w:hAnsi="Garamond" w:cs="Times New Roman"/>
        </w:rPr>
        <w:fldChar w:fldCharType="begin"/>
      </w:r>
      <w:r w:rsidR="00FA76AC">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A76AC">
        <w:rPr>
          <w:rFonts w:ascii="Garamond" w:hAnsi="Garamond" w:cs="Times New Roman"/>
        </w:rPr>
        <w:fldChar w:fldCharType="separate"/>
      </w:r>
      <w:r w:rsidR="00FA76AC">
        <w:rPr>
          <w:rFonts w:ascii="Garamond" w:hAnsi="Garamond" w:cs="Times New Roman"/>
          <w:noProof/>
        </w:rPr>
        <w:t>(Schindler et al., 2010)</w:t>
      </w:r>
      <w:r w:rsidR="00FA76AC">
        <w:rPr>
          <w:rFonts w:ascii="Garamond" w:hAnsi="Garamond" w:cs="Times New Roman"/>
        </w:rPr>
        <w:fldChar w:fldCharType="end"/>
      </w:r>
      <w:r w:rsidR="00FA76AC">
        <w:rPr>
          <w:rFonts w:ascii="Garamond" w:hAnsi="Garamond" w:cs="Times New Roman"/>
        </w:rPr>
        <w:t>. Designing strategies which explicitly consider and protect this biodiversity, including vulnerable upstream populations, therefore contributes to stabilizing downstream fishery resources</w:t>
      </w:r>
      <w:r w:rsidR="00425BAB">
        <w:rPr>
          <w:rFonts w:ascii="Garamond" w:hAnsi="Garamond" w:cs="Times New Roman"/>
        </w:rPr>
        <w:t xml:space="preserve"> both within and among years</w:t>
      </w:r>
      <w:r w:rsidR="00FA76AC">
        <w:rPr>
          <w:rFonts w:ascii="Garamond" w:hAnsi="Garamond" w:cs="Times New Roman"/>
        </w:rPr>
        <w:t xml:space="preserve">. </w:t>
      </w:r>
    </w:p>
    <w:p w14:paraId="53256603" w14:textId="4C20FC6D" w:rsidR="00507803" w:rsidRPr="008605CB" w:rsidRDefault="00720B50" w:rsidP="00FA76AC">
      <w:pPr>
        <w:spacing w:line="480" w:lineRule="auto"/>
        <w:ind w:firstLine="720"/>
        <w:rPr>
          <w:rFonts w:ascii="Garamond" w:hAnsi="Garamond" w:cs="Times New Roman"/>
        </w:rPr>
      </w:pPr>
      <w:r>
        <w:rPr>
          <w:rFonts w:ascii="Garamond" w:hAnsi="Garamond" w:cs="Times New Roman"/>
        </w:rPr>
        <w:t>W</w:t>
      </w:r>
      <w:r w:rsidR="00507803">
        <w:rPr>
          <w:rFonts w:ascii="Garamond" w:hAnsi="Garamond" w:cs="Times New Roman"/>
        </w:rPr>
        <w:t xml:space="preserve">estern Alaska watersheds contain some of the last remaining pristine salmon habitat and have historically supported large returns of Pacific salmon. </w:t>
      </w:r>
      <w:r w:rsidR="00507803">
        <w:rPr>
          <w:rFonts w:ascii="Garamond" w:hAnsi="Garamond"/>
        </w:rPr>
        <w:t>The region’s three major river basins, the Yukon, Kuskokwim, and Nushagak, collectively produce approximately 80% of the world’s wild Chinook salmon</w:t>
      </w:r>
      <w:r w:rsidR="007F1A07">
        <w:rPr>
          <w:rFonts w:ascii="Garamond" w:hAnsi="Garamond"/>
        </w:rPr>
        <w:t xml:space="preserve"> </w:t>
      </w:r>
      <w:r w:rsidR="007F1A07">
        <w:rPr>
          <w:rFonts w:ascii="Garamond" w:hAnsi="Garamond" w:cs="Times New Roman"/>
        </w:rPr>
        <w:t>(</w:t>
      </w:r>
      <w:r w:rsidR="007F1A07">
        <w:rPr>
          <w:rFonts w:ascii="Garamond" w:hAnsi="Garamond" w:cs="Times New Roman"/>
          <w:i/>
          <w:iCs/>
          <w:color w:val="000000" w:themeColor="text1"/>
        </w:rPr>
        <w:t>Oncorhynchus tshawytscha</w:t>
      </w:r>
      <w:r w:rsidR="007F1A07">
        <w:rPr>
          <w:rFonts w:ascii="Garamond" w:hAnsi="Garamond" w:cs="Times New Roman"/>
          <w:color w:val="000000" w:themeColor="text1"/>
        </w:rPr>
        <w:t>).</w:t>
      </w:r>
      <w:r w:rsidR="00507803">
        <w:rPr>
          <w:rFonts w:ascii="Garamond" w:hAnsi="Garamond"/>
        </w:rPr>
        <w:t>, making western Alaska one of the most important remaining strongholds for the species globally</w:t>
      </w:r>
      <w:r w:rsidR="007F1A07">
        <w:rPr>
          <w:rFonts w:ascii="Garamond" w:hAnsi="Garamond"/>
        </w:rPr>
        <w:t>.</w:t>
      </w:r>
      <w:r w:rsidR="00507803">
        <w:rPr>
          <w:rFonts w:ascii="Garamond" w:hAnsi="Garamond"/>
        </w:rPr>
        <w:t xml:space="preserve"> </w:t>
      </w:r>
      <w:r w:rsidR="00507803">
        <w:rPr>
          <w:rFonts w:ascii="Garamond" w:hAnsi="Garamond" w:cs="Times New Roman"/>
        </w:rPr>
        <w:t xml:space="preserve">However, several species of Pacific salmon, including Chinook salmon, have declined precipitously in recent years throughout western Alaska watersheds </w:t>
      </w:r>
      <w:r w:rsidR="00507803">
        <w:rPr>
          <w:rFonts w:ascii="Garamond" w:hAnsi="Garamond" w:cs="Times New Roman"/>
        </w:rPr>
        <w:fldChar w:fldCharType="begin"/>
      </w:r>
      <w:r w:rsidR="00507803">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(KRITFC, 2024; Lamborn et al., 2025a; Ohlberger et al., 2018)</w:t>
      </w:r>
      <w:r w:rsidR="00507803">
        <w:rPr>
          <w:rFonts w:ascii="Garamond" w:hAnsi="Garamond" w:cs="Times New Roman"/>
        </w:rPr>
        <w:fldChar w:fldCharType="end"/>
      </w:r>
      <w:r w:rsidR="00507803">
        <w:rPr>
          <w:rFonts w:ascii="Garamond" w:hAnsi="Garamond" w:cs="Times New Roman"/>
        </w:rPr>
        <w:t xml:space="preserve">, triggering a conservation crisis and leading to heavy restrictions on subsistence harvest </w:t>
      </w:r>
      <w:r w:rsidR="00507803">
        <w:rPr>
          <w:rFonts w:ascii="Garamond" w:hAnsi="Garamond" w:cs="Times New Roman"/>
        </w:rPr>
        <w:fldChar w:fldCharType="begin"/>
      </w:r>
      <w:r w:rsidR="00507803">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 Lamborn et al., 2025b; Ohlberger et al., 2018)</w:t>
      </w:r>
      <w:r w:rsidR="00507803">
        <w:rPr>
          <w:rFonts w:ascii="Garamond" w:hAnsi="Garamond" w:cs="Times New Roman"/>
        </w:rPr>
        <w:fldChar w:fldCharType="end"/>
      </w:r>
      <w:r w:rsidR="00507803">
        <w:rPr>
          <w:rFonts w:ascii="Garamond" w:hAnsi="Garamond" w:cs="Times New Roman"/>
        </w:rPr>
        <w:t>. In the Kuskokwim River basin, a large (127,000 km</w:t>
      </w:r>
      <w:r w:rsidR="00507803">
        <w:rPr>
          <w:rFonts w:ascii="Garamond" w:hAnsi="Garamond" w:cs="Times New Roman"/>
          <w:vertAlign w:val="superscript"/>
        </w:rPr>
        <w:t>2</w:t>
      </w:r>
      <w:r w:rsidR="00507803">
        <w:rPr>
          <w:rFonts w:ascii="Garamond" w:hAnsi="Garamond" w:cs="Times New Roman"/>
        </w:rPr>
        <w:t xml:space="preserve">) free-flowing watershed in western Alaska, Chinook salmon populations support subsistence fishing opportunities for dozens of rural communities, comprised by a majority of Alaska Natives </w:t>
      </w:r>
      <w:r w:rsidR="00507803">
        <w:rPr>
          <w:rFonts w:ascii="Garamond" w:hAnsi="Garamond" w:cs="Times New Roman"/>
        </w:rPr>
        <w:fldChar w:fldCharType="begin"/>
      </w:r>
      <w:r w:rsidR="00507803">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(ADFG, 2025)</w:t>
      </w:r>
      <w:r w:rsidR="00507803">
        <w:rPr>
          <w:rFonts w:ascii="Garamond" w:hAnsi="Garamond" w:cs="Times New Roman"/>
        </w:rPr>
        <w:fldChar w:fldCharType="end"/>
      </w:r>
      <w:r w:rsidR="00507803">
        <w:rPr>
          <w:rFonts w:ascii="Garamond" w:hAnsi="Garamond" w:cs="Times New Roman"/>
        </w:rPr>
        <w:t xml:space="preserve">. Subsistence fisheries are the primary form of harvest in the watershed, and nearly every household </w:t>
      </w:r>
      <w:r w:rsidR="00507803">
        <w:rPr>
          <w:rFonts w:ascii="Garamond" w:hAnsi="Garamond" w:cs="Times New Roman"/>
        </w:rPr>
        <w:lastRenderedPageBreak/>
        <w:t xml:space="preserve">participates in the fishery in some way. As a result, fishery restrictions have led to significant hardship in the basin, including food insecurity and cultural loss </w:t>
      </w:r>
      <w:r w:rsidR="00507803">
        <w:rPr>
          <w:rFonts w:ascii="Garamond" w:hAnsi="Garamond" w:cs="Times New Roman"/>
        </w:rPr>
        <w:fldChar w:fldCharType="begin"/>
      </w:r>
      <w:r w:rsidR="00507803">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w:t>
      </w:r>
      <w:r w:rsidR="00507803">
        <w:rPr>
          <w:rFonts w:ascii="Garamond" w:hAnsi="Garamond" w:cs="Times New Roman"/>
        </w:rPr>
        <w:fldChar w:fldCharType="end"/>
      </w:r>
      <w:r w:rsidR="00507803">
        <w:rPr>
          <w:rFonts w:ascii="Garamond" w:hAnsi="Garamond" w:cs="Times New Roman"/>
        </w:rPr>
        <w:t xml:space="preserve">. Resource managers are therefore tasked with designing management strategies that allow for harvest opportunities while simultaneously rebuilding basin-wide abundance and maintaining population biodiversity across the watershed. </w:t>
      </w:r>
    </w:p>
    <w:p w14:paraId="33D471AB" w14:textId="2162D8BA" w:rsidR="00066384" w:rsidRDefault="00507803" w:rsidP="00066384">
      <w:pPr>
        <w:spacing w:line="480" w:lineRule="auto"/>
        <w:ind w:firstLine="720"/>
        <w:rPr>
          <w:rFonts w:ascii="Garamond" w:hAnsi="Garamond" w:cs="Times New Roman"/>
        </w:rPr>
      </w:pPr>
      <w:r>
        <w:rPr>
          <w:rStyle w:val="Strong"/>
          <w:rFonts w:ascii="Garamond" w:hAnsi="Garamond" w:cs="Times New Roman"/>
          <w:b w:val="0"/>
          <w:bCs w:val="0"/>
        </w:rPr>
        <w:t>A current management approach implemented in the Kuskokwim River basin has been a front-end closure which prohibits fishing during a fixed temporal window from June 1</w:t>
      </w:r>
      <w:r>
        <w:rPr>
          <w:rStyle w:val="Strong"/>
          <w:rFonts w:ascii="Garamond" w:hAnsi="Garamond" w:cs="Times New Roman"/>
          <w:b w:val="0"/>
          <w:bCs w:val="0"/>
          <w:vertAlign w:val="superscript"/>
        </w:rPr>
        <w:t>st</w:t>
      </w:r>
      <w:r>
        <w:rPr>
          <w:rStyle w:val="Strong"/>
          <w:rFonts w:ascii="Garamond" w:hAnsi="Garamond" w:cs="Times New Roman"/>
          <w:b w:val="0"/>
          <w:bCs w:val="0"/>
        </w:rPr>
        <w:t xml:space="preserve"> to June 11</w:t>
      </w:r>
      <w:r>
        <w:rPr>
          <w:rStyle w:val="Strong"/>
          <w:rFonts w:ascii="Garamond" w:hAnsi="Garamond" w:cs="Times New Roman"/>
          <w:b w:val="0"/>
          <w:bCs w:val="0"/>
          <w:vertAlign w:val="superscript"/>
        </w:rPr>
        <w:t>th</w:t>
      </w:r>
      <w:r>
        <w:rPr>
          <w:rStyle w:val="Strong"/>
          <w:rFonts w:ascii="Garamond" w:hAnsi="Garamond" w:cs="Times New Roman"/>
          <w:b w:val="0"/>
          <w:bCs w:val="0"/>
        </w:rPr>
        <w:t xml:space="preserve">. </w:t>
      </w:r>
      <w:r>
        <w:rPr>
          <w:rFonts w:ascii="Garamond" w:hAnsi="Garamond" w:cs="Times New Roman"/>
        </w:rPr>
        <w:t>This strategy is designed to protect early migrating fish which are assumed to spawn in the furthest upstream regions of the Kuskokwim River</w:t>
      </w:r>
      <w:r w:rsidR="00636BF3">
        <w:rPr>
          <w:rFonts w:ascii="Garamond" w:hAnsi="Garamond" w:cs="Times New Roman"/>
        </w:rPr>
        <w:t xml:space="preserve"> </w:t>
      </w:r>
      <w:r w:rsidR="001B609C">
        <w:rPr>
          <w:rFonts w:ascii="Garamond" w:hAnsi="Garamond" w:cs="Times New Roman"/>
        </w:rPr>
        <w:t xml:space="preserve">based on patterns observed in other systems </w:t>
      </w:r>
      <w:r w:rsidR="001B609C">
        <w:rPr>
          <w:rFonts w:ascii="Garamond" w:hAnsi="Garamond" w:cs="Times New Roman"/>
        </w:rPr>
        <w:fldChar w:fldCharType="begin"/>
      </w:r>
      <w:r w:rsidR="001B609C">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1B609C">
        <w:rPr>
          <w:rFonts w:ascii="Cambria Math" w:hAnsi="Cambria Math" w:cs="Cambria Math"/>
        </w:rPr>
        <w:instrText>‐</w:instrText>
      </w:r>
      <w:r w:rsidR="001B609C">
        <w:rPr>
          <w:rFonts w:ascii="Garamond" w:hAnsi="Garamond" w:cs="Times New Roman"/>
        </w:rPr>
        <w:instrText>wide effects of body size, sex, spawning location, and year on the timing of spawning</w:instrText>
      </w:r>
      <w:r w:rsidR="001B609C">
        <w:rPr>
          <w:rFonts w:ascii="Cambria Math" w:hAnsi="Cambria Math" w:cs="Cambria Math"/>
        </w:rPr>
        <w:instrText>‐</w:instrText>
      </w:r>
      <w:r w:rsidR="001B609C">
        <w:rPr>
          <w:rFonts w:ascii="Garamond" w:hAnsi="Garamond" w:cs="Times New Roman"/>
        </w:rPr>
        <w:instrText>run migration into the Togiak River. Migration data and spawning fate were collected using radiotelemetry and analyzed with mixed effects models to account for among</w:instrText>
      </w:r>
      <w:r w:rsidR="001B609C">
        <w:rPr>
          <w:rFonts w:ascii="Cambria Math" w:hAnsi="Cambria Math" w:cs="Cambria Math"/>
        </w:rPr>
        <w:instrText>‐</w:instrText>
      </w:r>
      <w:r w:rsidR="001B609C">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1B609C">
        <w:rPr>
          <w:rFonts w:ascii="Garamond" w:hAnsi="Garamond" w:cs="Times New Roman"/>
        </w:rPr>
        <w:fldChar w:fldCharType="separate"/>
      </w:r>
      <w:r w:rsidR="001B609C">
        <w:rPr>
          <w:rFonts w:ascii="Garamond" w:hAnsi="Garamond" w:cs="Times New Roman"/>
          <w:noProof/>
        </w:rPr>
        <w:t>(S. C. Clark et al., 2015)</w:t>
      </w:r>
      <w:r w:rsidR="001B609C">
        <w:rPr>
          <w:rFonts w:ascii="Garamond" w:hAnsi="Garamond" w:cs="Times New Roman"/>
        </w:rPr>
        <w:fldChar w:fldCharType="end"/>
      </w:r>
      <w:r w:rsidR="001B609C">
        <w:rPr>
          <w:rFonts w:ascii="Garamond" w:hAnsi="Garamond" w:cs="Times New Roman"/>
        </w:rPr>
        <w:t xml:space="preserve">, telemetry data in the Kuskokwim </w:t>
      </w:r>
      <w:r w:rsidR="001B609C">
        <w:rPr>
          <w:rFonts w:ascii="Garamond" w:hAnsi="Garamond" w:cs="Times New Roman"/>
        </w:rPr>
        <w:fldChar w:fldCharType="begin"/>
      </w:r>
      <w:r w:rsidR="001B609C">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1B609C">
        <w:rPr>
          <w:rFonts w:ascii="Garamond" w:hAnsi="Garamond" w:cs="Times New Roman"/>
        </w:rPr>
        <w:fldChar w:fldCharType="separate"/>
      </w:r>
      <w:r w:rsidR="001B609C">
        <w:rPr>
          <w:rFonts w:ascii="Garamond" w:hAnsi="Garamond" w:cs="Times New Roman"/>
          <w:noProof/>
        </w:rPr>
        <w:t>(J. N. Clark &amp; Smith, 2019; Head et al., 2017; Smith &amp; Liller, 2017a, 2017b)</w:t>
      </w:r>
      <w:r w:rsidR="001B609C">
        <w:rPr>
          <w:rFonts w:ascii="Garamond" w:hAnsi="Garamond" w:cs="Times New Roman"/>
        </w:rPr>
        <w:fldChar w:fldCharType="end"/>
      </w:r>
      <w:r w:rsidR="001B609C">
        <w:rPr>
          <w:rFonts w:ascii="Garamond" w:hAnsi="Garamond" w:cs="Times New Roman"/>
        </w:rPr>
        <w:t xml:space="preserve">, and traditional and local knowledge held by Tribal citizens and </w:t>
      </w:r>
      <w:r w:rsidR="001B609C" w:rsidRPr="00D6070D">
        <w:rPr>
          <w:rFonts w:ascii="Garamond" w:hAnsi="Garamond" w:cs="Times New Roman"/>
        </w:rPr>
        <w:t>stakeholders</w:t>
      </w:r>
      <w:r w:rsidR="00636BF3" w:rsidRPr="00D6070D">
        <w:rPr>
          <w:rFonts w:ascii="Garamond" w:hAnsi="Garamond" w:cs="Times New Roman"/>
        </w:rPr>
        <w:t xml:space="preserve"> </w:t>
      </w:r>
      <w:r w:rsidR="00417AEA">
        <w:rPr>
          <w:rFonts w:ascii="Garamond" w:hAnsi="Garamond" w:cs="Times New Roman"/>
        </w:rPr>
        <w:fldChar w:fldCharType="begin"/>
      </w:r>
      <w:r w:rsidR="00417AEA">
        <w:rPr>
          <w:rFonts w:ascii="Garamond" w:hAnsi="Garamond" w:cs="Times New Roman"/>
        </w:rPr>
        <w:instrText xml:space="preserve"> ADDIN ZOTERO_ITEM CSL_CITATION {"citationID":"qCpl0x1l","properties":{"unsorted":false,"formattedCitation":"(Mikow et al., 2019)","plainCitation":"(Mikow et al., 2019)","noteIndex":0},"citationItems":[{"id":6793,"uris":["http://zotero.org/users/8421274/items/NJS6FX4P"],"itemData":{"id":6793,"type":"report","title":"Local traditional knowledge of salmon freshwater ecology in the middle and upper Kuskokwim River, Alaska Department of Fish and Game: Division of Subsistance, Anchorage Alaska TP-450","author":[{"family":"Mikow","given":"E.H."},{"family":"Retherford","given":"B."},{"family":"Runfola","given":"D.M."},{"family":"Gonazalez","given":"D."}],"issued":{"date-parts":[["2019"]]}}}],"schema":"https://github.com/citation-style-language/schema/raw/master/csl-citation.json"} </w:instrText>
      </w:r>
      <w:r w:rsidR="00417AEA">
        <w:rPr>
          <w:rFonts w:ascii="Garamond" w:hAnsi="Garamond" w:cs="Times New Roman"/>
        </w:rPr>
        <w:fldChar w:fldCharType="separate"/>
      </w:r>
      <w:r w:rsidR="00417AEA">
        <w:rPr>
          <w:rFonts w:ascii="Garamond" w:hAnsi="Garamond" w:cs="Times New Roman"/>
          <w:noProof/>
        </w:rPr>
        <w:t>(Mikow et al., 2019)</w:t>
      </w:r>
      <w:r w:rsidR="00417AEA">
        <w:rPr>
          <w:rFonts w:ascii="Garamond" w:hAnsi="Garamond" w:cs="Times New Roman"/>
        </w:rPr>
        <w:fldChar w:fldCharType="end"/>
      </w:r>
      <w:r w:rsidR="00417AEA">
        <w:rPr>
          <w:rFonts w:ascii="Garamond" w:hAnsi="Garamond" w:cs="Times New Roman"/>
        </w:rPr>
        <w:t>.</w:t>
      </w:r>
      <w:r w:rsidR="001B609C">
        <w:rPr>
          <w:rFonts w:ascii="Garamond" w:hAnsi="Garamond" w:cs="Times New Roman"/>
        </w:rPr>
        <w:t xml:space="preserve"> </w:t>
      </w:r>
      <w:r w:rsidR="00636BF3" w:rsidRPr="00636BF3">
        <w:rPr>
          <w:rFonts w:ascii="Garamond" w:hAnsi="Garamond" w:cs="Times New Roman"/>
        </w:rPr>
        <w:t>Telemetry studies conducted over several years have provided variable estimates of the relative contribution of upper watershed Chinook salmon</w:t>
      </w:r>
      <w:r w:rsidR="009C7F14">
        <w:rPr>
          <w:rFonts w:ascii="Garamond" w:hAnsi="Garamond" w:cs="Times New Roman"/>
        </w:rPr>
        <w:t>, most commonly identified as those at or above McGrath, Alaska,</w:t>
      </w:r>
      <w:r w:rsidR="00636BF3" w:rsidRPr="00636BF3">
        <w:rPr>
          <w:rFonts w:ascii="Garamond" w:hAnsi="Garamond" w:cs="Times New Roman"/>
        </w:rPr>
        <w:t xml:space="preserve"> ranging from &lt;10% to </w:t>
      </w:r>
      <w:r w:rsidR="00611D91">
        <w:rPr>
          <w:rFonts w:ascii="Garamond" w:hAnsi="Garamond" w:cs="Times New Roman"/>
        </w:rPr>
        <w:t>nearly</w:t>
      </w:r>
      <w:r w:rsidR="00636BF3" w:rsidRPr="00636BF3">
        <w:rPr>
          <w:rFonts w:ascii="Garamond" w:hAnsi="Garamond" w:cs="Times New Roman"/>
        </w:rPr>
        <w:t xml:space="preserve"> 25% </w:t>
      </w:r>
      <w:r w:rsidR="00D6070D">
        <w:rPr>
          <w:rFonts w:ascii="Garamond" w:hAnsi="Garamond" w:cs="Times New Roman"/>
        </w:rPr>
        <w:t xml:space="preserve">of the total run </w:t>
      </w:r>
      <w:r w:rsidR="00D60256">
        <w:rPr>
          <w:rFonts w:ascii="Garamond" w:hAnsi="Garamond" w:cs="Times New Roman"/>
        </w:rPr>
        <w:fldChar w:fldCharType="begin"/>
      </w:r>
      <w:r w:rsidR="00D60256">
        <w:rPr>
          <w:rFonts w:ascii="Garamond" w:hAnsi="Garamond" w:cs="Times New Roman"/>
        </w:rPr>
        <w:instrText xml:space="preserve"> ADDIN ZOTERO_ITEM CSL_CITATION {"citationID":"zqfHhJEj","properties":{"unsorted":false,"formattedCitation":"(Head et al., 2017; Schaberg et al., 2012; Smith &amp; Liller, 2017a; Stuby, 2007)","plainCitation":"(Head et al., 2017; Schaberg et al., 2012; Smith &amp; Liller, 2017a; Stuby, 2007)","noteIndex":0},"citationItems":[{"id":5945,"uris":["http://zotero.org/users/8421274/items/SEG4LZ34"],"itemData":{"id":5945,"type":"report","collection-title":"Alaska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W"}],"issued":{"date-parts":[["2017"]]}}},{"id":6801,"uris":["http://zotero.org/users/8421274/items/S8ZK58BK"],"itemData":{"id":6801,"type":"article-journal","language":"en","source":"Zotero","title":"Estimates of total annual return of Chinook salmon to the Kuskokwim River, 2002–2007. Alaska Department of Fish and Game, Fishery Data Series No. 12-36, Anchorage.","author":[{"family":"Schaberg","given":"K.L"},{"family":"Liller","given":"Z.W."},{"family":"Molyneaux","given":"B.G."},{"family":"Bue","given":"B.G."},{"family":"Stuby","given":"L."}],"issued":{"date-parts":[["2012"]]}}},{"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W."}],"issued":{"date-parts":[["2017"]]}}},{"id":6799,"uris":["http://zotero.org/users/8421274/items/MMICYH3M"],"itemData":{"id":6799,"type":"report","language":"en","source":"Zotero","title":"Inriver abundance of Chinook salmon in the Kuskokwim River, 2002-2006. Alaska Department of Fish and Game, Fishery Data Series No. 07-93, Anchorage.","author":[{"family":"Stuby","given":"Lisa"}],"issued":{"date-parts":[["2007"]]}}}],"schema":"https://github.com/citation-style-language/schema/raw/master/csl-citation.json"} </w:instrText>
      </w:r>
      <w:r w:rsidR="00D60256">
        <w:rPr>
          <w:rFonts w:ascii="Garamond" w:hAnsi="Garamond" w:cs="Times New Roman"/>
        </w:rPr>
        <w:fldChar w:fldCharType="separate"/>
      </w:r>
      <w:r w:rsidR="00D60256">
        <w:rPr>
          <w:rFonts w:ascii="Garamond" w:hAnsi="Garamond" w:cs="Times New Roman"/>
          <w:noProof/>
        </w:rPr>
        <w:t>(Head et al., 2017; Schaberg et al., 2012; Smith &amp; Liller, 2017a; Stuby, 2007)</w:t>
      </w:r>
      <w:r w:rsidR="00D60256">
        <w:rPr>
          <w:rFonts w:ascii="Garamond" w:hAnsi="Garamond" w:cs="Times New Roman"/>
        </w:rPr>
        <w:fldChar w:fldCharType="end"/>
      </w:r>
      <w:r w:rsidR="00D60256">
        <w:rPr>
          <w:rFonts w:ascii="Garamond" w:hAnsi="Garamond" w:cs="Times New Roman"/>
        </w:rPr>
        <w:t>.</w:t>
      </w:r>
      <w:r w:rsidR="00636BF3" w:rsidRPr="00636BF3">
        <w:rPr>
          <w:rFonts w:ascii="Garamond" w:hAnsi="Garamond" w:cs="Times New Roman"/>
        </w:rPr>
        <w:t xml:space="preserve"> </w:t>
      </w:r>
      <w:r w:rsidR="000B24D0">
        <w:rPr>
          <w:rFonts w:ascii="Garamond" w:hAnsi="Garamond" w:cs="Times New Roman"/>
        </w:rPr>
        <w:t>A</w:t>
      </w:r>
      <w:r w:rsidR="00D6070D">
        <w:rPr>
          <w:rFonts w:ascii="Garamond" w:hAnsi="Garamond" w:cs="Times New Roman"/>
        </w:rPr>
        <w:t xml:space="preserve"> relatively small proportion of the total residents in the Kuskokwim (&lt;10%) live in the upper reaches of the watershed, </w:t>
      </w:r>
      <w:r w:rsidR="000B24D0">
        <w:rPr>
          <w:rFonts w:ascii="Garamond" w:hAnsi="Garamond" w:cs="Times New Roman"/>
        </w:rPr>
        <w:t xml:space="preserve">however, </w:t>
      </w:r>
      <w:r w:rsidR="00066384">
        <w:rPr>
          <w:rFonts w:ascii="Garamond" w:hAnsi="Garamond" w:cs="Times New Roman"/>
        </w:rPr>
        <w:t>Chinook salmon returning to these tributaries are a critical subsistence resource</w:t>
      </w:r>
      <w:r w:rsidR="000B24D0">
        <w:rPr>
          <w:rFonts w:ascii="Garamond" w:hAnsi="Garamond" w:cs="Times New Roman"/>
        </w:rPr>
        <w:t xml:space="preserve"> and </w:t>
      </w:r>
      <w:r w:rsidR="00D6070D">
        <w:rPr>
          <w:rFonts w:ascii="Garamond" w:hAnsi="Garamond" w:cs="Times New Roman"/>
        </w:rPr>
        <w:t xml:space="preserve">the vast majority </w:t>
      </w:r>
      <w:r w:rsidR="00636BF3">
        <w:rPr>
          <w:rFonts w:ascii="Garamond" w:hAnsi="Garamond" w:cs="Times New Roman"/>
        </w:rPr>
        <w:t xml:space="preserve"> (&gt;85%) of the total harvest occurs in the lower portions of the</w:t>
      </w:r>
      <w:r w:rsidR="00354DC3">
        <w:rPr>
          <w:rFonts w:ascii="Garamond" w:hAnsi="Garamond" w:cs="Times New Roman"/>
        </w:rPr>
        <w:t xml:space="preserve"> river</w:t>
      </w:r>
      <w:r w:rsidR="00636BF3">
        <w:rPr>
          <w:rFonts w:ascii="Garamond" w:hAnsi="Garamond" w:cs="Times New Roman"/>
        </w:rPr>
        <w:t xml:space="preserve"> </w:t>
      </w:r>
      <w:r w:rsidR="00066384">
        <w:rPr>
          <w:rFonts w:ascii="Garamond" w:hAnsi="Garamond" w:cs="Times New Roman"/>
        </w:rPr>
        <w:t>and disproportionately early in the season</w:t>
      </w:r>
      <w:r w:rsidR="00636BF3">
        <w:rPr>
          <w:rFonts w:ascii="Garamond" w:hAnsi="Garamond" w:cs="Times New Roman"/>
        </w:rPr>
        <w:t xml:space="preserve"> </w:t>
      </w:r>
      <w:r w:rsidR="001B609C">
        <w:rPr>
          <w:rFonts w:ascii="Garamond" w:hAnsi="Garamond" w:cs="Times New Roman"/>
        </w:rPr>
        <w:t xml:space="preserve"> </w:t>
      </w:r>
      <w:r w:rsidR="00D60256">
        <w:rPr>
          <w:rFonts w:ascii="Garamond" w:hAnsi="Garamond" w:cs="Times New Roman"/>
        </w:rPr>
        <w:fldChar w:fldCharType="begin"/>
      </w:r>
      <w:r w:rsidR="00D60256">
        <w:rPr>
          <w:rFonts w:ascii="Garamond" w:hAnsi="Garamond" w:cs="Times New Roman"/>
        </w:rPr>
        <w:instrText xml:space="preserve"> ADDIN ZOTERO_ITEM CSL_CITATION {"citationID":"otrHwx8z","properties":{"unsorted":false,"formattedCitation":"(Hamazaki, 2008; Tiernan &amp; Poetter, 2015)","plainCitation":"(Hamazaki, 2008; Tiernan &amp; Poetter, 2015)","noteIndex":0},"citationItems":[{"id":6021,"uris":["http://zotero.org/users/8421274/items/G45XBM9M"],"itemData":{"id":6021,"type":"article-journal","abstract":"This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sidR="00D60256">
        <w:rPr>
          <w:rFonts w:ascii="Cambria Math" w:hAnsi="Cambria Math" w:cs="Cambria Math"/>
        </w:rPr>
        <w:instrText>‐</w:instrText>
      </w:r>
      <w:r w:rsidR="00D60256">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disappear.”","volume":"33","author":[{"family":"Hamazaki","given":"Toshihide"}],"issued":{"date-parts":[["2008",10,1]]}}},{"id":6806,"uris":["http://zotero.org/users/8421274/items/YSTFPVGT"],"itemData":{"id":6806,"type":"report","title":"013 Kuskokwim area management report. Alaska Departmentof Fish and Game, Fishery Management Report No. 15-46, Anchorage.","author":[{"family":"Tiernan","given":"A"},{"family":"Poetter","given":"A."}],"issued":{"date-parts":[["2015"]]}}}],"schema":"https://github.com/citation-style-language/schema/raw/master/csl-citation.json"} </w:instrText>
      </w:r>
      <w:r w:rsidR="00D60256">
        <w:rPr>
          <w:rFonts w:ascii="Garamond" w:hAnsi="Garamond" w:cs="Times New Roman"/>
        </w:rPr>
        <w:fldChar w:fldCharType="separate"/>
      </w:r>
      <w:r w:rsidR="00D60256">
        <w:rPr>
          <w:rFonts w:ascii="Garamond" w:hAnsi="Garamond" w:cs="Times New Roman"/>
          <w:noProof/>
        </w:rPr>
        <w:t>(Hamazaki, 2008; Tiernan &amp; Poetter, 2015)</w:t>
      </w:r>
      <w:r w:rsidR="00D60256">
        <w:rPr>
          <w:rFonts w:ascii="Garamond" w:hAnsi="Garamond" w:cs="Times New Roman"/>
        </w:rPr>
        <w:fldChar w:fldCharType="end"/>
      </w:r>
      <w:r w:rsidR="00D60256">
        <w:rPr>
          <w:rFonts w:ascii="Garamond" w:hAnsi="Garamond" w:cs="Times New Roman"/>
        </w:rPr>
        <w:t>. As</w:t>
      </w:r>
      <w:r w:rsidR="00636BF3">
        <w:rPr>
          <w:rFonts w:ascii="Garamond" w:hAnsi="Garamond" w:cs="Times New Roman"/>
        </w:rPr>
        <w:t xml:space="preserve"> such, there is concern that upper watershed stocks may be overexploited by downstream fisheries</w:t>
      </w:r>
      <w:r w:rsidR="00D6070D">
        <w:rPr>
          <w:rFonts w:ascii="Garamond" w:hAnsi="Garamond" w:cs="Times New Roman"/>
        </w:rPr>
        <w:t xml:space="preserve">, putting them at </w:t>
      </w:r>
      <w:r w:rsidR="000B24D0">
        <w:rPr>
          <w:rFonts w:ascii="Garamond" w:hAnsi="Garamond" w:cs="Times New Roman"/>
        </w:rPr>
        <w:t xml:space="preserve">a heightened </w:t>
      </w:r>
      <w:r w:rsidR="00D6070D">
        <w:rPr>
          <w:rFonts w:ascii="Garamond" w:hAnsi="Garamond" w:cs="Times New Roman"/>
        </w:rPr>
        <w:t xml:space="preserve">risk of extirpation and limiting subsistence access for upstream communities. </w:t>
      </w:r>
      <w:r w:rsidR="00636BF3">
        <w:rPr>
          <w:rFonts w:ascii="Garamond" w:hAnsi="Garamond" w:cs="Times New Roman"/>
        </w:rPr>
        <w:t>By implementing a front-end fishery closure, managers aim to</w:t>
      </w:r>
      <w:r w:rsidR="00066384">
        <w:rPr>
          <w:rFonts w:ascii="Garamond" w:hAnsi="Garamond" w:cs="Times New Roman"/>
        </w:rPr>
        <w:t xml:space="preserve"> both</w:t>
      </w:r>
      <w:r w:rsidR="00636BF3">
        <w:rPr>
          <w:rFonts w:ascii="Garamond" w:hAnsi="Garamond" w:cs="Times New Roman"/>
        </w:rPr>
        <w:t xml:space="preserve"> </w:t>
      </w:r>
      <w:r w:rsidR="00425BAB">
        <w:rPr>
          <w:rFonts w:ascii="Garamond" w:hAnsi="Garamond" w:cs="Times New Roman"/>
        </w:rPr>
        <w:t>support basin-wide escapement goals</w:t>
      </w:r>
      <w:r w:rsidR="004E7082">
        <w:rPr>
          <w:rFonts w:ascii="Garamond" w:hAnsi="Garamond" w:cs="Times New Roman"/>
        </w:rPr>
        <w:t xml:space="preserve"> and</w:t>
      </w:r>
      <w:r w:rsidR="00E52637">
        <w:rPr>
          <w:rFonts w:ascii="Garamond" w:hAnsi="Garamond" w:cs="Times New Roman"/>
        </w:rPr>
        <w:t xml:space="preserve"> </w:t>
      </w:r>
      <w:r w:rsidR="00425BAB">
        <w:rPr>
          <w:rFonts w:ascii="Garamond" w:hAnsi="Garamond" w:cs="Times New Roman"/>
        </w:rPr>
        <w:t>provide more equitable harvest opportunities to upstream communities</w:t>
      </w:r>
      <w:r w:rsidR="00066384">
        <w:rPr>
          <w:rFonts w:ascii="Garamond" w:hAnsi="Garamond" w:cs="Times New Roman"/>
        </w:rPr>
        <w:t xml:space="preserve">. </w:t>
      </w:r>
      <w:r w:rsidR="000B24D0">
        <w:rPr>
          <w:rFonts w:ascii="Garamond" w:hAnsi="Garamond" w:cs="Times New Roman"/>
        </w:rPr>
        <w:t xml:space="preserve">At the same time, </w:t>
      </w:r>
      <w:r w:rsidR="000B24D0">
        <w:rPr>
          <w:rFonts w:ascii="Garamond" w:hAnsi="Garamond" w:cs="Times New Roman"/>
        </w:rPr>
        <w:lastRenderedPageBreak/>
        <w:t>p</w:t>
      </w:r>
      <w:r w:rsidR="00066384">
        <w:rPr>
          <w:rFonts w:ascii="Garamond" w:hAnsi="Garamond" w:cs="Times New Roman"/>
        </w:rPr>
        <w:t xml:space="preserve">rotecting upriver stocks from extirpation may also serve to protect the biodiversity that supports basin-wide population </w:t>
      </w:r>
      <w:r w:rsidR="0038542B">
        <w:rPr>
          <w:rFonts w:ascii="Garamond" w:hAnsi="Garamond" w:cs="Times New Roman"/>
        </w:rPr>
        <w:t>resilience</w:t>
      </w:r>
      <w:r w:rsidR="00066384">
        <w:rPr>
          <w:rFonts w:ascii="Garamond" w:hAnsi="Garamond" w:cs="Times New Roman"/>
        </w:rPr>
        <w:t xml:space="preserve"> and supports the reliability of downstream fisheries. </w:t>
      </w:r>
    </w:p>
    <w:p w14:paraId="4A951439" w14:textId="15F8D308" w:rsidR="009D5982" w:rsidRPr="00066384" w:rsidRDefault="000B24D0" w:rsidP="00646BBC">
      <w:pPr>
        <w:spacing w:line="480" w:lineRule="auto"/>
        <w:rPr>
          <w:rFonts w:ascii="Garamond" w:hAnsi="Garamond" w:cs="Times New Roman"/>
        </w:rPr>
      </w:pPr>
      <w:r>
        <w:rPr>
          <w:rFonts w:ascii="Garamond" w:hAnsi="Garamond" w:cs="Times New Roman"/>
        </w:rPr>
        <w:tab/>
      </w:r>
      <w:r w:rsidR="00280FDF" w:rsidRPr="00280FDF">
        <w:rPr>
          <w:rFonts w:ascii="Garamond" w:hAnsi="Garamond" w:cs="Times New Roman"/>
        </w:rPr>
        <w:t xml:space="preserve">At the watershed scale and over multi-year timescales, the spatial ecology of Chinook salmon in the Kuskokwim River basin remains poorly understood, limiting </w:t>
      </w:r>
      <w:r w:rsidR="00280FDF">
        <w:rPr>
          <w:rFonts w:ascii="Garamond" w:hAnsi="Garamond" w:cs="Times New Roman"/>
        </w:rPr>
        <w:t>the</w:t>
      </w:r>
      <w:r w:rsidR="00280FDF" w:rsidRPr="00280FDF">
        <w:rPr>
          <w:rFonts w:ascii="Garamond" w:hAnsi="Garamond" w:cs="Times New Roman"/>
        </w:rPr>
        <w:t xml:space="preserve"> ability to assess whether the front-end fishery closure effectively protects upstream stocks as intended.</w:t>
      </w:r>
      <w:r w:rsidR="00280FDF">
        <w:rPr>
          <w:rFonts w:ascii="Garamond" w:hAnsi="Garamond" w:cs="Times New Roman"/>
        </w:rPr>
        <w:t xml:space="preserve"> </w:t>
      </w:r>
      <w:r w:rsidR="00280FDF" w:rsidRPr="00280FDF">
        <w:rPr>
          <w:rFonts w:ascii="Garamond" w:hAnsi="Garamond" w:cs="Times New Roman"/>
        </w:rPr>
        <w:t>Although genetics-based approaches such as Genetic Stock Identification (GSI) ha</w:t>
      </w:r>
      <w:r w:rsidR="00EA24E9">
        <w:rPr>
          <w:rFonts w:ascii="Garamond" w:hAnsi="Garamond" w:cs="Times New Roman"/>
        </w:rPr>
        <w:t xml:space="preserve">s </w:t>
      </w:r>
      <w:r w:rsidR="00280FDF" w:rsidRPr="00280FDF">
        <w:rPr>
          <w:rFonts w:ascii="Garamond" w:hAnsi="Garamond" w:cs="Times New Roman"/>
        </w:rPr>
        <w:t xml:space="preserve">been widely used to investigate population structure and provenance in other Pacific salmon species and watersheds, low genetic structure among Chinook salmon populations in the Kuskokwim River basin limits </w:t>
      </w:r>
      <w:r w:rsidR="00354DC3">
        <w:rPr>
          <w:rFonts w:ascii="Garamond" w:hAnsi="Garamond" w:cs="Times New Roman"/>
        </w:rPr>
        <w:t xml:space="preserve"> the utility of genetic-based approaches for</w:t>
      </w:r>
      <w:r w:rsidR="00280FDF" w:rsidRPr="00280FDF">
        <w:rPr>
          <w:rFonts w:ascii="Garamond" w:hAnsi="Garamond" w:cs="Times New Roman"/>
        </w:rPr>
        <w:t xml:space="preserve"> distinguish</w:t>
      </w:r>
      <w:r w:rsidR="00354DC3">
        <w:rPr>
          <w:rFonts w:ascii="Garamond" w:hAnsi="Garamond" w:cs="Times New Roman"/>
        </w:rPr>
        <w:t>ing</w:t>
      </w:r>
      <w:r w:rsidR="00280FDF" w:rsidRPr="00280FDF">
        <w:rPr>
          <w:rFonts w:ascii="Garamond" w:hAnsi="Garamond" w:cs="Times New Roman"/>
        </w:rPr>
        <w:t xml:space="preserve"> among </w:t>
      </w:r>
      <w:r w:rsidR="00280FDF">
        <w:rPr>
          <w:rFonts w:ascii="Garamond" w:hAnsi="Garamond" w:cs="Times New Roman"/>
        </w:rPr>
        <w:t xml:space="preserve">subpopulations in the basin </w:t>
      </w:r>
      <w:r w:rsidR="004A41B6" w:rsidRPr="004A41B6">
        <w:rPr>
          <w:rFonts w:ascii="Garamond" w:hAnsi="Garamond" w:cs="Times New Roman"/>
        </w:rPr>
        <w:fldChar w:fldCharType="begin"/>
      </w:r>
      <w:r w:rsidR="004A41B6" w:rsidRPr="004A41B6">
        <w:rPr>
          <w:rFonts w:ascii="Garamond" w:hAnsi="Garamond" w:cs="Times New Roman"/>
        </w:rPr>
        <w:instrText xml:space="preserve"> ADDIN ZOTERO_ITEM CSL_CITATION {"citationID":"Wpd0qm3T","properties":{"unsorted":false,"formattedCitation":"(Larson et al., 2014)","plainCitation":"(Larson et al., 2014)","noteIndex":0},"citationItems":[{"id":6810,"uris":["http://zotero.org/users/8421274/items/QWLSE2AC"],"itemData":{"id":6810,"type":"article-journal","abstract":"Genetic stock identiﬁcation (GSI), an important tool for ﬁsheries management that relies upon the ability to differentiate stocks of interest, can be difﬁcult when populations are closely related. Here we genotyped 11 850 single-nucleotide polymorphisms (SNPs) from existing DNA sequence data available in ﬁve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ﬁve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efﬁcient way to discover SNPs for GSI and should be applicable to other populations and species.","container-title":"Canadian Journal of Fisheries and Aquatic Sciences","DOI":"10.1139/cjfas-2013-0502","ISSN":"0706-652X, 1205-7533","issue":"5","journalAbbreviation":"Can. J. Fish. Aquat. Sci.","language":"en","license":"http://www.nrcresearchpress.com/page/about/CorporateTextAndDataMining","page":"698-708","source":"DOI.org (Crossref)","title":"Single-nucleotide polymorphisms (SNPs) identified through genotyping-by-sequencing improve genetic stock identification of Chinook salmon ( &lt;i&gt;Oncorhynchus tshawytscha&lt;/i&gt; ) from western Alaska","volume":"71","author":[{"family":"Larson","given":"Wesley A."},{"family":"Seeb","given":"James E."},{"family":"Pascal","given":"Carita E."},{"family":"Templin","given":"William D."},{"family":"Seeb","given":"Lisa W."}],"editor":[{"family":"Taylor","given":"Eric"}],"issued":{"date-parts":[["2014",5]]}}}],"schema":"https://github.com/citation-style-language/schema/raw/master/csl-citation.json"} </w:instrText>
      </w:r>
      <w:r w:rsidR="004A41B6" w:rsidRPr="004A41B6">
        <w:rPr>
          <w:rFonts w:ascii="Garamond" w:hAnsi="Garamond" w:cs="Times New Roman"/>
        </w:rPr>
        <w:fldChar w:fldCharType="separate"/>
      </w:r>
      <w:r w:rsidR="004A41B6" w:rsidRPr="004A41B6">
        <w:rPr>
          <w:rFonts w:ascii="Garamond" w:hAnsi="Garamond" w:cs="Times New Roman"/>
          <w:noProof/>
        </w:rPr>
        <w:t>(Larson et al., 2014)</w:t>
      </w:r>
      <w:r w:rsidR="004A41B6" w:rsidRPr="004A41B6">
        <w:rPr>
          <w:rFonts w:ascii="Garamond" w:hAnsi="Garamond" w:cs="Times New Roman"/>
        </w:rPr>
        <w:fldChar w:fldCharType="end"/>
      </w:r>
      <w:r w:rsidR="00280FDF" w:rsidRPr="004A41B6">
        <w:rPr>
          <w:rFonts w:ascii="Garamond" w:hAnsi="Garamond" w:cs="Times New Roman"/>
        </w:rPr>
        <w:t>.</w:t>
      </w:r>
      <w:r>
        <w:rPr>
          <w:rFonts w:ascii="Garamond" w:hAnsi="Garamond" w:cs="Times New Roman"/>
        </w:rPr>
        <w:t>.</w:t>
      </w:r>
      <w:r w:rsidR="003B674A">
        <w:rPr>
          <w:rFonts w:ascii="Garamond" w:hAnsi="Garamond" w:cs="Times New Roman"/>
        </w:rPr>
        <w:t xml:space="preserve"> </w:t>
      </w:r>
      <w:r w:rsidR="00280FDF" w:rsidRPr="00280FDF">
        <w:rPr>
          <w:rFonts w:ascii="Garamond" w:hAnsi="Garamond" w:cs="Times New Roman"/>
        </w:rPr>
        <w:t xml:space="preserve">Telemetry-based approaches have provided </w:t>
      </w:r>
      <w:r w:rsidR="00354DC3">
        <w:rPr>
          <w:rFonts w:ascii="Garamond" w:hAnsi="Garamond" w:cs="Times New Roman"/>
        </w:rPr>
        <w:t>some</w:t>
      </w:r>
      <w:r w:rsidR="00280FDF" w:rsidRPr="00280FDF">
        <w:rPr>
          <w:rFonts w:ascii="Garamond" w:hAnsi="Garamond" w:cs="Times New Roman"/>
        </w:rPr>
        <w:t xml:space="preserve"> insights into movement patterns within the basin; however, the spatial coverage </w:t>
      </w:r>
      <w:r w:rsidR="00066384">
        <w:rPr>
          <w:rFonts w:ascii="Garamond" w:hAnsi="Garamond" w:cs="Times New Roman"/>
        </w:rPr>
        <w:t xml:space="preserve">available from this type of tool </w:t>
      </w:r>
      <w:r w:rsidR="00280FDF" w:rsidRPr="00280FDF">
        <w:rPr>
          <w:rFonts w:ascii="Garamond" w:hAnsi="Garamond" w:cs="Times New Roman"/>
        </w:rPr>
        <w:t>is limited</w:t>
      </w:r>
      <w:r w:rsidR="00EA24E9">
        <w:rPr>
          <w:rFonts w:ascii="Garamond" w:hAnsi="Garamond" w:cs="Times New Roman"/>
        </w:rPr>
        <w:t xml:space="preserve"> across the full watershed </w:t>
      </w:r>
      <w:r>
        <w:rPr>
          <w:rFonts w:ascii="Garamond" w:hAnsi="Garamond" w:cs="Times New Roman"/>
        </w:rPr>
        <w:t xml:space="preserve">and has not been conducted in several years </w:t>
      </w:r>
      <w:r w:rsidR="00EA24E9">
        <w:rPr>
          <w:rFonts w:ascii="Garamond" w:hAnsi="Garamond" w:cs="Times New Roman"/>
        </w:rPr>
        <w:fldChar w:fldCharType="begin"/>
      </w:r>
      <w:r w:rsidR="00EA24E9">
        <w:rPr>
          <w:rFonts w:ascii="Garamond" w:hAnsi="Garamond" w:cs="Times New Roman"/>
        </w:rPr>
        <w:instrText xml:space="preserve"> ADDIN ZOTERO_ITEM CSL_CITATION {"citationID":"uiU3QZ1d","properties":{"unsorted":false,"formattedCitation":"(J.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EA24E9">
        <w:rPr>
          <w:rFonts w:ascii="Garamond" w:hAnsi="Garamond" w:cs="Times New Roman"/>
        </w:rPr>
        <w:fldChar w:fldCharType="separate"/>
      </w:r>
      <w:r w:rsidR="00EA24E9">
        <w:rPr>
          <w:rFonts w:ascii="Garamond" w:hAnsi="Garamond" w:cs="Times New Roman"/>
          <w:noProof/>
        </w:rPr>
        <w:t>(J. N. Clark &amp; Smith, 2019)</w:t>
      </w:r>
      <w:r w:rsidR="00EA24E9">
        <w:rPr>
          <w:rFonts w:ascii="Garamond" w:hAnsi="Garamond" w:cs="Times New Roman"/>
        </w:rPr>
        <w:fldChar w:fldCharType="end"/>
      </w:r>
      <w:r w:rsidR="00EA24E9">
        <w:rPr>
          <w:rFonts w:ascii="Garamond" w:hAnsi="Garamond" w:cs="Times New Roman"/>
        </w:rPr>
        <w:t xml:space="preserve">. </w:t>
      </w:r>
      <w:r w:rsidR="00BC565F" w:rsidRPr="00BC565F">
        <w:rPr>
          <w:rFonts w:ascii="Garamond" w:hAnsi="Garamond" w:cs="Times New Roman"/>
        </w:rPr>
        <w:t xml:space="preserve">Otolith microchemical approaches have emerged as an alternative tool for estimating sub-watershed provenance without </w:t>
      </w:r>
      <w:r w:rsidR="00066384">
        <w:rPr>
          <w:rFonts w:ascii="Garamond" w:hAnsi="Garamond" w:cs="Times New Roman"/>
        </w:rPr>
        <w:t xml:space="preserve">the need </w:t>
      </w:r>
      <w:r w:rsidR="00BC565F" w:rsidRPr="00BC565F">
        <w:rPr>
          <w:rFonts w:ascii="Garamond" w:hAnsi="Garamond" w:cs="Times New Roman"/>
        </w:rPr>
        <w:t xml:space="preserve">extensive field-based monitoring </w:t>
      </w:r>
      <w:r w:rsidR="00EA24E9">
        <w:rPr>
          <w:rFonts w:ascii="Garamond" w:hAnsi="Garamond" w:cs="Times New Roman"/>
        </w:rPr>
        <w:fldChar w:fldCharType="begin"/>
      </w:r>
      <w:r w:rsidR="00301B81">
        <w:rPr>
          <w:rFonts w:ascii="Garamond" w:hAnsi="Garamond" w:cs="Times New Roman"/>
        </w:rPr>
        <w:instrText xml:space="preserve"> ADDIN ZOTERO_ITEM CSL_CITATION {"citationID":"xOPvJIVl","properties":{"unsorted":false,"formattedCitation":"(Brennan, Zimmerman, et al., 2015; Brennan et al., 2019; Kennedy et al., 2000)","plainCitation":"(Brennan, Zimmerman, et al., 2015; Brennan et al., 2019; Kennedy et al., 2000)","noteIndex":0},"citationItems":[{"id":"6JYUnuDD/DjZU0x8k","uris":["http://zotero.org/users/8421274/items/IY3FLHLM"],"itemData":{"id":"6JYUnuDD/DjZU0x8k","type":"article-journal","abstract":"Strontium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P."}],"issued":{"date-parts":[["2019"]]}}},{"id":5607,"uris":["http://zotero.org/users/8421274/items/N8M9U3LH"],"itemData":{"id":5607,"type":"article-journal","abstract":"To distinguish Atlantic salmon (Salmo salar) populations in tributaries of the Connecticut River, we studied the incorporation and stability of Sr isotopes in juvenile salmon. We established the geologic basis for unique isotopic signatures in 29 salmon sites. Stream-specific Sr isotopic ratios (\n              87\n              Sr/\n              86\n              Sr) were found in calcified tissues of salmon parr within 3 months of stocking. We found little seasonal variation in the Sr signatures of stream water or fish tissue. There were no significant differences among the Sr signatures of otoliths, scales, and vertebrae. For mature salmon raised under constant conditions, 70% of the Sr isotopic </w:instrText>
      </w:r>
      <w:r w:rsidR="00301B81" w:rsidRPr="00646BBC">
        <w:rPr>
          <w:rFonts w:ascii="Garamond" w:hAnsi="Garamond" w:cs="Times New Roman"/>
          <w:lang w:val="fr-FR"/>
        </w:rPr>
        <w:instrText xml:space="preserve">signature in calcified tissues was derived from food sources. We developed a criterion for identifying moving fish based upon the isotopic variability of genetically marked fish. Applying this criterion to our streams, 7% of the fish in our study had incorporated Sr from multiple streams. Strontium isotopes distinguished all 8 regions in the White River basin and 7 of the 10 regions in the West River basin. When watersheds are considered together, Sr isotopes differentiated 11 unique signatures from 18 regions. We conclude that Sr isotopes are an effective marking tool and discuss ways in which they can be combined with other marking techniques over larger spatial scales.","container-title":"Canadian Journal of Fisheries and Aquatic Sciences","DOI":"10.1139/f00-206","ISSN":"0706-652X, 1205-7533","issue":"11","journalAbbreviation":"Can. J. Fish. Aquat. Sci.","language":"en","license":"http://www.nrcresearchpress.com/page/about/CorporateTextAndDataMining","page":"2280-2292","source":"DOI.org (Crossref)","title":"Using natural strontium isotopic signatures as fish markers: methodology and application","title-short":"Using natural strontium isotopic signatures as fish markers","volume":"57","author":[{"family":"Kennedy","given":"Brian P"},{"family":"Blum","given":"Joel D"},{"family":"Folt","given":"Carol L"},{"family":"Nislow","given":"Keith H"}],"issued":{"date-parts":[["2000",11,1]]}}}],"schema":"https://github.com/citation-style-language/schema/raw/master/csl-citation.json"} </w:instrText>
      </w:r>
      <w:r w:rsidR="00EA24E9">
        <w:rPr>
          <w:rFonts w:ascii="Garamond" w:hAnsi="Garamond" w:cs="Times New Roman"/>
        </w:rPr>
        <w:fldChar w:fldCharType="separate"/>
      </w:r>
      <w:r w:rsidR="00301B81" w:rsidRPr="00646BBC">
        <w:rPr>
          <w:rFonts w:ascii="Garamond" w:hAnsi="Garamond" w:cs="Times New Roman"/>
          <w:noProof/>
          <w:lang w:val="fr-FR"/>
        </w:rPr>
        <w:t>(Brennan, Zimmerman, et al., 2015; Brennan et al., 2019; Kennedy et al., 2000)</w:t>
      </w:r>
      <w:r w:rsidR="00EA24E9">
        <w:rPr>
          <w:rFonts w:ascii="Garamond" w:hAnsi="Garamond" w:cs="Times New Roman"/>
        </w:rPr>
        <w:fldChar w:fldCharType="end"/>
      </w:r>
      <w:r w:rsidR="00EA24E9" w:rsidRPr="00646BBC">
        <w:rPr>
          <w:rFonts w:ascii="Garamond" w:hAnsi="Garamond" w:cs="Times New Roman"/>
          <w:lang w:val="fr-FR"/>
        </w:rPr>
        <w:t>.</w:t>
      </w:r>
      <w:r w:rsidR="00BC565F" w:rsidRPr="00646BBC">
        <w:rPr>
          <w:rFonts w:ascii="Garamond" w:hAnsi="Garamond" w:cs="Times New Roman"/>
          <w:lang w:val="fr-FR"/>
        </w:rPr>
        <w:t xml:space="preserve"> </w:t>
      </w:r>
      <w:r w:rsidR="00BC565F" w:rsidRPr="00BC565F">
        <w:rPr>
          <w:rFonts w:ascii="Garamond" w:hAnsi="Garamond" w:cs="Times New Roman"/>
        </w:rPr>
        <w:t xml:space="preserve">By leveraging predictable relationships between chemical signatures recorded in the otolith and those measured or modeled across the landscape, these approaches enable </w:t>
      </w:r>
      <w:r w:rsidR="00066384">
        <w:rPr>
          <w:rFonts w:ascii="Garamond" w:hAnsi="Garamond" w:cs="Times New Roman"/>
        </w:rPr>
        <w:t xml:space="preserve">the </w:t>
      </w:r>
      <w:r w:rsidR="00BC565F" w:rsidRPr="00BC565F">
        <w:rPr>
          <w:rFonts w:ascii="Garamond" w:hAnsi="Garamond" w:cs="Times New Roman"/>
        </w:rPr>
        <w:t>reconstruction of individual life histor</w:t>
      </w:r>
      <w:r w:rsidR="00066384">
        <w:rPr>
          <w:rFonts w:ascii="Garamond" w:hAnsi="Garamond" w:cs="Times New Roman"/>
        </w:rPr>
        <w:t xml:space="preserve">y characteristics at the watershed scale with refined spatial resolution compared to genetics-based methods in many cases </w:t>
      </w:r>
      <w:r w:rsidR="00EA24E9">
        <w:rPr>
          <w:rFonts w:ascii="Garamond" w:hAnsi="Garamond" w:cs="Times New Roman"/>
        </w:rPr>
        <w:fldChar w:fldCharType="begin"/>
      </w:r>
      <w:r w:rsidR="00301B81">
        <w:rPr>
          <w:rFonts w:ascii="Garamond" w:hAnsi="Garamond" w:cs="Times New Roman"/>
        </w:rPr>
        <w:instrText xml:space="preserve"> ADDIN ZOTERO_ITEM CSL_CITATION {"citationID":"LnWWYCwb","properties":{"unsorted":false,"formattedCitation":"(Brennan, Zimmerman, et al., 2015; Makhlouf et al., 2025)","plainCitation":"(Brennan, Zimmerman, et al., 2015; Makhlouf et al., 2025)","noteIndex":0},"citationItems":[{"id":"6JYUnuDD/DjZU0x8k","uris":["http://zotero.org/users/8421274/items/IY3FLHLM"],"itemData":{"id":"6JYUnuDD/DjZU0x8k","type":"article-journal","abstract":"Strontium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A24E9">
        <w:rPr>
          <w:rFonts w:ascii="Garamond" w:hAnsi="Garamond" w:cs="Times New Roman"/>
        </w:rPr>
        <w:fldChar w:fldCharType="separate"/>
      </w:r>
      <w:r w:rsidR="00301B81">
        <w:rPr>
          <w:rFonts w:ascii="Garamond" w:hAnsi="Garamond" w:cs="Times New Roman"/>
          <w:noProof/>
        </w:rPr>
        <w:t>(Brennan, Zimmerman, et al., 2015; Makhlouf et al., 2025)</w:t>
      </w:r>
      <w:r w:rsidR="00EA24E9">
        <w:rPr>
          <w:rFonts w:ascii="Garamond" w:hAnsi="Garamond" w:cs="Times New Roman"/>
        </w:rPr>
        <w:fldChar w:fldCharType="end"/>
      </w:r>
      <w:r w:rsidR="00832E18">
        <w:rPr>
          <w:rFonts w:ascii="Garamond" w:hAnsi="Garamond" w:cs="Times New Roman"/>
        </w:rPr>
        <w:t xml:space="preserve">. These methods therefore offer a means to estimate provenance of adult salmon across the entire watershed at a refined spatial scale without the need for extensive basin-wide sampling efforts. </w:t>
      </w:r>
    </w:p>
    <w:p w14:paraId="4B48F71D" w14:textId="3534F49D" w:rsidR="00A72EBD" w:rsidRPr="008605CB" w:rsidRDefault="00A72EBD" w:rsidP="00646BBC">
      <w:pPr>
        <w:spacing w:line="480" w:lineRule="auto"/>
        <w:ind w:firstLine="360"/>
        <w:rPr>
          <w:rFonts w:ascii="Garamond" w:hAnsi="Garamond" w:cs="Times New Roman"/>
          <w:b/>
          <w:bCs/>
        </w:rPr>
      </w:pPr>
      <w:r>
        <w:rPr>
          <w:rFonts w:ascii="Garamond" w:hAnsi="Garamond" w:cs="Times New Roman"/>
        </w:rPr>
        <w:t xml:space="preserve">Here, we use otolith chemistry from fish caught during a test fishery throughout the seasonal migration period over six years in the Kuskokwim River to reconstruct spatiotemporal patterns of </w:t>
      </w:r>
      <w:r w:rsidR="00354DC3">
        <w:rPr>
          <w:rFonts w:ascii="Garamond" w:hAnsi="Garamond" w:cs="Times New Roman"/>
        </w:rPr>
        <w:lastRenderedPageBreak/>
        <w:t xml:space="preserve">the natal origins of </w:t>
      </w:r>
      <w:r>
        <w:rPr>
          <w:rFonts w:ascii="Garamond" w:hAnsi="Garamond" w:cs="Times New Roman"/>
        </w:rPr>
        <w:t xml:space="preserve">Chinook salmon returns. </w:t>
      </w:r>
      <w:r w:rsidR="00BC565F">
        <w:rPr>
          <w:rFonts w:ascii="Garamond" w:hAnsi="Garamond" w:cs="Times New Roman"/>
        </w:rPr>
        <w:t>In doing so, we use o</w:t>
      </w:r>
      <w:r>
        <w:rPr>
          <w:rFonts w:ascii="Garamond" w:hAnsi="Garamond" w:cs="Times New Roman"/>
        </w:rPr>
        <w:t xml:space="preserve">tolith-based methods for estimating provenance </w:t>
      </w:r>
      <w:r w:rsidR="00E43153">
        <w:rPr>
          <w:rFonts w:ascii="Garamond" w:hAnsi="Garamond" w:cs="Times New Roman"/>
        </w:rPr>
        <w:t xml:space="preserve">as a </w:t>
      </w:r>
      <w:r>
        <w:rPr>
          <w:rFonts w:ascii="Garamond" w:hAnsi="Garamond" w:cs="Times New Roman"/>
        </w:rPr>
        <w:t>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623E12CB" w:rsidR="009833DB" w:rsidRPr="007C6331" w:rsidRDefault="00467885"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Materials and Methods: </w:t>
      </w:r>
    </w:p>
    <w:p w14:paraId="2B9BE153" w14:textId="589B370C" w:rsidR="009833DB" w:rsidRPr="008605CB" w:rsidRDefault="007C6331" w:rsidP="009833DB">
      <w:pPr>
        <w:spacing w:line="480" w:lineRule="auto"/>
        <w:rPr>
          <w:rFonts w:ascii="Garamond" w:hAnsi="Garamond" w:cs="Times New Roman"/>
          <w:b/>
          <w:bCs/>
        </w:rPr>
      </w:pPr>
      <w:r>
        <w:rPr>
          <w:rFonts w:ascii="Garamond" w:hAnsi="Garamond" w:cs="Times New Roman"/>
          <w:b/>
          <w:bCs/>
        </w:rPr>
        <w:t>2.1 Otolith samples</w:t>
      </w:r>
    </w:p>
    <w:p w14:paraId="2C50ADFF" w14:textId="5DA67E7E" w:rsidR="009C079F" w:rsidRPr="008605CB" w:rsidRDefault="003A1EB0" w:rsidP="009C079F">
      <w:pPr>
        <w:spacing w:line="480" w:lineRule="auto"/>
        <w:ind w:firstLine="720"/>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Chinook salmon otoliths were collected from 2017 to 2022 in the Alaska Department of Fish &amp; Game Bethel Test Fishery (BTF) near Bethel, Alaska in collaboration with the Orutsararmiut Native Council fisheries program. </w:t>
      </w:r>
      <w:r>
        <w:rPr>
          <w:rFonts w:ascii="Garamond" w:hAnsi="Garamond" w:cs="Times New Roman"/>
        </w:rPr>
        <w:t>The BTF was designed to enable in-season assessment of run timing and strength, based on catch-per-unit-effort (CPUE)</w:t>
      </w:r>
      <w:r>
        <w:rPr>
          <w:rStyle w:val="CommentReference"/>
        </w:rPr>
        <w:t>,</w:t>
      </w:r>
      <w:r>
        <w:rPr>
          <w:rFonts w:ascii="Garamond" w:hAnsi="Garamond" w:cs="Times New Roman"/>
        </w:rPr>
        <w:t xml:space="preserve"> to inform management decisions for fisheries throughout the river. Fish </w:t>
      </w:r>
      <w:r w:rsidR="004A41B6">
        <w:rPr>
          <w:rFonts w:ascii="Garamond" w:hAnsi="Garamond" w:cs="Times New Roman"/>
        </w:rPr>
        <w:t>were</w:t>
      </w:r>
      <w:r w:rsidR="00AA4630">
        <w:rPr>
          <w:rFonts w:ascii="Garamond" w:hAnsi="Garamond" w:cs="Times New Roman"/>
        </w:rPr>
        <w:t xml:space="preserve"> sampled</w:t>
      </w:r>
      <w:r w:rsidR="00473B48">
        <w:rPr>
          <w:rFonts w:ascii="Garamond" w:hAnsi="Garamond" w:cs="Times New Roman"/>
        </w:rPr>
        <w:t xml:space="preserve"> using gillnets</w:t>
      </w:r>
      <w:r w:rsidR="00AA4630">
        <w:rPr>
          <w:rFonts w:ascii="Garamond" w:hAnsi="Garamond" w:cs="Times New Roman"/>
        </w:rPr>
        <w:t xml:space="preserve"> throughout the full return migration window, and are assumed to </w:t>
      </w:r>
      <w:r>
        <w:rPr>
          <w:rFonts w:ascii="Garamond" w:hAnsi="Garamond" w:cs="Times New Roman"/>
        </w:rPr>
        <w:t>represent</w:t>
      </w:r>
      <w:r w:rsidR="0030774A">
        <w:rPr>
          <w:rFonts w:ascii="Garamond" w:hAnsi="Garamond" w:cs="Times New Roman"/>
        </w:rPr>
        <w:t xml:space="preserve"> the</w:t>
      </w:r>
      <w:r w:rsidR="00473B48">
        <w:rPr>
          <w:rFonts w:ascii="Garamond" w:hAnsi="Garamond" w:cs="Times New Roman"/>
        </w:rPr>
        <w:t xml:space="preserve"> shifting</w:t>
      </w:r>
      <w:r w:rsidR="0030774A">
        <w:rPr>
          <w:rFonts w:ascii="Garamond" w:hAnsi="Garamond" w:cs="Times New Roman"/>
        </w:rPr>
        <w:t xml:space="preserve"> distribution of </w:t>
      </w:r>
      <w:r>
        <w:rPr>
          <w:rFonts w:ascii="Garamond" w:hAnsi="Garamond" w:cs="Times New Roman"/>
        </w:rPr>
        <w:t xml:space="preserve"> </w:t>
      </w:r>
      <w:r w:rsidR="00473B48">
        <w:rPr>
          <w:rFonts w:ascii="Garamond" w:hAnsi="Garamond" w:cs="Times New Roman"/>
        </w:rPr>
        <w:t xml:space="preserve">returning </w:t>
      </w:r>
      <w:r>
        <w:rPr>
          <w:rFonts w:ascii="Garamond" w:hAnsi="Garamond" w:cs="Times New Roman"/>
        </w:rPr>
        <w:t xml:space="preserve">stocks </w:t>
      </w:r>
      <w:r w:rsidR="00473B48">
        <w:rPr>
          <w:rFonts w:ascii="Garamond" w:hAnsi="Garamond" w:cs="Times New Roman"/>
        </w:rPr>
        <w:t xml:space="preserve">that </w:t>
      </w:r>
      <w:r w:rsidR="0030774A">
        <w:rPr>
          <w:rFonts w:ascii="Garamond" w:hAnsi="Garamond" w:cs="Times New Roman"/>
        </w:rPr>
        <w:t>comprise the run at any given time</w:t>
      </w:r>
      <w:r>
        <w:rPr>
          <w:rFonts w:ascii="Garamond" w:hAnsi="Garamond" w:cs="Times New Roman"/>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(Lipka &amp; Elison, 2015)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Although this sample set does not capture fish which spawn below Bethel, nearly all Chinook salmon returning to the Kuskokwim River spawn above this location. Contributing partners collected approximately 500 otoliths annually from 2017-2022, ensuring sampling efforts over the full course of the run. From these, approximately 250 otoliths</w:t>
      </w:r>
      <w:r w:rsidR="00857F51">
        <w:rPr>
          <w:rFonts w:ascii="Garamond" w:eastAsia="Times New Roman" w:hAnsi="Garamond" w:cs="Times New Roman"/>
          <w:kern w:val="0"/>
          <w14:ligatures w14:val="none"/>
        </w:rPr>
        <w:t xml:space="preserve"> per year</w:t>
      </w:r>
      <w:r>
        <w:rPr>
          <w:rFonts w:ascii="Garamond" w:eastAsia="Times New Roman" w:hAnsi="Garamond" w:cs="Times New Roman"/>
          <w:kern w:val="0"/>
          <w14:ligatures w14:val="none"/>
        </w:rPr>
        <w:t xml:space="preserve"> were selected for chemical analysis in proportion to the relative CPUE throughout the season</w:t>
      </w:r>
      <w:r w:rsidR="00301B81">
        <w:rPr>
          <w:rFonts w:ascii="Garamond" w:eastAsia="Times New Roman" w:hAnsi="Garamond" w:cs="Times New Roman"/>
          <w:kern w:val="0"/>
          <w14:ligatures w14:val="none"/>
        </w:rPr>
        <w:t xml:space="preserve"> (Supp. Fig. 1)</w:t>
      </w:r>
    </w:p>
    <w:p w14:paraId="08A34DF9" w14:textId="1EF81052" w:rsidR="009D5982" w:rsidRDefault="00313CB8" w:rsidP="00175DEB">
      <w:pPr>
        <w:spacing w:line="480" w:lineRule="auto"/>
        <w:rPr>
          <w:rFonts w:ascii="Garamond" w:eastAsia="Times New Roman" w:hAnsi="Garamond" w:cs="Times New Roman"/>
          <w:b/>
          <w:bCs/>
          <w:kern w:val="0"/>
          <w14:ligatures w14:val="none"/>
        </w:rPr>
      </w:pPr>
      <w:r>
        <w:rPr>
          <w:rFonts w:ascii="Garamond" w:hAnsi="Garamond" w:cs="Times New Roman"/>
        </w:rPr>
        <w:t xml:space="preserve">Otoliths were </w:t>
      </w:r>
      <w:r>
        <w:rPr>
          <w:rFonts w:ascii="Garamond" w:eastAsia="Times New Roman" w:hAnsi="Garamond" w:cs="Times New Roman"/>
          <w:kern w:val="0"/>
          <w14:ligatures w14:val="none"/>
        </w:rPr>
        <w:t xml:space="preserve">sectioned with a low-speed diamond-blade Isomet saw along the transverse plane, mounted on microscope slides, and polished to expose internal growth structures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 xml:space="preserve">(Donohoe &amp; </w:t>
      </w:r>
      <w:r>
        <w:rPr>
          <w:rFonts w:ascii="Garamond" w:eastAsia="Times New Roman" w:hAnsi="Garamond" w:cs="Times New Roman"/>
          <w:noProof/>
          <w:kern w:val="0"/>
          <w14:ligatures w14:val="none"/>
        </w:rPr>
        <w:lastRenderedPageBreak/>
        <w:t>Zimmerman, 2010; Zimmerman &amp; Reeves, 2002)</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(identified by the dark annuli check indicative of marine entry) </w:t>
      </w:r>
      <w:r>
        <w:rPr>
          <w:rFonts w:ascii="Garamond" w:hAnsi="Garamond" w:cs="Times New Roman"/>
        </w:rPr>
        <w:t xml:space="preserve">using a 53 </w:t>
      </w:r>
      <w:r>
        <w:rPr>
          <w:rFonts w:ascii="Garamond" w:hAnsi="Garamond" w:cs="Times New Roman"/>
        </w:rPr>
        <w:sym w:font="Symbol" w:char="F06D"/>
      </w:r>
      <w:r>
        <w:rPr>
          <w:rFonts w:ascii="Garamond" w:hAnsi="Garamond" w:cs="Times New Roman"/>
        </w:rPr>
        <w:t xml:space="preserve">m diameter beam and scanning at 2 </w:t>
      </w:r>
      <w:r>
        <w:rPr>
          <w:rFonts w:ascii="Garamond" w:hAnsi="Garamond" w:cs="Times New Roman"/>
        </w:rPr>
        <w:sym w:font="Symbol" w:char="F06D"/>
      </w:r>
      <w:r>
        <w:rPr>
          <w:rFonts w:ascii="Garamond" w:hAnsi="Garamond" w:cs="Times New Roman"/>
        </w:rPr>
        <w:t>m/second</w:t>
      </w:r>
      <w:r w:rsidR="009D5982">
        <w:rPr>
          <w:rFonts w:ascii="Garamond" w:eastAsia="Times New Roman" w:hAnsi="Garamond" w:cs="Times New Roman"/>
          <w:kern w:val="0"/>
          <w14:ligatures w14:val="none"/>
        </w:rPr>
        <w:t xml:space="preserve"> </w:t>
      </w:r>
      <w:commentRangeStart w:id="0"/>
      <w:r w:rsidR="009D5982" w:rsidRPr="00646BBC">
        <w:rPr>
          <w:rFonts w:ascii="Garamond" w:eastAsia="Times New Roman" w:hAnsi="Garamond" w:cs="Times New Roman"/>
          <w:kern w:val="0"/>
          <w:highlight w:val="yellow"/>
          <w14:ligatures w14:val="none"/>
        </w:rPr>
        <w:t>(Supp</w:t>
      </w:r>
      <w:r w:rsidR="00301B81">
        <w:rPr>
          <w:rFonts w:ascii="Garamond" w:eastAsia="Times New Roman" w:hAnsi="Garamond" w:cs="Times New Roman"/>
          <w:kern w:val="0"/>
          <w:highlight w:val="yellow"/>
          <w14:ligatures w14:val="none"/>
        </w:rPr>
        <w:t>. 1</w:t>
      </w:r>
      <w:r w:rsidR="009D5982" w:rsidRPr="00646BBC">
        <w:rPr>
          <w:rFonts w:ascii="Garamond" w:eastAsia="Times New Roman" w:hAnsi="Garamond" w:cs="Times New Roman"/>
          <w:kern w:val="0"/>
          <w:highlight w:val="yellow"/>
          <w14:ligatures w14:val="none"/>
        </w:rPr>
        <w:t>).</w:t>
      </w:r>
      <w:r>
        <w:rPr>
          <w:rFonts w:ascii="Garamond" w:eastAsia="Times New Roman" w:hAnsi="Garamond" w:cs="Times New Roman"/>
          <w:kern w:val="0"/>
          <w:sz w:val="22"/>
          <w:szCs w:val="22"/>
          <w14:ligatures w14:val="none"/>
        </w:rPr>
        <w:t xml:space="preserve"> </w:t>
      </w:r>
      <w:commentRangeEnd w:id="0"/>
      <w:r w:rsidR="009D5982">
        <w:rPr>
          <w:rStyle w:val="CommentReference"/>
          <w:rFonts w:ascii="Garamond" w:eastAsia="Times New Roman" w:hAnsi="Garamond" w:cs="Times New Roman"/>
          <w:kern w:val="0"/>
          <w:sz w:val="24"/>
          <w:szCs w:val="24"/>
          <w14:ligatures w14:val="none"/>
        </w:rPr>
        <w:commentReference w:id="0"/>
      </w:r>
      <w:r>
        <w:rPr>
          <w:rFonts w:ascii="Garamond" w:eastAsia="Times New Roman" w:hAnsi="Garamond" w:cs="Times New Roman"/>
          <w:kern w:val="0"/>
          <w14:ligatures w14:val="none"/>
        </w:rPr>
        <w:t xml:space="preserve">The resulting data represent a continuously integrated measurement of </w:t>
      </w:r>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r>
        <w:rPr>
          <w:rFonts w:ascii="Garamond" w:eastAsia="Times New Roman" w:hAnsi="Garamond" w:cs="Times New Roman"/>
          <w:kern w:val="0"/>
          <w14:ligatures w14:val="none"/>
        </w:rPr>
        <w:t xml:space="preserve">from early development until marine entry </w:t>
      </w:r>
      <w:r>
        <w:rPr>
          <w:rFonts w:ascii="Garamond" w:eastAsia="Times New Roman" w:hAnsi="Garamond" w:cs="Times New Roman"/>
          <w:kern w:val="0"/>
          <w14:ligatures w14:val="none"/>
        </w:rPr>
        <w:fldChar w:fldCharType="begin"/>
      </w:r>
      <w:r w:rsidR="00417AEA">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1998)","dontUpdate":true,"noteIndex":0},"citationItems":[{"id":"6JYUnuDD/DjZU0x8k","uris":["http://zotero.org/users/8421274/items/IY3FLHLM"],"itemData":{"id":"dI01jIsp/qEdWN4pU","type":"article-journal","abstract":"Strontium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2015; Campana, 1999)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From these data, the </w:t>
      </w:r>
      <w:r w:rsidR="0033663A">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Sr value associated with the natal freshwater rearing period was extracted by examining patterns of change in </w:t>
      </w:r>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r>
        <w:rPr>
          <w:rFonts w:ascii="Garamond" w:eastAsia="Times New Roman" w:hAnsi="Garamond" w:cs="Times New Roman"/>
          <w:kern w:val="0"/>
          <w14:ligatures w14:val="none"/>
        </w:rPr>
        <w:t xml:space="preserve">and </w:t>
      </w:r>
      <w:r w:rsidR="00581DBC">
        <w:rPr>
          <w:rFonts w:ascii="Garamond" w:eastAsia="Times New Roman" w:hAnsi="Garamond" w:cs="Times New Roman"/>
          <w:kern w:val="0"/>
          <w:vertAlign w:val="superscript"/>
          <w14:ligatures w14:val="none"/>
        </w:rPr>
        <w:t>88</w:t>
      </w:r>
      <w:r>
        <w:rPr>
          <w:rFonts w:ascii="Garamond" w:eastAsia="Times New Roman" w:hAnsi="Garamond" w:cs="Times New Roman"/>
          <w:kern w:val="0"/>
          <w14:ligatures w14:val="none"/>
        </w:rPr>
        <w:t xml:space="preserve">Sr between the core and freshwater region, morphological features of the otolith visible along the ablation path, and </w:t>
      </w:r>
      <w:r w:rsidR="004A41B6">
        <w:rPr>
          <w:rFonts w:ascii="Garamond" w:eastAsia="Times New Roman" w:hAnsi="Garamond" w:cs="Times New Roman"/>
          <w:kern w:val="0"/>
          <w14:ligatures w14:val="none"/>
        </w:rPr>
        <w:t>guided by established</w:t>
      </w:r>
      <w:r>
        <w:rPr>
          <w:rFonts w:ascii="Garamond" w:eastAsia="Times New Roman" w:hAnsi="Garamond" w:cs="Times New Roman"/>
          <w:kern w:val="0"/>
          <w14:ligatures w14:val="none"/>
        </w:rPr>
        <w:t xml:space="preserve"> distances </w:t>
      </w:r>
      <w:r w:rsidR="00581DBC" w:rsidRPr="00646BBC">
        <w:rPr>
          <w:rFonts w:ascii="Garamond" w:eastAsia="Times New Roman" w:hAnsi="Garamond" w:cs="Times New Roman"/>
          <w:kern w:val="0"/>
          <w14:ligatures w14:val="none"/>
        </w:rPr>
        <w:t>(~120-150 µm)</w:t>
      </w:r>
      <w:r w:rsidR="00581DBC">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t xml:space="preserve">from the </w:t>
      </w:r>
      <w:r w:rsidR="00581DBC">
        <w:rPr>
          <w:rFonts w:ascii="Garamond" w:eastAsia="Times New Roman" w:hAnsi="Garamond" w:cs="Times New Roman"/>
          <w:kern w:val="0"/>
          <w14:ligatures w14:val="none"/>
        </w:rPr>
        <w:t>core to</w:t>
      </w:r>
      <w:r>
        <w:rPr>
          <w:rFonts w:ascii="Garamond" w:eastAsia="Times New Roman" w:hAnsi="Garamond" w:cs="Times New Roman"/>
          <w:kern w:val="0"/>
          <w14:ligatures w14:val="none"/>
        </w:rPr>
        <w:t xml:space="preserve"> onset of the freshwater signal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 Chittaro et al., 2023)</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sidR="007D796E">
        <w:rPr>
          <w:rFonts w:ascii="Garamond" w:eastAsia="Times New Roman" w:hAnsi="Garamond" w:cs="Times New Roman"/>
          <w:kern w:val="0"/>
          <w14:ligatures w14:val="none"/>
        </w:rPr>
        <w:t xml:space="preserve"> We used </w:t>
      </w:r>
      <w:r w:rsidR="0033663A">
        <w:rPr>
          <w:rFonts w:ascii="Garamond" w:eastAsia="Times New Roman" w:hAnsi="Garamond" w:cs="Times New Roman"/>
          <w:kern w:val="0"/>
          <w:vertAlign w:val="superscript"/>
          <w14:ligatures w14:val="none"/>
        </w:rPr>
        <w:t>88</w:t>
      </w:r>
      <w:r w:rsidR="00221CA6">
        <w:rPr>
          <w:rFonts w:ascii="Garamond" w:eastAsia="Times New Roman" w:hAnsi="Garamond" w:cs="Times New Roman"/>
          <w:kern w:val="0"/>
          <w14:ligatures w14:val="none"/>
        </w:rPr>
        <w:t xml:space="preserve">Sr as a proxy for </w:t>
      </w:r>
      <w:r w:rsidR="007D796E">
        <w:rPr>
          <w:rFonts w:ascii="Garamond" w:eastAsia="Times New Roman" w:hAnsi="Garamond" w:cs="Times New Roman"/>
          <w:kern w:val="0"/>
          <w14:ligatures w14:val="none"/>
        </w:rPr>
        <w:t>total strontium</w:t>
      </w:r>
      <w:r w:rsidR="00221CA6">
        <w:rPr>
          <w:rFonts w:ascii="Garamond" w:eastAsia="Times New Roman" w:hAnsi="Garamond" w:cs="Times New Roman"/>
          <w:kern w:val="0"/>
          <w14:ligatures w14:val="none"/>
        </w:rPr>
        <w:t xml:space="preserve"> concentration, which is expected to be much higher in </w:t>
      </w:r>
      <w:r w:rsidR="007D796E">
        <w:rPr>
          <w:rFonts w:ascii="Garamond" w:eastAsia="Times New Roman" w:hAnsi="Garamond" w:cs="Times New Roman"/>
          <w:kern w:val="0"/>
          <w14:ligatures w14:val="none"/>
        </w:rPr>
        <w:t>both the</w:t>
      </w:r>
      <w:r w:rsidR="00221CA6">
        <w:rPr>
          <w:rFonts w:ascii="Garamond" w:eastAsia="Times New Roman" w:hAnsi="Garamond" w:cs="Times New Roman"/>
          <w:kern w:val="0"/>
          <w14:ligatures w14:val="none"/>
        </w:rPr>
        <w:t xml:space="preserve"> marine environment </w:t>
      </w:r>
      <w:r w:rsidR="007D796E">
        <w:rPr>
          <w:rFonts w:ascii="Garamond" w:eastAsia="Times New Roman" w:hAnsi="Garamond" w:cs="Times New Roman"/>
          <w:kern w:val="0"/>
          <w14:ligatures w14:val="none"/>
        </w:rPr>
        <w:t xml:space="preserve">and the </w:t>
      </w:r>
      <w:r w:rsidR="00221CA6">
        <w:rPr>
          <w:rFonts w:ascii="Garamond" w:eastAsia="Times New Roman" w:hAnsi="Garamond" w:cs="Times New Roman"/>
          <w:kern w:val="0"/>
          <w14:ligatures w14:val="none"/>
        </w:rPr>
        <w:t>maternally influenced core</w:t>
      </w:r>
      <w:r w:rsidR="007D796E">
        <w:rPr>
          <w:rFonts w:ascii="Garamond" w:eastAsia="Times New Roman" w:hAnsi="Garamond" w:cs="Times New Roman"/>
          <w:kern w:val="0"/>
          <w14:ligatures w14:val="none"/>
        </w:rPr>
        <w:t xml:space="preserve"> region of the otolith</w:t>
      </w:r>
      <w:r w:rsidR="00221CA6">
        <w:rPr>
          <w:rFonts w:ascii="Garamond" w:eastAsia="Times New Roman" w:hAnsi="Garamond" w:cs="Times New Roman"/>
          <w:kern w:val="0"/>
          <w14:ligatures w14:val="none"/>
        </w:rPr>
        <w:t>.</w:t>
      </w:r>
      <w:r w:rsidR="00581DBC">
        <w:rPr>
          <w:rFonts w:ascii="Garamond" w:eastAsia="Times New Roman" w:hAnsi="Garamond" w:cs="Times New Roman"/>
          <w:kern w:val="0"/>
          <w14:ligatures w14:val="none"/>
        </w:rPr>
        <w:t xml:space="preserve"> The </w:t>
      </w:r>
      <w:r w:rsidR="00581DBC">
        <w:rPr>
          <w:rFonts w:ascii="Garamond" w:eastAsia="Times New Roman" w:hAnsi="Garamond" w:cs="Times New Roman"/>
          <w:kern w:val="0"/>
          <w:vertAlign w:val="superscript"/>
          <w14:ligatures w14:val="none"/>
        </w:rPr>
        <w:t>88</w:t>
      </w:r>
      <w:r w:rsidR="00581DBC">
        <w:rPr>
          <w:rFonts w:ascii="Garamond" w:eastAsia="Times New Roman" w:hAnsi="Garamond" w:cs="Times New Roman"/>
          <w:kern w:val="0"/>
          <w14:ligatures w14:val="none"/>
        </w:rPr>
        <w:t xml:space="preserve">Sr signal collected along the ablation path was therefore used to inform </w:t>
      </w:r>
      <w:r w:rsidR="004A41B6">
        <w:rPr>
          <w:rFonts w:ascii="Garamond" w:eastAsia="Times New Roman" w:hAnsi="Garamond" w:cs="Times New Roman"/>
          <w:kern w:val="0"/>
          <w14:ligatures w14:val="none"/>
        </w:rPr>
        <w:t>the location of full</w:t>
      </w:r>
      <w:r w:rsidR="00581DBC">
        <w:rPr>
          <w:rFonts w:ascii="Garamond" w:eastAsia="Times New Roman" w:hAnsi="Garamond" w:cs="Times New Roman"/>
          <w:kern w:val="0"/>
          <w14:ligatures w14:val="none"/>
        </w:rPr>
        <w:t xml:space="preserve"> depletion of the maternal signature and </w:t>
      </w:r>
      <w:r w:rsidR="004A41B6">
        <w:rPr>
          <w:rFonts w:ascii="Garamond" w:eastAsia="Times New Roman" w:hAnsi="Garamond" w:cs="Times New Roman"/>
          <w:kern w:val="0"/>
          <w14:ligatures w14:val="none"/>
        </w:rPr>
        <w:t xml:space="preserve">the </w:t>
      </w:r>
      <w:r w:rsidR="00581DBC">
        <w:rPr>
          <w:rFonts w:ascii="Garamond" w:eastAsia="Times New Roman" w:hAnsi="Garamond" w:cs="Times New Roman"/>
          <w:kern w:val="0"/>
          <w14:ligatures w14:val="none"/>
        </w:rPr>
        <w:t>onset of the marine signal for manual selection of the natal origin region.</w:t>
      </w:r>
    </w:p>
    <w:p w14:paraId="696145BD" w14:textId="1982FBC3" w:rsidR="00B857E3" w:rsidRPr="008605CB" w:rsidRDefault="007C6331" w:rsidP="00646BBC">
      <w:pPr>
        <w:spacing w:line="480" w:lineRule="auto"/>
        <w:ind w:firstLine="720"/>
        <w:rPr>
          <w:rFonts w:ascii="Garamond" w:eastAsia="Times New Roman" w:hAnsi="Garamond" w:cs="Times New Roman"/>
          <w:b/>
          <w:bCs/>
          <w:kern w:val="0"/>
          <w14:ligatures w14:val="none"/>
        </w:rPr>
      </w:pPr>
      <w:r>
        <w:rPr>
          <w:rFonts w:ascii="Garamond" w:eastAsia="Times New Roman" w:hAnsi="Garamond" w:cs="Times New Roman"/>
          <w:b/>
          <w:bCs/>
          <w:kern w:val="0"/>
          <w14:ligatures w14:val="none"/>
        </w:rPr>
        <w:t xml:space="preserve">2.2 Natal Origin Estimation </w:t>
      </w:r>
    </w:p>
    <w:p w14:paraId="0305AF90" w14:textId="55F99C84" w:rsidR="00B857E3" w:rsidRPr="008605CB" w:rsidRDefault="00B857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A strontium isoscape of the Kuskokwim River basin (Fig. 1) was constructed by French et al. (2020) in which spatial variation in </w:t>
      </w:r>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r>
        <w:rPr>
          <w:rFonts w:ascii="Garamond" w:eastAsia="Times New Roman" w:hAnsi="Garamond" w:cs="Times New Roman"/>
          <w:kern w:val="0"/>
          <w14:ligatures w14:val="none"/>
        </w:rPr>
        <w:t xml:space="preserve">ratios across the river basin was modeled using spatial stream network modeling (SSNM) derived from water samples collected throughout the river basin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(French et al., 2020, N = 120)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The resulting isoscape includes estimates of </w:t>
      </w:r>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r>
        <w:rPr>
          <w:rFonts w:ascii="Garamond" w:hAnsi="Garamond" w:cs="Times New Roman"/>
        </w:rPr>
        <w:t>ratios and associated uncertainty for roughly every 1km of river length across the basin (Fig. 1)</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2016; Ver Hoef &amp; Peterson, 2010)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r>
        <w:rPr>
          <w:rFonts w:ascii="Garamond" w:hAnsi="Garamond" w:cs="Times New Roman"/>
        </w:rPr>
        <w:t xml:space="preserve">To prevent over-assignment to tributaries with exceptionally low prediction error, uncertainty values were constrained to 0.0006 and above. This threshold was </w:t>
      </w:r>
      <w:r>
        <w:rPr>
          <w:rFonts w:ascii="Garamond" w:hAnsi="Garamond" w:cs="Times New Roman"/>
        </w:rPr>
        <w:lastRenderedPageBreak/>
        <w:t xml:space="preserve">selected by visually examining the histogram for a cutoff which adjusted the values for a small number of exceedingly low uncertainty tributaries (those near extensive sampling) while maintaining the general error distribution from the original SSN model. </w:t>
      </w:r>
    </w:p>
    <w:p w14:paraId="417575B8" w14:textId="49F42A35" w:rsidR="009833DB" w:rsidRPr="008605CB" w:rsidRDefault="002A3F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Posterior probability values were calculated for assigning all fish to potential tributary segments across the river basin using a geographically continuous Bayesian framework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This approach considers the relationship between extracted natal origin otolith </w:t>
      </w:r>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r>
        <w:rPr>
          <w:rFonts w:ascii="Garamond" w:eastAsia="Times New Roman" w:hAnsi="Garamond" w:cs="Times New Roman"/>
          <w:kern w:val="0"/>
          <w14:ligatures w14:val="none"/>
        </w:rPr>
        <w:t>values as well as several variance generating processes</w:t>
      </w:r>
      <w:r w:rsidR="00581DBC">
        <w:rPr>
          <w:rFonts w:ascii="Garamond" w:eastAsia="Times New Roman" w:hAnsi="Garamond" w:cs="Times New Roman"/>
          <w:kern w:val="0"/>
          <w14:ligatures w14:val="none"/>
        </w:rPr>
        <w:t xml:space="preserve"> </w:t>
      </w:r>
      <w:r w:rsidR="0080518D" w:rsidRPr="0080518D">
        <w:rPr>
          <w:rFonts w:ascii="Garamond" w:eastAsia="Times New Roman" w:hAnsi="Garamond" w:cs="Times New Roman"/>
          <w:kern w:val="0"/>
          <w14:ligatures w14:val="none"/>
        </w:rPr>
        <w:t>includ</w:t>
      </w:r>
      <w:r w:rsidR="00581DBC">
        <w:rPr>
          <w:rFonts w:ascii="Garamond" w:eastAsia="Times New Roman" w:hAnsi="Garamond" w:cs="Times New Roman"/>
          <w:kern w:val="0"/>
          <w14:ligatures w14:val="none"/>
        </w:rPr>
        <w:t>ing</w:t>
      </w:r>
      <w:r w:rsidR="0080518D" w:rsidRPr="0080518D">
        <w:rPr>
          <w:rFonts w:ascii="Garamond" w:eastAsia="Times New Roman" w:hAnsi="Garamond" w:cs="Times New Roman"/>
          <w:kern w:val="0"/>
          <w14:ligatures w14:val="none"/>
        </w:rPr>
        <w:t xml:space="preserve"> analytical error (variation among repeated standard measurements; 0.000055), within-population error (variation among individuals at the same site; 0.00016), and isoscape error (uncertainty in isoscape model predictions; basin-wide mean = 0.00072)</w:t>
      </w:r>
      <w:r w:rsidR="003224CC">
        <w:rPr>
          <w:rFonts w:ascii="Garamond" w:eastAsia="Times New Roman" w:hAnsi="Garamond" w:cs="Times New Roman"/>
          <w:kern w:val="0"/>
          <w14:ligatures w14:val="none"/>
        </w:rPr>
        <w:t xml:space="preserve"> </w:t>
      </w:r>
      <w:r w:rsidR="00301B81">
        <w:rPr>
          <w:rFonts w:ascii="Garamond" w:eastAsia="Times New Roman" w:hAnsi="Garamond" w:cs="Times New Roman"/>
          <w:kern w:val="0"/>
          <w14:ligatures w14:val="none"/>
        </w:rPr>
        <w:fldChar w:fldCharType="begin"/>
      </w:r>
      <w:r w:rsidR="00301B81">
        <w:rPr>
          <w:rFonts w:ascii="Garamond" w:eastAsia="Times New Roman" w:hAnsi="Garamond" w:cs="Times New Roman"/>
          <w:kern w:val="0"/>
          <w14:ligatures w14:val="none"/>
        </w:rPr>
        <w:instrText xml:space="preserve"> ADDIN ZOTERO_ITEM CSL_CITATION {"citationID":"LON0UIcM","properties":{"unsorted":false,"formattedCitation":"(Brennan, Fernandez, et al., 2015; French et al., 2020)","plainCitation":"(Brennan, Fernandez, et al., 2015; French et al., 2020)","noteIndex":0},"citationItems":[{"id":1702,"uris":["http://zotero.org/users/8421274/items/5X76EVEF"],"itemData":{"id":1702,"type":"article-journal","abstract":"Heterogeneity in 87Sr/86Sr ratios of river-dissolved strontium (Sr) across geologically diverse environments provides a useful tool for investigating provenance, connectivity and movement patterns of various organisms and materials. Evaluation of site-specific 87Sr/86Sr temporal variability throughout study regions is a prerequisite for provenance research, but the dynamics driving temporal variability are generally system-dependent and not accurately predictable. We used the time-keeping properties of otoliths from non-migratory slimy sculpin (Cottus cognatus) to evaluate multi-scale 87Sr/86Sr temporal variability of river waters throughout the Nushagak River, a large (34,700km2) remote watershed in Alaska, USA. Slimy sculpin otoliths incorporated site-specific temporal variation at sub-annual resolution and were able to record on the order of 0.0001 changes in the 87Sr/86Sr ratio. 87Sr/86Sr profiles of slimy sculpin collected in tributaries and main-stem channels of the upper watershed indicated that these regions were temporally stable, whereas the Lower Nushagak River exhibited some spatio-temporal variability. This study illustrates how the behavioral ecology of a non-migratory organism can be used to evaluate sub-annual 87Sr/86Sr temporal variability and has broad implications for provenance studies employing this tracer.","container-title":"Geochimica et Cosmochimica Acta","DOI":"10.1016/j.gca.2014.10.032","ISSN":"0016-7037","journalAbbreviation":"Geochimica et Cosmochimica Acta","language":"en","page":"32-45","source":"ScienceDirect","title":"Strontium isotopes in otoliths of a non-migratory fish (slimy sculpin): Implications for provenance studies","title-short":"Strontium isotopes in otoliths of a non-migratory fish (slimy sculpin)","volume":"149","author":[{"family":"Brennan","given":"Sean R."},{"family":"Fernandez","given":"Diego P."},{"family":"Zimmerman","given":"Christian E."},{"family":"Cerling","given":"Thure E."},{"family":"Brown","given":"Randy J."},{"family":"Wooller","given":"Matthew J."}],"issued":{"date-parts":[["2015",1,15]]}}},{"id":1684,"uris":["http://zotero.org/users/8421274/items/M654PKRJ"],"itemData":{"id":1684,"type":"article-journal","abstract":"Riverine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301B81">
        <w:rPr>
          <w:rFonts w:ascii="Garamond" w:eastAsia="Times New Roman" w:hAnsi="Garamond" w:cs="Times New Roman"/>
          <w:kern w:val="0"/>
          <w14:ligatures w14:val="none"/>
        </w:rPr>
        <w:fldChar w:fldCharType="separate"/>
      </w:r>
      <w:r w:rsidR="00301B81">
        <w:rPr>
          <w:rFonts w:ascii="Garamond" w:eastAsia="Times New Roman" w:hAnsi="Garamond" w:cs="Times New Roman"/>
          <w:noProof/>
          <w:kern w:val="0"/>
          <w14:ligatures w14:val="none"/>
        </w:rPr>
        <w:t>(Brennan, Fernandez, et al., 2015; French et al., 2020)</w:t>
      </w:r>
      <w:r w:rsidR="00301B81">
        <w:rPr>
          <w:rFonts w:ascii="Garamond" w:eastAsia="Times New Roman" w:hAnsi="Garamond" w:cs="Times New Roman"/>
          <w:kern w:val="0"/>
          <w14:ligatures w14:val="none"/>
        </w:rPr>
        <w:fldChar w:fldCharType="end"/>
      </w:r>
      <w:r w:rsidR="004A41B6">
        <w:rPr>
          <w:rFonts w:ascii="Garamond" w:eastAsia="Times New Roman" w:hAnsi="Garamond" w:cs="Times New Roman"/>
          <w:kern w:val="0"/>
          <w14:ligatures w14:val="none"/>
        </w:rPr>
        <w:t xml:space="preserve">. </w:t>
      </w:r>
      <w:r>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Pr>
          <w:rFonts w:ascii="Garamond" w:hAnsi="Garamond" w:cs="Times New Roman"/>
        </w:rPr>
        <w:t xml:space="preserve">Posterior probability values for each tributary (j) were then calculated using Bayes’ theorem </w:t>
      </w:r>
      <w:r>
        <w:rPr>
          <w:rFonts w:ascii="Garamond" w:hAnsi="Garamond" w:cs="Times New Roman"/>
        </w:rPr>
        <w:fldChar w:fldCharType="begin"/>
      </w:r>
      <w:r>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Wunder, 2010)</w:t>
      </w:r>
      <w:r>
        <w:rPr>
          <w:rFonts w:ascii="Garamond" w:hAnsi="Garamond" w:cs="Times New Roman"/>
        </w:rPr>
        <w:fldChar w:fldCharType="end"/>
      </w:r>
      <w:r>
        <w:rPr>
          <w:rFonts w:ascii="Garamond" w:hAnsi="Garamond" w:cs="Times New Roman"/>
        </w:rPr>
        <w:t>;</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37040081" w:rsidR="0082206F" w:rsidRPr="008605CB" w:rsidRDefault="009833DB" w:rsidP="00B857E3">
      <w:pPr>
        <w:spacing w:line="480" w:lineRule="auto"/>
        <w:ind w:firstLine="720"/>
        <w:rPr>
          <w:rFonts w:ascii="Garamond" w:hAnsi="Garamond" w:cs="Times New Roman"/>
        </w:rPr>
      </w:pPr>
      <w:r>
        <w:rPr>
          <w:rFonts w:ascii="Garamond" w:hAnsi="Garamond" w:cs="Times New Roman"/>
        </w:rPr>
        <w:t xml:space="preserve">The probability of an individual assigning to tributary </w:t>
      </w:r>
      <w:r>
        <w:rPr>
          <w:rFonts w:ascii="Garamond" w:hAnsi="Garamond" w:cs="Times New Roman"/>
          <w:i/>
          <w:iCs/>
        </w:rPr>
        <w:t>j</w:t>
      </w:r>
      <w:r>
        <w:rPr>
          <w:rFonts w:ascii="Garamond" w:hAnsi="Garamond" w:cs="Times New Roman"/>
        </w:rPr>
        <w:t xml:space="preserve"> is defined as the product of the probability of the isotope ratio in the otolith of an individual (</w:t>
      </w:r>
      <w:r>
        <w:rPr>
          <w:rFonts w:ascii="Garamond" w:hAnsi="Garamond" w:cs="Times New Roman"/>
          <w:i/>
          <w:iCs/>
        </w:rPr>
        <w:t>o)</w:t>
      </w:r>
      <w:r>
        <w:rPr>
          <w:rFonts w:ascii="Garamond" w:hAnsi="Garamond" w:cs="Times New Roman"/>
        </w:rPr>
        <w:t xml:space="preserve"> given the isotope ratio in tributary </w:t>
      </w:r>
      <w:r>
        <w:rPr>
          <w:rFonts w:ascii="Garamond" w:hAnsi="Garamond" w:cs="Times New Roman"/>
          <w:i/>
          <w:iCs/>
        </w:rPr>
        <w:t xml:space="preserve">j </w:t>
      </w:r>
      <w:r>
        <w:rPr>
          <w:rFonts w:ascii="Garamond" w:hAnsi="Garamond" w:cs="Times New Roman"/>
        </w:rPr>
        <w:t>(</w:t>
      </w:r>
      <w:r>
        <w:rPr>
          <w:rFonts w:ascii="Garamond" w:hAnsi="Garamond" w:cs="Times New Roman"/>
          <w:i/>
          <w:iCs/>
        </w:rPr>
        <w:t>rj</w:t>
      </w:r>
      <w:r>
        <w:rPr>
          <w:rFonts w:ascii="Garamond" w:hAnsi="Garamond" w:cs="Times New Roman"/>
        </w:rPr>
        <w:t>). The probability of the isotope ratio (</w:t>
      </w:r>
      <w:r>
        <w:rPr>
          <w:rFonts w:ascii="Garamond" w:hAnsi="Garamond" w:cs="Times New Roman"/>
          <w:i/>
          <w:iCs/>
        </w:rPr>
        <w:t>rj</w:t>
      </w:r>
      <w:r>
        <w:rPr>
          <w:rFonts w:ascii="Garamond" w:hAnsi="Garamond" w:cs="Times New Roman"/>
        </w:rPr>
        <w:t>) was assumed to be normally distributed with a mean represented by the otolith isotope ratio (</w:t>
      </w:r>
      <w:r>
        <w:rPr>
          <w:rFonts w:ascii="Garamond" w:hAnsi="Garamond" w:cs="Times New Roman"/>
          <w:i/>
          <w:iCs/>
        </w:rPr>
        <w:t>o</w:t>
      </w:r>
      <w:r>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14:ligatures w14:val="none"/>
        </w:rPr>
        <w:lastRenderedPageBreak/>
        <w:t xml:space="preserve">Several priors were included to limit assignments to areas within the river basin suitable for spawning Chinook salmon. </w:t>
      </w:r>
      <w:r>
        <w:rPr>
          <w:rFonts w:ascii="Garamond" w:hAnsi="Garamond" w:cs="Times New Roman"/>
        </w:rPr>
        <w:t xml:space="preserve">First, a </w:t>
      </w:r>
      <w:r>
        <w:rPr>
          <w:rFonts w:ascii="Garamond" w:eastAsia="Times New Roman" w:hAnsi="Garamond" w:cs="Times New Roman"/>
        </w:rPr>
        <w:t>stream order prior (</w:t>
      </w:r>
      <w:r>
        <w:rPr>
          <w:rFonts w:ascii="Garamond" w:eastAsia="Times New Roman" w:hAnsi="Garamond" w:cs="Times New Roman"/>
          <w:i/>
          <w:iCs/>
        </w:rPr>
        <w:t>PStreamOrder</w:t>
      </w:r>
      <w:r>
        <w:rPr>
          <w:rFonts w:ascii="Garamond" w:eastAsia="Times New Roman" w:hAnsi="Garamond" w:cs="Times New Roman"/>
        </w:rPr>
        <w:t>)</w:t>
      </w:r>
      <w:r>
        <w:rPr>
          <w:rFonts w:ascii="Garamond" w:hAnsi="Garamond" w:cs="Times New Roman"/>
        </w:rPr>
        <w:t xml:space="preserve"> was applied to limit assignments to tributaries with a stream order of three or greater, reflecting Chinook salmon’s known preference for spawning in larger streams </w:t>
      </w:r>
      <w:r>
        <w:rPr>
          <w:rFonts w:ascii="Garamond" w:hAnsi="Garamond" w:cs="Times New Roman"/>
        </w:rPr>
        <w:fldChar w:fldCharType="begin"/>
      </w:r>
      <w:r>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Pr>
          <w:rFonts w:ascii="Garamond" w:hAnsi="Garamond" w:cs="Times New Roman"/>
        </w:rPr>
        <w:fldChar w:fldCharType="separate"/>
      </w:r>
      <w:r>
        <w:rPr>
          <w:rFonts w:ascii="Garamond" w:hAnsi="Garamond" w:cs="Times New Roman"/>
          <w:noProof/>
        </w:rPr>
        <w:t>(Quinn, 2018)</w:t>
      </w:r>
      <w:r>
        <w:rPr>
          <w:rFonts w:ascii="Garamond" w:hAnsi="Garamond" w:cs="Times New Roman"/>
        </w:rPr>
        <w:fldChar w:fldCharType="end"/>
      </w:r>
      <w:r>
        <w:rPr>
          <w:rFonts w:ascii="Garamond" w:hAnsi="Garamond" w:cs="Times New Roman"/>
        </w:rPr>
        <w:t xml:space="preserve">. Reaches with a stream order of three or greater were included in assignments (assigned a prior value of one), while smaller tributaries were excluded (assigned a value of zero). </w:t>
      </w:r>
      <w:r>
        <w:rPr>
          <w:rFonts w:ascii="Garamond" w:eastAsia="Times New Roman" w:hAnsi="Garamond" w:cs="Times New Roman"/>
          <w:kern w:val="0"/>
          <w14:ligatures w14:val="none"/>
        </w:rPr>
        <w:t>Second, a habitat suitability prior (</w:t>
      </w:r>
      <w:r>
        <w:rPr>
          <w:rFonts w:ascii="Garamond" w:eastAsia="Times New Roman" w:hAnsi="Garamond" w:cs="Times New Roman"/>
          <w:i/>
          <w:iCs/>
          <w:kern w:val="0"/>
          <w14:ligatures w14:val="none"/>
        </w:rPr>
        <w:t>PHabitat</w:t>
      </w:r>
      <w:r>
        <w:rPr>
          <w:rFonts w:ascii="Garamond" w:eastAsia="Times New Roman" w:hAnsi="Garamond" w:cs="Times New Roman"/>
          <w:kern w:val="0"/>
          <w14:ligatures w14:val="none"/>
        </w:rPr>
        <w:t xml:space="preserve">) was used to exclude exceedingly slow or flat reaches determined to be unsuitable for spawning Chinook salmon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(Makhlouf et al.,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 xml:space="preserve">Finally, data were included on observed locations of Chinook spawners derived from USGS Arctic-Yukon-Kuskokwim (AYK) Chinook Salmon Intrinsic potential mapping, which synthesized several sources of data on observed Chinook salmon spawners into spatially referenced tributary data on the presence or absence of observations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(Falke &amp; Paul,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To avoid biasing regions without observations but with low sampling effort this prior was applied only to the two highest stream orders in the dataset (Stream order greater than five). From these tributaries, reaches identified as lacking observed Chinook spawning were assigned a value of zero.</w:t>
      </w:r>
      <w:r>
        <w:rPr>
          <w:rFonts w:ascii="Garamond" w:eastAsia="Times New Roman" w:hAnsi="Garamond" w:cs="Times New Roman"/>
          <w:kern w:val="0"/>
          <w:sz w:val="22"/>
          <w:szCs w:val="22"/>
          <w14:ligatures w14:val="none"/>
        </w:rPr>
        <w:t xml:space="preserve"> </w:t>
      </w:r>
    </w:p>
    <w:p w14:paraId="5E682EF5" w14:textId="7BAD8E49" w:rsidR="00814EE7" w:rsidRPr="008605CB" w:rsidRDefault="009110AF" w:rsidP="0070414B">
      <w:pPr>
        <w:spacing w:line="480" w:lineRule="auto"/>
        <w:ind w:firstLine="720"/>
        <w:rPr>
          <w:rFonts w:ascii="Garamond" w:hAnsi="Garamond" w:cs="Times New Roman"/>
        </w:rPr>
      </w:pPr>
      <w:r>
        <w:rPr>
          <w:rFonts w:ascii="Garamond" w:hAnsi="Garamond" w:cs="Times New Roman"/>
        </w:rPr>
        <w:t xml:space="preserve">To estimate the spatial distribution of returns across a </w:t>
      </w:r>
      <w:r w:rsidR="003224CC">
        <w:rPr>
          <w:rFonts w:ascii="Garamond" w:hAnsi="Garamond" w:cs="Times New Roman"/>
        </w:rPr>
        <w:t xml:space="preserve">temporal </w:t>
      </w:r>
      <w:r>
        <w:rPr>
          <w:rFonts w:ascii="Garamond" w:hAnsi="Garamond" w:cs="Times New Roman"/>
        </w:rPr>
        <w:t>subset of the</w:t>
      </w:r>
      <w:r w:rsidR="003224CC">
        <w:rPr>
          <w:rFonts w:ascii="Garamond" w:hAnsi="Garamond" w:cs="Times New Roman"/>
        </w:rPr>
        <w:t xml:space="preserve"> full </w:t>
      </w:r>
      <w:r w:rsidR="00AF1AE2">
        <w:rPr>
          <w:rFonts w:ascii="Garamond" w:hAnsi="Garamond" w:cs="Times New Roman"/>
        </w:rPr>
        <w:t>migration</w:t>
      </w:r>
      <w:r w:rsidR="00FB5657">
        <w:rPr>
          <w:rFonts w:ascii="Garamond" w:hAnsi="Garamond" w:cs="Times New Roman"/>
        </w:rPr>
        <w:t xml:space="preserve"> season </w:t>
      </w:r>
      <w:r>
        <w:rPr>
          <w:rFonts w:ascii="Garamond" w:hAnsi="Garamond" w:cs="Times New Roman"/>
        </w:rPr>
        <w:t>, posterior probability values for all individuals in that subset were summed at each location. Before summing, only highly likely locations (the top 30% of posterior values) were retained</w:t>
      </w:r>
      <w:r w:rsidR="0070414B">
        <w:rPr>
          <w:rFonts w:ascii="Garamond" w:hAnsi="Garamond" w:cs="Times New Roman"/>
        </w:rPr>
        <w:t xml:space="preserve"> to reduce uncertainty</w:t>
      </w:r>
      <w:r w:rsidR="0070414B" w:rsidRPr="0070414B">
        <w:rPr>
          <w:rFonts w:ascii="Garamond" w:hAnsi="Garamond" w:cs="Times New Roman"/>
        </w:rPr>
        <w:t xml:space="preserve"> from diffuse probabilities associated with unlikely assignments, thereby minimizing their influence on basin-wide results</w:t>
      </w:r>
      <w:r>
        <w:rPr>
          <w:rFonts w:ascii="Garamond" w:hAnsi="Garamond" w:cs="Times New Roman"/>
        </w:rPr>
        <w:t xml:space="preserve"> </w:t>
      </w:r>
      <w:r>
        <w:rPr>
          <w:rFonts w:ascii="Garamond" w:hAnsi="Garamond" w:cs="Times New Roman"/>
        </w:rPr>
        <w:fldChar w:fldCharType="begin"/>
      </w:r>
      <w:r>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Vander Zanden et al., 2015)</w:t>
      </w:r>
      <w:r>
        <w:rPr>
          <w:rFonts w:ascii="Garamond" w:hAnsi="Garamond" w:cs="Times New Roman"/>
        </w:rPr>
        <w:fldChar w:fldCharType="end"/>
      </w:r>
      <w:r>
        <w:rPr>
          <w:rFonts w:ascii="Garamond" w:hAnsi="Garamond" w:cs="Times New Roman"/>
        </w:rPr>
        <w:t xml:space="preserve">. We produced these estimates for four predefined temporal </w:t>
      </w:r>
      <w:r w:rsidR="00D0057C">
        <w:rPr>
          <w:rFonts w:ascii="Garamond" w:hAnsi="Garamond" w:cs="Times New Roman"/>
        </w:rPr>
        <w:t xml:space="preserve">ranges that roughly represent quartiles </w:t>
      </w:r>
      <w:r>
        <w:rPr>
          <w:rFonts w:ascii="Garamond" w:hAnsi="Garamond" w:cs="Times New Roman"/>
        </w:rPr>
        <w:t xml:space="preserve">of the salmon migration season based on capture date: Q1 (run start through June 11), Q2 (June 12-21), Q3 (June 22-July 1), and Q4 (July 2 onward). These dates were chosen to split the full run </w:t>
      </w:r>
      <w:r w:rsidR="00D0057C">
        <w:rPr>
          <w:rFonts w:ascii="Garamond" w:hAnsi="Garamond" w:cs="Times New Roman"/>
        </w:rPr>
        <w:t xml:space="preserve">into </w:t>
      </w:r>
      <w:r w:rsidR="0070414B">
        <w:rPr>
          <w:rFonts w:ascii="Garamond" w:hAnsi="Garamond" w:cs="Times New Roman"/>
        </w:rPr>
        <w:t xml:space="preserve">relatively </w:t>
      </w:r>
      <w:r w:rsidR="00D0057C">
        <w:rPr>
          <w:rFonts w:ascii="Garamond" w:hAnsi="Garamond" w:cs="Times New Roman"/>
        </w:rPr>
        <w:t xml:space="preserve">equal </w:t>
      </w:r>
      <w:r w:rsidR="00850065">
        <w:rPr>
          <w:rFonts w:ascii="Garamond" w:hAnsi="Garamond" w:cs="Times New Roman"/>
        </w:rPr>
        <w:t>quartiles, while</w:t>
      </w:r>
      <w:r>
        <w:rPr>
          <w:rFonts w:ascii="Garamond" w:hAnsi="Garamond" w:cs="Times New Roman"/>
        </w:rPr>
        <w:t xml:space="preserve"> allowing for direct comparison among years.</w:t>
      </w:r>
      <w:r w:rsidR="00D0057C">
        <w:rPr>
          <w:rFonts w:ascii="Garamond" w:hAnsi="Garamond" w:cs="Times New Roman"/>
        </w:rPr>
        <w:t xml:space="preserve"> However, because the start and end date of the return migration varied among years, the duration of Q1 and </w:t>
      </w:r>
      <w:r w:rsidR="00D0057C">
        <w:rPr>
          <w:rFonts w:ascii="Garamond" w:hAnsi="Garamond" w:cs="Times New Roman"/>
        </w:rPr>
        <w:lastRenderedPageBreak/>
        <w:t>Q4 varied</w:t>
      </w:r>
      <w:r w:rsidR="009D5982">
        <w:rPr>
          <w:rFonts w:ascii="Garamond" w:hAnsi="Garamond" w:cs="Times New Roman"/>
        </w:rPr>
        <w:t xml:space="preserve"> among years. </w:t>
      </w:r>
      <w:r>
        <w:rPr>
          <w:rFonts w:ascii="Garamond" w:hAnsi="Garamond" w:cs="Times New Roman"/>
        </w:rPr>
        <w:t xml:space="preserve">The </w:t>
      </w:r>
      <w:r w:rsidR="0070414B">
        <w:rPr>
          <w:rFonts w:ascii="Garamond" w:hAnsi="Garamond" w:cs="Times New Roman"/>
        </w:rPr>
        <w:t>end data of the first quartile (</w:t>
      </w:r>
      <w:r>
        <w:rPr>
          <w:rFonts w:ascii="Garamond" w:hAnsi="Garamond" w:cs="Times New Roman"/>
        </w:rPr>
        <w:t>June 11</w:t>
      </w:r>
      <w:r w:rsidR="0070414B">
        <w:rPr>
          <w:rFonts w:ascii="Garamond" w:hAnsi="Garamond" w:cs="Times New Roman"/>
        </w:rPr>
        <w:t>)</w:t>
      </w:r>
      <w:r>
        <w:rPr>
          <w:rFonts w:ascii="Garamond" w:hAnsi="Garamond" w:cs="Times New Roman"/>
        </w:rPr>
        <w:t xml:space="preserve"> was chosen specifically to match the end of the</w:t>
      </w:r>
      <w:r w:rsidR="00FB5657">
        <w:rPr>
          <w:rFonts w:ascii="Garamond" w:hAnsi="Garamond" w:cs="Times New Roman"/>
        </w:rPr>
        <w:t xml:space="preserve"> </w:t>
      </w:r>
      <w:r>
        <w:rPr>
          <w:rFonts w:ascii="Garamond" w:hAnsi="Garamond" w:cs="Times New Roman"/>
        </w:rPr>
        <w:t xml:space="preserve">‘front end closure’ </w:t>
      </w:r>
      <w:r w:rsidR="00FB5657">
        <w:rPr>
          <w:rFonts w:ascii="Garamond" w:hAnsi="Garamond" w:cs="Times New Roman"/>
        </w:rPr>
        <w:t xml:space="preserve">used in current management </w:t>
      </w:r>
      <w:r>
        <w:rPr>
          <w:rFonts w:ascii="Garamond" w:hAnsi="Garamond" w:cs="Times New Roman"/>
        </w:rPr>
        <w:t xml:space="preserve">of the subsistence fishery. </w:t>
      </w:r>
      <w:r w:rsidR="0070414B">
        <w:rPr>
          <w:rFonts w:ascii="Garamond" w:hAnsi="Garamond" w:cs="Times New Roman"/>
        </w:rPr>
        <w:t xml:space="preserve">In addition to within quartile estimates, these results </w:t>
      </w:r>
      <w:r>
        <w:rPr>
          <w:rFonts w:ascii="Garamond" w:hAnsi="Garamond" w:cs="Times New Roman"/>
        </w:rPr>
        <w:t xml:space="preserve">were produced for the full </w:t>
      </w:r>
      <w:r w:rsidR="00FB5657">
        <w:rPr>
          <w:rFonts w:ascii="Garamond" w:hAnsi="Garamond" w:cs="Times New Roman"/>
        </w:rPr>
        <w:t xml:space="preserve">migration season </w:t>
      </w:r>
      <w:r>
        <w:rPr>
          <w:rFonts w:ascii="Garamond" w:hAnsi="Garamond" w:cs="Times New Roman"/>
        </w:rPr>
        <w:t xml:space="preserve">in each year. </w:t>
      </w:r>
    </w:p>
    <w:p w14:paraId="38A831B5" w14:textId="669AEF09" w:rsidR="001D3E40" w:rsidRPr="008D39D2" w:rsidRDefault="00D04860" w:rsidP="008D39D2">
      <w:pPr>
        <w:spacing w:line="480" w:lineRule="auto"/>
        <w:ind w:firstLine="720"/>
        <w:rPr>
          <w:rFonts w:ascii="Garamond" w:hAnsi="Garamond"/>
        </w:rPr>
      </w:pPr>
      <w:r w:rsidRPr="00D04860">
        <w:rPr>
          <w:rFonts w:ascii="Garamond" w:hAnsi="Garamond" w:cs="Times New Roman"/>
        </w:rPr>
        <w:t>Several major tributaries were identified as focal management areas or important Chinook salmon-producing systems within the Kuskokwim River basin based on expert knowledge and consultation with regional collaborators.</w:t>
      </w:r>
      <w:r w:rsidR="0070414B">
        <w:rPr>
          <w:rFonts w:ascii="Garamond" w:hAnsi="Garamond" w:cs="Times New Roman"/>
        </w:rPr>
        <w:t xml:space="preserve"> </w:t>
      </w:r>
      <w:r w:rsidR="00E3555B">
        <w:rPr>
          <w:rFonts w:ascii="Garamond" w:hAnsi="Garamond" w:cs="Times New Roman"/>
        </w:rPr>
        <w:t>From</w:t>
      </w:r>
      <w:r w:rsidR="00E3555B">
        <w:rPr>
          <w:rStyle w:val="CommentReference"/>
          <w:rFonts w:ascii="Garamond" w:hAnsi="Garamond" w:cs="Times New Roman"/>
          <w:sz w:val="24"/>
          <w:szCs w:val="24"/>
        </w:rPr>
        <w:t xml:space="preserve"> the furthest downstream connection of each of these tributaries to the mainstem Kuskokwim River, all upstream segments were identified and assigned to a common identifier based on the name of the major tributary. Areas of the basin which were not assigned a unit identifier (e.g. portions of the mainstem Kuskokwim) were grouped into regions of comparable size and spatial relevance to ensure complete basin coverage above the location of the test fishery (Fig. 2a). </w:t>
      </w:r>
      <w:r w:rsidR="004A41B6">
        <w:rPr>
          <w:rStyle w:val="CommentReference"/>
          <w:rFonts w:ascii="Garamond" w:hAnsi="Garamond" w:cs="Times New Roman"/>
          <w:sz w:val="24"/>
          <w:szCs w:val="24"/>
        </w:rPr>
        <w:t>We then</w:t>
      </w:r>
      <w:r w:rsidR="009D5982">
        <w:rPr>
          <w:rStyle w:val="CommentReference"/>
          <w:rFonts w:ascii="Garamond" w:hAnsi="Garamond" w:cs="Times New Roman"/>
          <w:sz w:val="24"/>
          <w:szCs w:val="24"/>
        </w:rPr>
        <w:t xml:space="preserve"> </w:t>
      </w:r>
      <w:r w:rsidR="00E3555B">
        <w:rPr>
          <w:rFonts w:ascii="Garamond" w:hAnsi="Garamond" w:cs="Times New Roman"/>
        </w:rPr>
        <w:t xml:space="preserve">performed k-means clustering of initial tributary groupings using the full range of </w:t>
      </w:r>
      <w:r w:rsidR="00E3555B">
        <w:rPr>
          <w:rFonts w:ascii="Garamond" w:hAnsi="Garamond" w:cs="Times New Roman"/>
          <w:vertAlign w:val="superscript"/>
        </w:rPr>
        <w:t>87</w:t>
      </w:r>
      <w:r w:rsidR="00E3555B">
        <w:rPr>
          <w:rFonts w:ascii="Garamond" w:hAnsi="Garamond" w:cs="Times New Roman"/>
        </w:rPr>
        <w:t>Sr/</w:t>
      </w:r>
      <w:r w:rsidR="00E3555B">
        <w:rPr>
          <w:rFonts w:ascii="Garamond" w:hAnsi="Garamond" w:cs="Times New Roman"/>
          <w:vertAlign w:val="superscript"/>
        </w:rPr>
        <w:t>86</w:t>
      </w:r>
      <w:r w:rsidR="00E3555B">
        <w:rPr>
          <w:rFonts w:ascii="Garamond" w:hAnsi="Garamond" w:cs="Times New Roman"/>
        </w:rPr>
        <w:t>Sr values found in each</w:t>
      </w:r>
      <w:r w:rsidR="004A41B6">
        <w:rPr>
          <w:rFonts w:ascii="Garamond" w:hAnsi="Garamond" w:cs="Times New Roman"/>
        </w:rPr>
        <w:t xml:space="preserve"> and </w:t>
      </w:r>
      <w:r w:rsidR="00E3555B">
        <w:rPr>
          <w:rFonts w:ascii="Garamond" w:hAnsi="Garamond" w:cs="Times New Roman"/>
        </w:rPr>
        <w:t>evaluated the clustering results for a range of cluster numbers (n = 2-</w:t>
      </w:r>
      <w:r w:rsidR="00FB2B74">
        <w:rPr>
          <w:rFonts w:ascii="Garamond" w:hAnsi="Garamond" w:cs="Times New Roman"/>
        </w:rPr>
        <w:t>8</w:t>
      </w:r>
      <w:r w:rsidR="00E3555B">
        <w:rPr>
          <w:rFonts w:ascii="Garamond" w:hAnsi="Garamond" w:cs="Times New Roman"/>
        </w:rPr>
        <w:t>) using the silhouette score</w:t>
      </w:r>
      <w:r w:rsidR="00FB2B74">
        <w:rPr>
          <w:rFonts w:ascii="Garamond" w:hAnsi="Garamond" w:cs="Times New Roman"/>
        </w:rPr>
        <w:t xml:space="preserve"> as well as a histogram of the isotopic separation among groups</w:t>
      </w:r>
      <w:r w:rsidR="004A41B6">
        <w:rPr>
          <w:rFonts w:ascii="Garamond" w:hAnsi="Garamond" w:cs="Times New Roman"/>
        </w:rPr>
        <w:t xml:space="preserve"> </w:t>
      </w:r>
      <w:r w:rsidR="004A41B6" w:rsidRPr="00646BBC">
        <w:rPr>
          <w:rFonts w:ascii="Garamond" w:hAnsi="Garamond" w:cs="Times New Roman"/>
        </w:rPr>
        <w:t>(Supp. Fig. 2)</w:t>
      </w:r>
      <w:r w:rsidR="00FB2B74" w:rsidRPr="004A41B6">
        <w:rPr>
          <w:rFonts w:ascii="Garamond" w:hAnsi="Garamond" w:cs="Times New Roman"/>
        </w:rPr>
        <w:t>.</w:t>
      </w:r>
      <w:r w:rsidR="00E3555B">
        <w:rPr>
          <w:rFonts w:ascii="Garamond" w:hAnsi="Garamond" w:cs="Times New Roman"/>
        </w:rPr>
        <w:t xml:space="preserve"> From th</w:t>
      </w:r>
      <w:r w:rsidR="004A41B6">
        <w:rPr>
          <w:rFonts w:ascii="Garamond" w:hAnsi="Garamond" w:cs="Times New Roman"/>
        </w:rPr>
        <w:t>ese</w:t>
      </w:r>
      <w:r w:rsidR="00E3555B">
        <w:rPr>
          <w:rFonts w:ascii="Garamond" w:hAnsi="Garamond" w:cs="Times New Roman"/>
        </w:rPr>
        <w:t xml:space="preserve"> metric</w:t>
      </w:r>
      <w:r w:rsidR="004A41B6">
        <w:rPr>
          <w:rFonts w:ascii="Garamond" w:hAnsi="Garamond" w:cs="Times New Roman"/>
        </w:rPr>
        <w:t>s</w:t>
      </w:r>
      <w:r w:rsidR="00E3555B">
        <w:rPr>
          <w:rFonts w:ascii="Garamond" w:hAnsi="Garamond" w:cs="Times New Roman"/>
        </w:rPr>
        <w:t xml:space="preserve"> we selected n = 6, which </w:t>
      </w:r>
      <w:r w:rsidR="00FB2B74">
        <w:rPr>
          <w:rFonts w:ascii="Garamond" w:hAnsi="Garamond" w:cs="Times New Roman"/>
        </w:rPr>
        <w:t xml:space="preserve">was the maximum </w:t>
      </w:r>
      <w:r w:rsidR="007B2EDA">
        <w:rPr>
          <w:rFonts w:ascii="Garamond" w:hAnsi="Garamond" w:cs="Times New Roman"/>
        </w:rPr>
        <w:t xml:space="preserve">number of groups that </w:t>
      </w:r>
      <w:r w:rsidR="00E3555B">
        <w:rPr>
          <w:rFonts w:ascii="Garamond" w:hAnsi="Garamond" w:cs="Times New Roman"/>
        </w:rPr>
        <w:t xml:space="preserve">maintained a high silhouette score </w:t>
      </w:r>
      <w:r w:rsidR="004A41B6">
        <w:rPr>
          <w:rFonts w:ascii="Garamond" w:hAnsi="Garamond" w:cs="Times New Roman"/>
        </w:rPr>
        <w:t xml:space="preserve">and sufficient </w:t>
      </w:r>
      <w:r w:rsidR="007B2EDA">
        <w:rPr>
          <w:rFonts w:ascii="Garamond" w:hAnsi="Garamond" w:cs="Times New Roman"/>
        </w:rPr>
        <w:t xml:space="preserve">separation in </w:t>
      </w:r>
      <w:r w:rsidR="004A41B6">
        <w:rPr>
          <w:rFonts w:ascii="Garamond" w:hAnsi="Garamond" w:cs="Times New Roman"/>
        </w:rPr>
        <w:t xml:space="preserve">isotope ratio among groups. </w:t>
      </w:r>
      <w:r w:rsidR="009D5982">
        <w:rPr>
          <w:rFonts w:ascii="Garamond" w:hAnsi="Garamond" w:cs="Times New Roman"/>
        </w:rPr>
        <w:t>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w:t>
      </w:r>
      <w:r w:rsidR="00FB5657">
        <w:rPr>
          <w:rFonts w:ascii="Garamond" w:hAnsi="Garamond" w:cs="Times New Roman"/>
        </w:rPr>
        <w:t xml:space="preserve"> (2)</w:t>
      </w:r>
      <w:r w:rsidR="009D5982">
        <w:rPr>
          <w:rFonts w:ascii="Garamond" w:hAnsi="Garamond" w:cs="Times New Roman"/>
        </w:rPr>
        <w:t xml:space="preserve">. </w:t>
      </w:r>
      <w:r w:rsidR="00FB5657">
        <w:rPr>
          <w:rFonts w:ascii="Garamond" w:hAnsi="Garamond"/>
        </w:rPr>
        <w:t>Dividing</w:t>
      </w:r>
      <w:r w:rsidR="008D39D2" w:rsidRPr="008D39D2">
        <w:rPr>
          <w:rFonts w:ascii="Garamond" w:hAnsi="Garamond"/>
        </w:rPr>
        <w:t xml:space="preserve"> the watershed in this way produced regions that were likely to encompass the majority of each individual's </w:t>
      </w:r>
      <w:r w:rsidR="008D39D2">
        <w:rPr>
          <w:rFonts w:ascii="Garamond" w:hAnsi="Garamond"/>
        </w:rPr>
        <w:t xml:space="preserve">retained </w:t>
      </w:r>
      <w:r w:rsidR="008D39D2" w:rsidRPr="008D39D2">
        <w:rPr>
          <w:rFonts w:ascii="Garamond" w:hAnsi="Garamond"/>
        </w:rPr>
        <w:t>posterior assignments while also representing management units that are relevant to management within the basin</w:t>
      </w:r>
      <w:r w:rsidR="008D39D2">
        <w:rPr>
          <w:rFonts w:ascii="Garamond" w:hAnsi="Garamond"/>
        </w:rPr>
        <w:t xml:space="preserve"> </w:t>
      </w:r>
      <w:r w:rsidR="00E3555B">
        <w:rPr>
          <w:rFonts w:ascii="Garamond" w:hAnsi="Garamond" w:cs="Times New Roman"/>
        </w:rPr>
        <w:t>(Fig. 2</w:t>
      </w:r>
      <w:r w:rsidR="00F5142E">
        <w:rPr>
          <w:rFonts w:ascii="Garamond" w:hAnsi="Garamond" w:cs="Times New Roman"/>
        </w:rPr>
        <w:t>, Supp. Fig. 3</w:t>
      </w:r>
      <w:r w:rsidR="00E3555B">
        <w:rPr>
          <w:rFonts w:ascii="Garamond" w:hAnsi="Garamond" w:cs="Times New Roman"/>
        </w:rPr>
        <w:t xml:space="preserve">). </w:t>
      </w:r>
      <w:commentRangeStart w:id="1"/>
      <w:commentRangeStart w:id="2"/>
      <w:r w:rsidR="003B6620" w:rsidRPr="003B6620">
        <w:rPr>
          <w:rFonts w:ascii="Garamond" w:hAnsi="Garamond" w:cs="Times New Roman"/>
        </w:rPr>
        <w:t xml:space="preserve">Regions identified as the “upper watershed” in </w:t>
      </w:r>
      <w:r w:rsidR="008D39D2">
        <w:rPr>
          <w:rFonts w:ascii="Garamond" w:hAnsi="Garamond" w:cs="Times New Roman"/>
        </w:rPr>
        <w:t xml:space="preserve">telemetry </w:t>
      </w:r>
      <w:r w:rsidR="003B6620" w:rsidRPr="003B6620">
        <w:rPr>
          <w:rFonts w:ascii="Garamond" w:hAnsi="Garamond" w:cs="Times New Roman"/>
        </w:rPr>
        <w:t xml:space="preserve">studies are represented within groups one, two, and four. However, group </w:t>
      </w:r>
      <w:r w:rsidR="003B6620" w:rsidRPr="003B6620">
        <w:rPr>
          <w:rFonts w:ascii="Garamond" w:hAnsi="Garamond" w:cs="Times New Roman"/>
        </w:rPr>
        <w:lastRenderedPageBreak/>
        <w:t>four includes a mixture of upper-watershed tributaries (Takotna and Nixon Fork) and middle-to-lower watershed tributaries (Holitna and Hoholitna)</w:t>
      </w:r>
      <w:r w:rsidR="00F5142E">
        <w:rPr>
          <w:rFonts w:ascii="Garamond" w:hAnsi="Garamond" w:cs="Times New Roman"/>
        </w:rPr>
        <w:t xml:space="preserve">. </w:t>
      </w:r>
      <w:commentRangeEnd w:id="1"/>
      <w:r w:rsidR="004A41B6" w:rsidRPr="008D39D2">
        <w:rPr>
          <w:rStyle w:val="CommentReference"/>
          <w:rFonts w:ascii="Garamond" w:hAnsi="Garamond"/>
          <w:sz w:val="24"/>
          <w:szCs w:val="24"/>
        </w:rPr>
        <w:commentReference w:id="1"/>
      </w:r>
      <w:commentRangeEnd w:id="2"/>
      <w:r w:rsidR="00FB5657" w:rsidRPr="008D39D2">
        <w:rPr>
          <w:rStyle w:val="CommentReference"/>
          <w:rFonts w:ascii="Garamond" w:hAnsi="Garamond"/>
          <w:sz w:val="24"/>
          <w:szCs w:val="24"/>
        </w:rPr>
        <w:commentReference w:id="2"/>
      </w:r>
    </w:p>
    <w:p w14:paraId="168A5EB6" w14:textId="19CE2CEA" w:rsidR="007F747D" w:rsidRPr="008605CB" w:rsidRDefault="007C6331" w:rsidP="007F747D">
      <w:pPr>
        <w:spacing w:line="480" w:lineRule="auto"/>
        <w:rPr>
          <w:rFonts w:ascii="Garamond" w:hAnsi="Garamond" w:cs="Times New Roman"/>
          <w:b/>
          <w:bCs/>
        </w:rPr>
      </w:pPr>
      <w:r>
        <w:rPr>
          <w:rFonts w:ascii="Garamond" w:hAnsi="Garamond" w:cs="Times New Roman"/>
          <w:b/>
          <w:bCs/>
        </w:rPr>
        <w:t xml:space="preserve">2.3 Spatiotemporal Stock Contribution Analysis </w:t>
      </w:r>
    </w:p>
    <w:p w14:paraId="5A66CE6B" w14:textId="24FAABBD" w:rsidR="00186B3C" w:rsidRDefault="00E352BB" w:rsidP="006B5AB0">
      <w:pPr>
        <w:spacing w:line="480" w:lineRule="auto"/>
        <w:ind w:firstLine="720"/>
        <w:rPr>
          <w:rFonts w:ascii="Garamond" w:hAnsi="Garamond" w:cs="Times New Roman"/>
        </w:rPr>
      </w:pPr>
      <w:r>
        <w:rPr>
          <w:rFonts w:ascii="Garamond" w:hAnsi="Garamond" w:cs="Times New Roman"/>
        </w:rPr>
        <w:t xml:space="preserve">For each year and seasonal quartile, tributary-level return estimates were aggregated into the six regional groups and normalized to sum to one across the basin, representing each group’s proportional contribution to that quartile. Summary statistics were then calculated across all years for each group . Cumulative distribution functions were constructed to examine trends in relative run timing among regional groups independent of abundance and quartile cut-off dates. For each year, the full run was split into three-day intervals and the cumulative number of returners </w:t>
      </w:r>
      <w:r w:rsidR="00FB5657">
        <w:rPr>
          <w:rFonts w:ascii="Garamond" w:hAnsi="Garamond" w:cs="Times New Roman"/>
        </w:rPr>
        <w:t xml:space="preserve">to </w:t>
      </w:r>
      <w:r>
        <w:rPr>
          <w:rFonts w:ascii="Garamond" w:hAnsi="Garamond" w:cs="Times New Roman"/>
        </w:rPr>
        <w:t xml:space="preserve">each group was compared to its full season contribution. </w:t>
      </w:r>
      <w:r w:rsidR="00186B3C" w:rsidRPr="00186B3C">
        <w:rPr>
          <w:rFonts w:ascii="Garamond" w:hAnsi="Garamond" w:cs="Times New Roman"/>
        </w:rPr>
        <w:t>T</w:t>
      </w:r>
      <w:r w:rsidR="00186B3C" w:rsidRPr="00646BBC">
        <w:rPr>
          <w:rFonts w:ascii="Garamond" w:hAnsi="Garamond"/>
        </w:rPr>
        <w:t>o directly compare relative run timing with the temporal distribution of the full run, we used BTF daily CPUE data to calculate the cumulative proportion of the seasonal CPUE remaining on each day.</w:t>
      </w:r>
      <w:r w:rsidR="00186B3C">
        <w:t xml:space="preserve"> </w:t>
      </w:r>
      <w:r>
        <w:rPr>
          <w:rFonts w:ascii="Garamond" w:hAnsi="Garamond" w:cs="Times New Roman"/>
        </w:rPr>
        <w:t xml:space="preserve">This value represents the maximum potential harvest available if harvest rates are proportional to </w:t>
      </w:r>
      <w:r w:rsidR="00FB5657">
        <w:rPr>
          <w:rFonts w:ascii="Garamond" w:hAnsi="Garamond" w:cs="Times New Roman"/>
        </w:rPr>
        <w:t xml:space="preserve">the test fishery </w:t>
      </w:r>
      <w:r>
        <w:rPr>
          <w:rFonts w:ascii="Garamond" w:hAnsi="Garamond" w:cs="Times New Roman"/>
        </w:rPr>
        <w:t xml:space="preserve">CPUE. However, </w:t>
      </w:r>
      <w:r w:rsidR="000B652C">
        <w:rPr>
          <w:rFonts w:ascii="Garamond" w:hAnsi="Garamond" w:cs="Times New Roman"/>
        </w:rPr>
        <w:t xml:space="preserve">it </w:t>
      </w:r>
      <w:r>
        <w:rPr>
          <w:rFonts w:ascii="Garamond" w:hAnsi="Garamond" w:cs="Times New Roman"/>
        </w:rPr>
        <w:t xml:space="preserve"> does not account for the preferred harvest timing without the closure implemented, which may not follow this pattern. Resulting data (Fig. 4) illustrate the proportion (from zero to one) of each group’s total cumulative contribution to the overall run at each three-day interval as well as the proportion of the total potential harvest remaining for each day.</w:t>
      </w:r>
      <w:r w:rsidR="00186B3C" w:rsidRPr="00186B3C">
        <w:t xml:space="preserve"> </w:t>
      </w:r>
      <w:r w:rsidR="00186B3C" w:rsidRPr="00646BBC">
        <w:rPr>
          <w:rFonts w:ascii="Garamond" w:hAnsi="Garamond"/>
        </w:rPr>
        <w:t xml:space="preserve">From these data, we also quantified within-group variation in run timing as the </w:t>
      </w:r>
      <w:r w:rsidR="00F303A6">
        <w:rPr>
          <w:rFonts w:ascii="Garamond" w:hAnsi="Garamond"/>
        </w:rPr>
        <w:t xml:space="preserve">standard deviation </w:t>
      </w:r>
      <w:r w:rsidR="00186B3C" w:rsidRPr="00646BBC">
        <w:rPr>
          <w:rFonts w:ascii="Garamond" w:hAnsi="Garamond"/>
        </w:rPr>
        <w:t xml:space="preserve">in the day on which 50% of each group's annual run </w:t>
      </w:r>
      <w:r w:rsidR="00FB5657" w:rsidRPr="00FB5657">
        <w:rPr>
          <w:rFonts w:ascii="Garamond" w:hAnsi="Garamond"/>
        </w:rPr>
        <w:t>entered</w:t>
      </w:r>
      <w:r w:rsidR="00186B3C" w:rsidRPr="00646BBC">
        <w:rPr>
          <w:rFonts w:ascii="Garamond" w:hAnsi="Garamond"/>
        </w:rPr>
        <w:t xml:space="preserve"> the system across years.</w:t>
      </w:r>
    </w:p>
    <w:p w14:paraId="2E1403AA" w14:textId="6B21C707" w:rsidR="00E35059" w:rsidRDefault="006E1BBC" w:rsidP="009C0002">
      <w:pPr>
        <w:spacing w:line="480" w:lineRule="auto"/>
        <w:ind w:firstLine="720"/>
        <w:rPr>
          <w:rFonts w:ascii="Garamond" w:hAnsi="Garamond" w:cs="Times New Roman"/>
        </w:rPr>
      </w:pPr>
      <w:r>
        <w:rPr>
          <w:rFonts w:ascii="Garamond" w:hAnsi="Garamond"/>
        </w:rPr>
        <w:t xml:space="preserve">To assess the impact of the existing front-end closure, we quantified the </w:t>
      </w:r>
      <w:r w:rsidR="009C0002" w:rsidRPr="009C0002">
        <w:rPr>
          <w:rFonts w:ascii="Garamond" w:hAnsi="Garamond"/>
        </w:rPr>
        <w:t>proportion of total abundance occurring within the closure period (corresponding to the first seasonal quartile, Q1, in our dataset) that was assigned to each regional group based on otolith</w:t>
      </w:r>
      <w:r w:rsidR="009C0002">
        <w:rPr>
          <w:rFonts w:ascii="Garamond" w:hAnsi="Garamond"/>
        </w:rPr>
        <w:t xml:space="preserve"> isotope</w:t>
      </w:r>
      <w:r w:rsidR="009C0002" w:rsidRPr="009C0002">
        <w:rPr>
          <w:rFonts w:ascii="Garamond" w:hAnsi="Garamond"/>
        </w:rPr>
        <w:t xml:space="preserve"> assignments. We refer to this metric</w:t>
      </w:r>
      <w:r w:rsidR="009C0002">
        <w:rPr>
          <w:rFonts w:ascii="Garamond" w:hAnsi="Garamond"/>
        </w:rPr>
        <w:t xml:space="preserve"> hereafter</w:t>
      </w:r>
      <w:r w:rsidR="009C0002" w:rsidRPr="009C0002">
        <w:rPr>
          <w:rFonts w:ascii="Garamond" w:hAnsi="Garamond"/>
        </w:rPr>
        <w:t xml:space="preserve"> as </w:t>
      </w:r>
      <w:r w:rsidR="009C0002">
        <w:rPr>
          <w:rFonts w:ascii="Garamond" w:hAnsi="Garamond"/>
        </w:rPr>
        <w:t>“</w:t>
      </w:r>
      <w:r w:rsidR="009C0002" w:rsidRPr="00646BBC">
        <w:rPr>
          <w:rFonts w:ascii="Garamond" w:hAnsi="Garamond"/>
        </w:rPr>
        <w:t>percent protection</w:t>
      </w:r>
      <w:r w:rsidR="009C0002">
        <w:rPr>
          <w:rFonts w:ascii="Garamond" w:hAnsi="Garamond"/>
        </w:rPr>
        <w:t>”</w:t>
      </w:r>
      <w:r w:rsidR="009C0002" w:rsidRPr="009C0002">
        <w:rPr>
          <w:rFonts w:ascii="Garamond" w:hAnsi="Garamond"/>
        </w:rPr>
        <w:t>.</w:t>
      </w:r>
      <w:r w:rsidR="00706214">
        <w:rPr>
          <w:rFonts w:ascii="Garamond" w:hAnsi="Garamond"/>
        </w:rPr>
        <w:t xml:space="preserve"> </w:t>
      </w:r>
      <w:r>
        <w:rPr>
          <w:rFonts w:ascii="Garamond" w:hAnsi="Garamond"/>
        </w:rPr>
        <w:t xml:space="preserve">This comparison illustrates the maximum degree of </w:t>
      </w:r>
      <w:r>
        <w:rPr>
          <w:rFonts w:ascii="Garamond" w:hAnsi="Garamond"/>
        </w:rPr>
        <w:lastRenderedPageBreak/>
        <w:t xml:space="preserve">protection provided to each stock group by estimating the </w:t>
      </w:r>
      <w:r w:rsidR="00FB5657">
        <w:rPr>
          <w:rFonts w:ascii="Garamond" w:hAnsi="Garamond"/>
        </w:rPr>
        <w:t xml:space="preserve">proportion </w:t>
      </w:r>
      <w:r>
        <w:rPr>
          <w:rFonts w:ascii="Garamond" w:hAnsi="Garamond"/>
        </w:rPr>
        <w:t>of its annual run excluded from harvest</w:t>
      </w:r>
      <w:r>
        <w:rPr>
          <w:rFonts w:ascii="Garamond" w:hAnsi="Garamond" w:cs="Times New Roman"/>
        </w:rPr>
        <w:t>. We then assessed the same metric but with a set of alternative closure durations by calculating proportional protection at three alternate end dates for the closure: June 8</w:t>
      </w:r>
      <w:r>
        <w:rPr>
          <w:rFonts w:ascii="Garamond" w:hAnsi="Garamond" w:cs="Times New Roman"/>
          <w:vertAlign w:val="superscript"/>
        </w:rPr>
        <w:t>th</w:t>
      </w:r>
      <w:r>
        <w:rPr>
          <w:rFonts w:ascii="Garamond" w:hAnsi="Garamond" w:cs="Times New Roman"/>
        </w:rPr>
        <w:t xml:space="preserve"> (three days before current closure end date), June 14</w:t>
      </w:r>
      <w:r>
        <w:rPr>
          <w:rFonts w:ascii="Garamond" w:hAnsi="Garamond" w:cs="Times New Roman"/>
          <w:vertAlign w:val="superscript"/>
        </w:rPr>
        <w:t>th</w:t>
      </w:r>
      <w:r>
        <w:rPr>
          <w:rFonts w:ascii="Garamond" w:hAnsi="Garamond" w:cs="Times New Roman"/>
        </w:rPr>
        <w:t xml:space="preserve"> (three days after current closure end date), and June 17</w:t>
      </w:r>
      <w:r>
        <w:rPr>
          <w:rFonts w:ascii="Garamond" w:hAnsi="Garamond" w:cs="Times New Roman"/>
          <w:vertAlign w:val="superscript"/>
        </w:rPr>
        <w:t>th</w:t>
      </w:r>
      <w:r>
        <w:rPr>
          <w:rFonts w:ascii="Garamond" w:hAnsi="Garamond" w:cs="Times New Roman"/>
        </w:rPr>
        <w:t xml:space="preserve"> (six days after current closure end date) (Fig. 5). For each scenario, we calculated the proportion of the total </w:t>
      </w:r>
      <w:r w:rsidR="00FB5657">
        <w:rPr>
          <w:rFonts w:ascii="Garamond" w:hAnsi="Garamond" w:cs="Times New Roman"/>
        </w:rPr>
        <w:t xml:space="preserve">test fishery </w:t>
      </w:r>
      <w:r>
        <w:rPr>
          <w:rFonts w:ascii="Garamond" w:hAnsi="Garamond" w:cs="Times New Roman"/>
        </w:rPr>
        <w:t xml:space="preserve">CPUE that occurred within the adjusted closure window and compared this value to the potential protection afforded to each group across all years (Fig. 6). Together, these results illustrate the tradeoff between increased protection under later closure end dates and the corresponding loss of potential harvest opportunity </w:t>
      </w:r>
      <w:r w:rsidR="00E76334">
        <w:rPr>
          <w:rFonts w:ascii="Garamond" w:hAnsi="Garamond" w:cs="Times New Roman"/>
        </w:rPr>
        <w:t>for the fishing community</w:t>
      </w:r>
      <w:r>
        <w:rPr>
          <w:rFonts w:ascii="Garamond" w:hAnsi="Garamond" w:cs="Times New Roman"/>
        </w:rPr>
        <w:t>.</w:t>
      </w:r>
    </w:p>
    <w:p w14:paraId="6F0644BD" w14:textId="77777777" w:rsidR="001C4C41" w:rsidRPr="009C0002" w:rsidRDefault="001C4C41" w:rsidP="009C0002">
      <w:pPr>
        <w:spacing w:line="480" w:lineRule="auto"/>
        <w:ind w:firstLine="720"/>
        <w:rPr>
          <w:rFonts w:ascii="Garamond" w:hAnsi="Garamond"/>
        </w:rPr>
      </w:pPr>
    </w:p>
    <w:p w14:paraId="1B967039" w14:textId="4D3077C3" w:rsidR="004A0003" w:rsidRPr="007C6331" w:rsidRDefault="0019169F" w:rsidP="007C6331">
      <w:pPr>
        <w:pStyle w:val="ListParagraph"/>
        <w:numPr>
          <w:ilvl w:val="0"/>
          <w:numId w:val="12"/>
        </w:numPr>
        <w:spacing w:line="480" w:lineRule="auto"/>
        <w:rPr>
          <w:rFonts w:ascii="Garamond" w:hAnsi="Garamond"/>
          <w:b/>
          <w:bCs/>
          <w:sz w:val="32"/>
          <w:szCs w:val="32"/>
        </w:rPr>
      </w:pPr>
      <w:r>
        <w:rPr>
          <w:rFonts w:ascii="Garamond" w:hAnsi="Garamond"/>
          <w:b/>
          <w:bCs/>
          <w:sz w:val="32"/>
          <w:szCs w:val="32"/>
        </w:rPr>
        <w:t>Results</w:t>
      </w:r>
    </w:p>
    <w:p w14:paraId="10DADB8B" w14:textId="699DD951" w:rsidR="00397FF6" w:rsidRPr="00FC02BD" w:rsidRDefault="007C6331" w:rsidP="007A07BC">
      <w:pPr>
        <w:spacing w:line="480" w:lineRule="auto"/>
        <w:rPr>
          <w:rFonts w:ascii="Garamond" w:hAnsi="Garamond" w:cs="Times New Roman"/>
          <w:b/>
          <w:bCs/>
          <w:sz w:val="28"/>
          <w:szCs w:val="28"/>
        </w:rPr>
      </w:pPr>
      <w:r>
        <w:rPr>
          <w:rFonts w:ascii="Garamond" w:hAnsi="Garamond" w:cs="Times New Roman"/>
          <w:b/>
          <w:bCs/>
          <w:sz w:val="28"/>
          <w:szCs w:val="28"/>
        </w:rPr>
        <w:t>3.1 Variation in stock return timing within season</w:t>
      </w:r>
    </w:p>
    <w:p w14:paraId="14441915" w14:textId="2745E36A" w:rsidR="001740E9" w:rsidRPr="00FC02BD" w:rsidRDefault="00D625F2" w:rsidP="007A07BC">
      <w:pPr>
        <w:pStyle w:val="whitespace-normal"/>
        <w:spacing w:line="480" w:lineRule="auto"/>
        <w:rPr>
          <w:rFonts w:ascii="Garamond" w:hAnsi="Garamond"/>
        </w:rPr>
      </w:pPr>
      <w:r>
        <w:rPr>
          <w:b/>
          <w:bCs/>
          <w:sz w:val="22"/>
          <w:szCs w:val="22"/>
        </w:rPr>
        <w:tab/>
      </w:r>
      <w:r>
        <w:rPr>
          <w:rFonts w:ascii="Garamond" w:hAnsi="Garamond"/>
        </w:rPr>
        <w:t>Across all years of our dataset (2017-2022), returns to the six regional groups exhibited a general transition from the furthest upstream to the furthest downstream as the season progressed (Fig. 3</w:t>
      </w:r>
      <w:r w:rsidR="00684CAF">
        <w:rPr>
          <w:rFonts w:ascii="Garamond" w:hAnsi="Garamond"/>
        </w:rPr>
        <w:t>a</w:t>
      </w:r>
      <w:r>
        <w:rPr>
          <w:rFonts w:ascii="Garamond" w:hAnsi="Garamond"/>
        </w:rPr>
        <w:t>). Notably, group one, which contains the North Fork and East Fork Kuskokwim River, consistently contributed little to all years and quartiles (max: 2.9%)</w:t>
      </w:r>
      <w:r w:rsidR="00706214">
        <w:rPr>
          <w:rFonts w:ascii="Garamond" w:hAnsi="Garamond"/>
        </w:rPr>
        <w:t xml:space="preserve"> (Fig. 3b)</w:t>
      </w:r>
      <w:r>
        <w:rPr>
          <w:rFonts w:ascii="Garamond" w:hAnsi="Garamond"/>
        </w:rPr>
        <w:t>. Early season returns (Q1: start of run through June 11) were represented primarily by high contributions from group two (median: 42.2%), with relatively low median contribution (20% or less) from all other groups</w:t>
      </w:r>
      <w:r w:rsidR="00684CAF">
        <w:rPr>
          <w:rFonts w:ascii="Garamond" w:hAnsi="Garamond"/>
        </w:rPr>
        <w:t xml:space="preserve"> (Figure 3b)</w:t>
      </w:r>
      <w:r>
        <w:rPr>
          <w:rFonts w:ascii="Garamond" w:hAnsi="Garamond"/>
        </w:rPr>
        <w:t>. The second quartile (June 12</w:t>
      </w:r>
      <w:r>
        <w:rPr>
          <w:rFonts w:ascii="Garamond" w:hAnsi="Garamond"/>
          <w:vertAlign w:val="superscript"/>
        </w:rPr>
        <w:t>th</w:t>
      </w:r>
      <w:r>
        <w:rPr>
          <w:rFonts w:ascii="Garamond" w:hAnsi="Garamond"/>
        </w:rPr>
        <w:t xml:space="preserve"> – 21</w:t>
      </w:r>
      <w:r>
        <w:rPr>
          <w:rFonts w:ascii="Garamond" w:hAnsi="Garamond"/>
          <w:vertAlign w:val="superscript"/>
        </w:rPr>
        <w:t>st</w:t>
      </w:r>
      <w:r>
        <w:rPr>
          <w:rFonts w:ascii="Garamond" w:hAnsi="Garamond"/>
        </w:rPr>
        <w:t>, Fig. 3b.) exhibited a slight decrease in contribution from group two (31.0%), with increasing contribution from groups four and five (25.8% and 19.8%, respectively). This pattern largely held in the 3</w:t>
      </w:r>
      <w:r>
        <w:rPr>
          <w:rFonts w:ascii="Garamond" w:hAnsi="Garamond"/>
          <w:vertAlign w:val="superscript"/>
        </w:rPr>
        <w:t>rd</w:t>
      </w:r>
      <w:r>
        <w:rPr>
          <w:rFonts w:ascii="Garamond" w:hAnsi="Garamond"/>
        </w:rPr>
        <w:t xml:space="preserve"> quartile (June 22</w:t>
      </w:r>
      <w:r>
        <w:rPr>
          <w:rFonts w:ascii="Garamond" w:hAnsi="Garamond"/>
          <w:vertAlign w:val="superscript"/>
        </w:rPr>
        <w:t>nd</w:t>
      </w:r>
      <w:r>
        <w:rPr>
          <w:rFonts w:ascii="Garamond" w:hAnsi="Garamond"/>
        </w:rPr>
        <w:t xml:space="preserve">- July 1st.), with a further decrease in contribution from group two (21.6%) and an increased contribution from group four (30.1%). </w:t>
      </w:r>
      <w:r>
        <w:rPr>
          <w:rFonts w:ascii="Garamond" w:hAnsi="Garamond"/>
        </w:rPr>
        <w:lastRenderedPageBreak/>
        <w:t>Finally, the fourth quartile (July 2</w:t>
      </w:r>
      <w:r>
        <w:rPr>
          <w:rFonts w:ascii="Garamond" w:hAnsi="Garamond"/>
          <w:vertAlign w:val="superscript"/>
        </w:rPr>
        <w:t>nd</w:t>
      </w:r>
      <w:r>
        <w:rPr>
          <w:rFonts w:ascii="Garamond" w:hAnsi="Garamond"/>
        </w:rPr>
        <w:t xml:space="preserve"> onward.) exhibited a marked increase in median contribution from the furthest downstream group (group six, 17.9%), and contribution to this quartile was largely driven by groups four and five located in the bottom of the watershed (26.9% and 25.4%, respectively). </w:t>
      </w:r>
    </w:p>
    <w:p w14:paraId="57A1F09E" w14:textId="3F322303" w:rsidR="00706214" w:rsidRPr="00646BBC" w:rsidRDefault="00536536" w:rsidP="009E7ECB">
      <w:pPr>
        <w:pStyle w:val="whitespace-normal"/>
        <w:spacing w:line="480" w:lineRule="auto"/>
        <w:ind w:firstLine="720"/>
        <w:rPr>
          <w:rFonts w:ascii="Garamond" w:hAnsi="Garamond"/>
        </w:rPr>
      </w:pPr>
      <w:r>
        <w:rPr>
          <w:rFonts w:ascii="Garamond" w:hAnsi="Garamond"/>
        </w:rPr>
        <w:t>Cumulative distribution plots (Fig. 4) illustrated</w:t>
      </w:r>
      <w:r w:rsidR="00906B81">
        <w:rPr>
          <w:rFonts w:ascii="Garamond" w:hAnsi="Garamond"/>
        </w:rPr>
        <w:t xml:space="preserve"> interannual</w:t>
      </w:r>
      <w:r>
        <w:rPr>
          <w:rFonts w:ascii="Garamond" w:hAnsi="Garamond"/>
        </w:rPr>
        <w:t xml:space="preserve"> variation in seasonal migration timing among regional groups independent of the total returning individuals within each group. In each year, upper watershed individuals arrived earlier in the season, whereas further downstream groups returned later. There was some variability in run timing among middle/lower watershed groups, however, a clear pattern in run timing between the upper and lower portions of the watershed was evident despite differences in the average migration timing and temporal distribution of the run (i.e. compressed vs. protracted run timing) (Fig. 4, gray solid line). The proportion of total CPUE remaining at the front-end closure date (dashed gray line, Fig. 4) varied substantially among years. In some years, nearly the entire run had yet to arrive by the closure date (e.g., 2017), whereas in others, almost 25% of the total return occurred before the closure end date.</w:t>
      </w:r>
      <w:r w:rsidR="009E7ECB">
        <w:rPr>
          <w:rFonts w:ascii="Garamond" w:hAnsi="Garamond"/>
        </w:rPr>
        <w:t xml:space="preserve"> </w:t>
      </w:r>
      <w:r w:rsidR="004C4B85" w:rsidRPr="004C4B85">
        <w:rPr>
          <w:rFonts w:ascii="Garamond" w:hAnsi="Garamond"/>
        </w:rPr>
        <w:t xml:space="preserve">In addition, interannual variability in return timing differed among groups. Based on the date by which 50% of the </w:t>
      </w:r>
      <w:commentRangeStart w:id="3"/>
      <w:r w:rsidR="004C4B85" w:rsidRPr="004C4B85">
        <w:rPr>
          <w:rFonts w:ascii="Garamond" w:hAnsi="Garamond"/>
        </w:rPr>
        <w:t>cumulative run had entered the system, Groups 1 and 2 exhibited greater variability in return timing (</w:t>
      </w:r>
      <w:r w:rsidR="00F303A6">
        <w:rPr>
          <w:rFonts w:ascii="Garamond" w:hAnsi="Garamond"/>
        </w:rPr>
        <w:t>SD</w:t>
      </w:r>
      <w:r w:rsidR="004C4B85" w:rsidRPr="004C4B85">
        <w:rPr>
          <w:rFonts w:ascii="Garamond" w:hAnsi="Garamond"/>
        </w:rPr>
        <w:t xml:space="preserve"> = </w:t>
      </w:r>
      <w:r w:rsidR="00F303A6">
        <w:rPr>
          <w:rFonts w:ascii="Garamond" w:hAnsi="Garamond"/>
        </w:rPr>
        <w:t>5.9 days</w:t>
      </w:r>
      <w:r w:rsidR="004C4B85" w:rsidRPr="004C4B85">
        <w:rPr>
          <w:rFonts w:ascii="Garamond" w:hAnsi="Garamond"/>
        </w:rPr>
        <w:t xml:space="preserve"> and </w:t>
      </w:r>
      <w:r w:rsidR="00F303A6">
        <w:rPr>
          <w:rFonts w:ascii="Garamond" w:hAnsi="Garamond"/>
        </w:rPr>
        <w:t>4.1 days</w:t>
      </w:r>
      <w:r w:rsidR="004C4B85" w:rsidRPr="004C4B85">
        <w:rPr>
          <w:rFonts w:ascii="Garamond" w:hAnsi="Garamond"/>
        </w:rPr>
        <w:t>, respectively) than the remaining groups across the watershed (</w:t>
      </w:r>
      <w:r w:rsidR="008A2F58">
        <w:rPr>
          <w:rFonts w:ascii="Garamond" w:hAnsi="Garamond"/>
        </w:rPr>
        <w:t>SD</w:t>
      </w:r>
      <w:r w:rsidR="004C4B85" w:rsidRPr="004C4B85">
        <w:rPr>
          <w:rFonts w:ascii="Garamond" w:hAnsi="Garamond"/>
        </w:rPr>
        <w:t xml:space="preserve"> = </w:t>
      </w:r>
      <w:r w:rsidR="00F303A6">
        <w:rPr>
          <w:rFonts w:ascii="Garamond" w:hAnsi="Garamond"/>
        </w:rPr>
        <w:t>2.5</w:t>
      </w:r>
      <w:r w:rsidR="004A579B">
        <w:rPr>
          <w:rFonts w:ascii="Garamond" w:hAnsi="Garamond"/>
        </w:rPr>
        <w:t xml:space="preserve"> </w:t>
      </w:r>
      <w:r w:rsidR="004C4B85" w:rsidRPr="004C4B85">
        <w:rPr>
          <w:rFonts w:ascii="Garamond" w:hAnsi="Garamond"/>
        </w:rPr>
        <w:t>–</w:t>
      </w:r>
      <w:r w:rsidR="00F303A6">
        <w:rPr>
          <w:rFonts w:ascii="Garamond" w:hAnsi="Garamond"/>
        </w:rPr>
        <w:t xml:space="preserve"> 2.8 days</w:t>
      </w:r>
      <w:r w:rsidR="004C4B85" w:rsidRPr="004C4B85">
        <w:rPr>
          <w:rFonts w:ascii="Garamond" w:hAnsi="Garamond"/>
        </w:rPr>
        <w:t>).</w:t>
      </w:r>
      <w:commentRangeEnd w:id="3"/>
      <w:r w:rsidR="00C77775" w:rsidRPr="009E7ECB">
        <w:rPr>
          <w:rStyle w:val="CommentReference"/>
          <w:rFonts w:ascii="Garamond" w:hAnsi="Garamond"/>
          <w:sz w:val="24"/>
          <w:szCs w:val="24"/>
        </w:rPr>
        <w:commentReference w:id="3"/>
      </w:r>
    </w:p>
    <w:p w14:paraId="425125A7" w14:textId="7EB8F101" w:rsidR="00397FF6" w:rsidRPr="00FC02BD" w:rsidRDefault="007C6331" w:rsidP="006D6AEE">
      <w:pPr>
        <w:pStyle w:val="whitespace-normal"/>
        <w:spacing w:line="480" w:lineRule="auto"/>
        <w:rPr>
          <w:rFonts w:ascii="Garamond" w:hAnsi="Garamond"/>
        </w:rPr>
      </w:pPr>
      <w:r>
        <w:rPr>
          <w:rFonts w:ascii="Garamond" w:hAnsi="Garamond"/>
          <w:b/>
          <w:bCs/>
        </w:rPr>
        <w:t xml:space="preserve">3.2 Front-end closure protections </w:t>
      </w:r>
    </w:p>
    <w:p w14:paraId="3E0FDA39" w14:textId="28986697" w:rsidR="00A54B4A" w:rsidRPr="00FC02BD" w:rsidRDefault="00E67672" w:rsidP="00D516D1">
      <w:pPr>
        <w:pStyle w:val="whitespace-normal"/>
        <w:spacing w:line="480" w:lineRule="auto"/>
        <w:ind w:firstLine="720"/>
        <w:rPr>
          <w:rFonts w:ascii="Garamond" w:hAnsi="Garamond"/>
        </w:rPr>
      </w:pPr>
      <w:r>
        <w:rPr>
          <w:rFonts w:ascii="Garamond" w:hAnsi="Garamond"/>
        </w:rPr>
        <w:t xml:space="preserve">Early returning upper Kuskokwim populations were afforded higher proportional protection through the implementation of a front-end closure management strategy (Fig. 5). On average, group one, comprised of the furthest upstream populations, received 22.6% of its total </w:t>
      </w:r>
      <w:r w:rsidR="00923A9B">
        <w:rPr>
          <w:rFonts w:ascii="Garamond" w:hAnsi="Garamond"/>
        </w:rPr>
        <w:t xml:space="preserve">relative abundance </w:t>
      </w:r>
      <w:r>
        <w:rPr>
          <w:rFonts w:ascii="Garamond" w:hAnsi="Garamond"/>
        </w:rPr>
        <w:t xml:space="preserve"> </w:t>
      </w:r>
      <w:r>
        <w:rPr>
          <w:rFonts w:ascii="Garamond" w:hAnsi="Garamond"/>
        </w:rPr>
        <w:lastRenderedPageBreak/>
        <w:t xml:space="preserve">within the front-end closure window, followed by group two at 13.5%. In contrast, populations in further downstream areas received considerably less protection, with less than 10% protection afforded to groups three through six on average. These downstream groups also displayed a much narrower range of protection values across all years of our dataset: proportional protection ranged from 1.0%–14% for groups four through six and 1.7%–19% for group three. In contrast, upstream groups displayed a much larger range of </w:t>
      </w:r>
      <w:r w:rsidR="00923A9B">
        <w:rPr>
          <w:rFonts w:ascii="Garamond" w:hAnsi="Garamond"/>
        </w:rPr>
        <w:t xml:space="preserve">relative abundance </w:t>
      </w:r>
      <w:r>
        <w:rPr>
          <w:rFonts w:ascii="Garamond" w:hAnsi="Garamond"/>
        </w:rPr>
        <w:t>protect</w:t>
      </w:r>
      <w:r w:rsidR="00923A9B">
        <w:rPr>
          <w:rFonts w:ascii="Garamond" w:hAnsi="Garamond"/>
        </w:rPr>
        <w:t>ed</w:t>
      </w:r>
      <w:r>
        <w:rPr>
          <w:rFonts w:ascii="Garamond" w:hAnsi="Garamond"/>
        </w:rPr>
        <w:t xml:space="preserve"> across our dataset, with group two ranging from 2.4%–29.4% and group one ranging from 3%–52% of the overall return protected by the front-end closure. </w:t>
      </w:r>
    </w:p>
    <w:p w14:paraId="0CCE43E4" w14:textId="35A1AE6B" w:rsidR="00CE01B9" w:rsidRDefault="00BA542C" w:rsidP="00A95426">
      <w:pPr>
        <w:pStyle w:val="whitespace-normal"/>
        <w:spacing w:line="480" w:lineRule="auto"/>
        <w:ind w:firstLine="720"/>
        <w:rPr>
          <w:rFonts w:ascii="Garamond" w:hAnsi="Garamond"/>
        </w:rPr>
      </w:pPr>
      <w:r>
        <w:rPr>
          <w:rFonts w:ascii="Garamond" w:hAnsi="Garamond"/>
        </w:rPr>
        <w:t xml:space="preserve">Varying the duration of the front-end closure did not change the overall pattern of higher protection afforded to upstream populations. However, an earlier closure date (June 8th) markedly decreased both the median and range of protection for upstream groups; median protection for groups one and two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one and two saw an increase of </w:t>
      </w:r>
      <w:bookmarkStart w:id="4" w:name="_Hlk213834610"/>
      <w:r>
        <w:rPr>
          <w:rFonts w:ascii="Garamond" w:hAnsi="Garamond"/>
        </w:rPr>
        <w:t xml:space="preserve">17.4% and 9.1% in median protection, respectively, by extending the front-end closure three days and the same groups saw a 32.3% and 21.3% </w:t>
      </w:r>
      <w:bookmarkEnd w:id="4"/>
      <w:r>
        <w:rPr>
          <w:rFonts w:ascii="Garamond" w:hAnsi="Garamond"/>
        </w:rPr>
        <w:t xml:space="preserve">increase in protection by extending the front-end closure six days past the current closure date. Importantly, the </w:t>
      </w:r>
      <w:r w:rsidR="00A95426">
        <w:rPr>
          <w:rFonts w:ascii="Garamond" w:hAnsi="Garamond"/>
        </w:rPr>
        <w:t>lowest proportional protection</w:t>
      </w:r>
      <w:r w:rsidR="00C93CB2">
        <w:rPr>
          <w:rFonts w:ascii="Garamond" w:hAnsi="Garamond"/>
        </w:rPr>
        <w:t>s</w:t>
      </w:r>
      <w:r w:rsidR="00A95426">
        <w:rPr>
          <w:rFonts w:ascii="Garamond" w:hAnsi="Garamond"/>
        </w:rPr>
        <w:t xml:space="preserve"> in the </w:t>
      </w:r>
      <w:r>
        <w:rPr>
          <w:rFonts w:ascii="Garamond" w:hAnsi="Garamond"/>
        </w:rPr>
        <w:t>three-day extension scenario were similar to the results of the currently implemented closure</w:t>
      </w:r>
      <w:r w:rsidR="00356C95">
        <w:rPr>
          <w:rFonts w:ascii="Garamond" w:hAnsi="Garamond"/>
        </w:rPr>
        <w:t xml:space="preserve">, indicating that in select years extending the front end closure by three days would not provide additional conservation benefit. </w:t>
      </w:r>
      <w:r>
        <w:rPr>
          <w:rFonts w:ascii="Garamond" w:hAnsi="Garamond"/>
        </w:rPr>
        <w:t>For a closure ending on June 14</w:t>
      </w:r>
      <w:r>
        <w:rPr>
          <w:rFonts w:ascii="Garamond" w:hAnsi="Garamond"/>
          <w:vertAlign w:val="superscript"/>
        </w:rPr>
        <w:t>th</w:t>
      </w:r>
      <w:r>
        <w:rPr>
          <w:rFonts w:ascii="Garamond" w:hAnsi="Garamond"/>
        </w:rPr>
        <w:t>, the lowest protection afforded to groups one and two was 7.8% and 4.4%, respectively, which are only 4.4% and 2.0% increases over the original closure date. By extending the closure by six days (June 17</w:t>
      </w:r>
      <w:r>
        <w:rPr>
          <w:rFonts w:ascii="Garamond" w:hAnsi="Garamond"/>
          <w:vertAlign w:val="superscript"/>
        </w:rPr>
        <w:t>th</w:t>
      </w:r>
      <w:r>
        <w:rPr>
          <w:rFonts w:ascii="Garamond" w:hAnsi="Garamond"/>
        </w:rPr>
        <w:t xml:space="preserve">), </w:t>
      </w:r>
      <w:r>
        <w:rPr>
          <w:rFonts w:ascii="Garamond" w:hAnsi="Garamond"/>
        </w:rPr>
        <w:lastRenderedPageBreak/>
        <w:t xml:space="preserve">minimum protection values increased more prominently to 21.9% and 14.9% for groups one and two. </w:t>
      </w:r>
    </w:p>
    <w:p w14:paraId="2A9EA7B8" w14:textId="4AC780AF" w:rsidR="00AB779D" w:rsidRPr="00D0678D" w:rsidRDefault="00BA542C" w:rsidP="00A95426">
      <w:pPr>
        <w:pStyle w:val="whitespace-normal"/>
        <w:spacing w:line="480" w:lineRule="auto"/>
        <w:ind w:firstLine="720"/>
        <w:rPr>
          <w:rFonts w:ascii="Garamond" w:hAnsi="Garamond"/>
        </w:rPr>
      </w:pPr>
      <w:r>
        <w:rPr>
          <w:rFonts w:ascii="Garamond" w:hAnsi="Garamond"/>
        </w:rPr>
        <w:t>While a longer front-end closure provides greater protection to stocks across the basin, it also increases the share of the total return that cannot be harvested. Under the current closure duration, an average of 1</w:t>
      </w:r>
      <w:r w:rsidR="004C4B85">
        <w:rPr>
          <w:rFonts w:ascii="Garamond" w:hAnsi="Garamond"/>
        </w:rPr>
        <w:t>1</w:t>
      </w:r>
      <w:r>
        <w:rPr>
          <w:rFonts w:ascii="Garamond" w:hAnsi="Garamond"/>
        </w:rPr>
        <w:t xml:space="preserve">% of the total </w:t>
      </w:r>
      <w:r w:rsidR="00C93CB2">
        <w:rPr>
          <w:rFonts w:ascii="Garamond" w:hAnsi="Garamond"/>
        </w:rPr>
        <w:t xml:space="preserve">test fishery </w:t>
      </w:r>
      <w:r>
        <w:rPr>
          <w:rFonts w:ascii="Garamond" w:hAnsi="Garamond"/>
        </w:rPr>
        <w:t>CPUE fell within the closure period</w:t>
      </w:r>
      <w:r w:rsidR="00CE01B9">
        <w:rPr>
          <w:rFonts w:ascii="Garamond" w:hAnsi="Garamond"/>
        </w:rPr>
        <w:t xml:space="preserve"> </w:t>
      </w:r>
      <w:r w:rsidR="00CE01B9" w:rsidRPr="004C4B85">
        <w:rPr>
          <w:rFonts w:ascii="Garamond" w:hAnsi="Garamond"/>
        </w:rPr>
        <w:t xml:space="preserve">(range </w:t>
      </w:r>
      <w:r w:rsidR="004C4B85" w:rsidRPr="00646BBC">
        <w:rPr>
          <w:rFonts w:ascii="Garamond" w:hAnsi="Garamond"/>
        </w:rPr>
        <w:t>= 4.9% - 20.3%</w:t>
      </w:r>
      <w:r w:rsidR="00CE01B9" w:rsidRPr="004C4B85">
        <w:rPr>
          <w:rFonts w:ascii="Garamond" w:hAnsi="Garamond"/>
        </w:rPr>
        <w:t>)</w:t>
      </w:r>
      <w:r w:rsidRPr="004C4B85">
        <w:rPr>
          <w:rFonts w:ascii="Garamond" w:hAnsi="Garamond"/>
        </w:rPr>
        <w:t>.</w:t>
      </w:r>
      <w:r>
        <w:rPr>
          <w:rFonts w:ascii="Garamond" w:hAnsi="Garamond"/>
        </w:rPr>
        <w:t xml:space="preserve"> Shortening the closure reduces this loss to less than 5% but offers </w:t>
      </w:r>
      <w:r w:rsidR="00C93CB2">
        <w:rPr>
          <w:rFonts w:ascii="Garamond" w:hAnsi="Garamond"/>
        </w:rPr>
        <w:t xml:space="preserve">negligible </w:t>
      </w:r>
      <w:r>
        <w:rPr>
          <w:rFonts w:ascii="Garamond" w:hAnsi="Garamond"/>
        </w:rPr>
        <w:t xml:space="preserve">protection for upstream stocks (Fig. 5). Extending the closure, by contrast, substantially increases protection for </w:t>
      </w:r>
      <w:r w:rsidR="00CE01B9">
        <w:rPr>
          <w:rFonts w:ascii="Garamond" w:hAnsi="Garamond"/>
        </w:rPr>
        <w:t>upriver</w:t>
      </w:r>
      <w:r>
        <w:rPr>
          <w:rFonts w:ascii="Garamond" w:hAnsi="Garamond"/>
        </w:rPr>
        <w:t xml:space="preserve"> groups; however, an average of 17%</w:t>
      </w:r>
      <w:r w:rsidR="004C4B85">
        <w:rPr>
          <w:rFonts w:ascii="Garamond" w:hAnsi="Garamond"/>
        </w:rPr>
        <w:t xml:space="preserve"> (range = 7.5%</w:t>
      </w:r>
      <w:r w:rsidR="004A579B">
        <w:rPr>
          <w:rFonts w:ascii="Garamond" w:hAnsi="Garamond"/>
        </w:rPr>
        <w:t xml:space="preserve"> </w:t>
      </w:r>
      <w:r w:rsidR="004C4B85">
        <w:rPr>
          <w:rFonts w:ascii="Garamond" w:hAnsi="Garamond"/>
        </w:rPr>
        <w:t>-</w:t>
      </w:r>
      <w:r w:rsidR="004A579B">
        <w:rPr>
          <w:rFonts w:ascii="Garamond" w:hAnsi="Garamond"/>
        </w:rPr>
        <w:t xml:space="preserve"> </w:t>
      </w:r>
      <w:r w:rsidR="004C4B85">
        <w:rPr>
          <w:rFonts w:ascii="Garamond" w:hAnsi="Garamond"/>
        </w:rPr>
        <w:t>28.1%)</w:t>
      </w:r>
      <w:r>
        <w:rPr>
          <w:rFonts w:ascii="Garamond" w:hAnsi="Garamond"/>
        </w:rPr>
        <w:t xml:space="preserve"> and 24%</w:t>
      </w:r>
      <w:r w:rsidR="004C4B85">
        <w:rPr>
          <w:rFonts w:ascii="Garamond" w:hAnsi="Garamond"/>
        </w:rPr>
        <w:t xml:space="preserve"> (range = 11.9% - 39.6%)</w:t>
      </w:r>
      <w:r>
        <w:rPr>
          <w:rFonts w:ascii="Garamond" w:hAnsi="Garamond"/>
        </w:rPr>
        <w:t xml:space="preserve"> of the total potential harvest fell within the front-end closure with a three or six-day extension to the current end date.</w:t>
      </w:r>
      <w:r>
        <w:t xml:space="preserve"> </w:t>
      </w:r>
    </w:p>
    <w:p w14:paraId="31EF3EFC" w14:textId="3BB8BE79" w:rsidR="006A798F" w:rsidRPr="00FC02BD" w:rsidRDefault="000854BE" w:rsidP="007C6331">
      <w:pPr>
        <w:pStyle w:val="whitespace-normal"/>
        <w:numPr>
          <w:ilvl w:val="0"/>
          <w:numId w:val="12"/>
        </w:numPr>
        <w:spacing w:line="480" w:lineRule="auto"/>
        <w:rPr>
          <w:rFonts w:ascii="Garamond" w:hAnsi="Garamond"/>
          <w:b/>
          <w:bCs/>
          <w:sz w:val="32"/>
          <w:szCs w:val="32"/>
          <w:u w:val="single"/>
        </w:rPr>
      </w:pPr>
      <w:r>
        <w:rPr>
          <w:rFonts w:ascii="Garamond" w:hAnsi="Garamond"/>
          <w:b/>
          <w:bCs/>
          <w:sz w:val="32"/>
          <w:szCs w:val="32"/>
          <w:u w:val="single"/>
        </w:rPr>
        <w:t>Discussion</w:t>
      </w:r>
    </w:p>
    <w:p w14:paraId="1533761C" w14:textId="399E6DC0" w:rsidR="00F5142E" w:rsidRDefault="004504D1" w:rsidP="00646BBC">
      <w:pPr>
        <w:pStyle w:val="whitespace-normal"/>
        <w:spacing w:line="480" w:lineRule="auto"/>
        <w:rPr>
          <w:rFonts w:ascii="Garamond" w:hAnsi="Garamond"/>
        </w:rPr>
      </w:pPr>
      <w:r>
        <w:rPr>
          <w:rFonts w:ascii="Garamond" w:hAnsi="Garamond"/>
        </w:rPr>
        <w:t xml:space="preserve">The results presented here illustrate the most recent and comprehensive basin-wide quantification of the spatiotemporal patterns of Chinook salmon migrating into the Kuskokwim River. Our data corroborate previously observed relationships between run timing and watershed position of spawning habitat, wherein the earliest returning fish contribute to </w:t>
      </w:r>
      <w:r w:rsidR="007F65C8">
        <w:rPr>
          <w:rFonts w:ascii="Garamond" w:hAnsi="Garamond"/>
        </w:rPr>
        <w:t>tributaries</w:t>
      </w:r>
      <w:r w:rsidR="004A579B">
        <w:rPr>
          <w:rFonts w:ascii="Garamond" w:hAnsi="Garamond"/>
        </w:rPr>
        <w:t xml:space="preserve"> </w:t>
      </w:r>
      <w:r>
        <w:rPr>
          <w:rFonts w:ascii="Garamond" w:hAnsi="Garamond"/>
        </w:rPr>
        <w:t>in</w:t>
      </w:r>
      <w:r w:rsidR="004A579B">
        <w:rPr>
          <w:rFonts w:ascii="Garamond" w:hAnsi="Garamond"/>
        </w:rPr>
        <w:t xml:space="preserve"> </w:t>
      </w:r>
      <w:r>
        <w:rPr>
          <w:rFonts w:ascii="Garamond" w:hAnsi="Garamond"/>
        </w:rPr>
        <w:t>the uppermost portions and the latest returning fish return to the furthest downstream portions of the watershed</w:t>
      </w:r>
      <w:r w:rsidR="00186B3C">
        <w:rPr>
          <w:rFonts w:ascii="Garamond" w:hAnsi="Garamond"/>
        </w:rPr>
        <w:t xml:space="preserve">. </w:t>
      </w:r>
      <w:r>
        <w:rPr>
          <w:rFonts w:ascii="Garamond" w:hAnsi="Garamond"/>
        </w:rPr>
        <w:t>This relationship was consistent throughout our multi-year dataset</w:t>
      </w:r>
      <w:r w:rsidR="00CE01B9">
        <w:rPr>
          <w:rFonts w:ascii="Garamond" w:hAnsi="Garamond"/>
        </w:rPr>
        <w:t xml:space="preserve"> (2017-2022)</w:t>
      </w:r>
      <w:r>
        <w:rPr>
          <w:rFonts w:ascii="Garamond" w:hAnsi="Garamond"/>
        </w:rPr>
        <w:t xml:space="preserve"> despite variation in the overall migration timing</w:t>
      </w:r>
      <w:r w:rsidR="00EC283C">
        <w:rPr>
          <w:rFonts w:ascii="Garamond" w:hAnsi="Garamond"/>
        </w:rPr>
        <w:t xml:space="preserve">. </w:t>
      </w:r>
      <w:r w:rsidR="00BE3061">
        <w:rPr>
          <w:rFonts w:ascii="Garamond" w:hAnsi="Garamond"/>
        </w:rPr>
        <w:t>T</w:t>
      </w:r>
      <w:r w:rsidR="00256AEE" w:rsidRPr="00256AEE">
        <w:rPr>
          <w:rFonts w:ascii="Garamond" w:hAnsi="Garamond"/>
        </w:rPr>
        <w:t>elemetry studies identified similar patterns in</w:t>
      </w:r>
      <w:r w:rsidR="00BE3061">
        <w:rPr>
          <w:rFonts w:ascii="Garamond" w:hAnsi="Garamond"/>
        </w:rPr>
        <w:t xml:space="preserve"> relative</w:t>
      </w:r>
      <w:r w:rsidR="00256AEE" w:rsidRPr="00256AEE">
        <w:rPr>
          <w:rFonts w:ascii="Garamond" w:hAnsi="Garamond"/>
        </w:rPr>
        <w:t xml:space="preserve"> run timing among regions of the watershed, including comparable </w:t>
      </w:r>
      <w:r w:rsidR="00BE3061">
        <w:rPr>
          <w:rFonts w:ascii="Garamond" w:hAnsi="Garamond"/>
        </w:rPr>
        <w:t xml:space="preserve">average </w:t>
      </w:r>
      <w:r w:rsidR="00256AEE">
        <w:rPr>
          <w:rFonts w:ascii="Garamond" w:hAnsi="Garamond"/>
        </w:rPr>
        <w:t xml:space="preserve">return timing to upper watershed tributaries. </w:t>
      </w:r>
      <w:r w:rsidR="00256AEE" w:rsidRPr="00256AEE">
        <w:rPr>
          <w:rFonts w:ascii="Garamond" w:hAnsi="Garamond"/>
        </w:rPr>
        <w:t>In one year of overlapping data</w:t>
      </w:r>
      <w:r w:rsidR="00256AEE">
        <w:rPr>
          <w:rFonts w:ascii="Garamond" w:hAnsi="Garamond"/>
        </w:rPr>
        <w:t xml:space="preserve"> between telemetry studies and our dataset (2017)</w:t>
      </w:r>
      <w:r w:rsidR="00256AEE" w:rsidRPr="00256AEE">
        <w:rPr>
          <w:rFonts w:ascii="Garamond" w:hAnsi="Garamond"/>
        </w:rPr>
        <w:t>, telemetry observations indicated a four-day difference in median return timing between fish returning to tributaries above McGrath</w:t>
      </w:r>
      <w:r w:rsidR="00186B3C">
        <w:rPr>
          <w:rFonts w:ascii="Garamond" w:hAnsi="Garamond"/>
        </w:rPr>
        <w:t>, AK</w:t>
      </w:r>
      <w:r w:rsidR="00256AEE" w:rsidRPr="00256AEE">
        <w:rPr>
          <w:rFonts w:ascii="Garamond" w:hAnsi="Garamond"/>
        </w:rPr>
        <w:t xml:space="preserve"> and those returning to the middle watershed, </w:t>
      </w:r>
      <w:r w:rsidR="00256AEE" w:rsidRPr="00256AEE">
        <w:rPr>
          <w:rFonts w:ascii="Garamond" w:hAnsi="Garamond"/>
        </w:rPr>
        <w:lastRenderedPageBreak/>
        <w:t>approximately between Aniak</w:t>
      </w:r>
      <w:r w:rsidR="00186B3C">
        <w:rPr>
          <w:rFonts w:ascii="Garamond" w:hAnsi="Garamond"/>
        </w:rPr>
        <w:t xml:space="preserve">, AK </w:t>
      </w:r>
      <w:r w:rsidR="00256AEE" w:rsidRPr="00256AEE">
        <w:rPr>
          <w:rFonts w:ascii="Garamond" w:hAnsi="Garamond"/>
        </w:rPr>
        <w:t xml:space="preserve"> and McGrath</w:t>
      </w:r>
      <w:r w:rsidR="00186B3C">
        <w:rPr>
          <w:rFonts w:ascii="Garamond" w:hAnsi="Garamond"/>
        </w:rPr>
        <w:t xml:space="preserve">, AK </w:t>
      </w:r>
      <w:r w:rsidR="006C395C">
        <w:rPr>
          <w:rFonts w:ascii="Garamond" w:hAnsi="Garamond"/>
        </w:rPr>
        <w:fldChar w:fldCharType="begin"/>
      </w:r>
      <w:r w:rsidR="006C395C">
        <w:rPr>
          <w:rFonts w:ascii="Garamond" w:hAnsi="Garamond"/>
        </w:rPr>
        <w:instrText xml:space="preserve"> ADDIN ZOTERO_ITEM CSL_CITATION {"citationID":"cuH2khkV","properties":{"unsorted":false,"formattedCitation":"(J.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6C395C">
        <w:rPr>
          <w:rFonts w:ascii="Garamond" w:hAnsi="Garamond"/>
        </w:rPr>
        <w:fldChar w:fldCharType="separate"/>
      </w:r>
      <w:r w:rsidR="006C395C">
        <w:rPr>
          <w:rFonts w:ascii="Garamond" w:hAnsi="Garamond"/>
          <w:noProof/>
        </w:rPr>
        <w:t>(J. N. Clark &amp; Smith, 2019)</w:t>
      </w:r>
      <w:r w:rsidR="006C395C">
        <w:rPr>
          <w:rFonts w:ascii="Garamond" w:hAnsi="Garamond"/>
        </w:rPr>
        <w:fldChar w:fldCharType="end"/>
      </w:r>
      <w:r w:rsidR="00186B3C">
        <w:rPr>
          <w:rFonts w:ascii="Garamond" w:hAnsi="Garamond"/>
        </w:rPr>
        <w:t>.</w:t>
      </w:r>
      <w:r w:rsidR="00256AEE">
        <w:rPr>
          <w:rFonts w:ascii="Garamond" w:hAnsi="Garamond"/>
        </w:rPr>
        <w:t xml:space="preserve">Although these stock groupings </w:t>
      </w:r>
      <w:r w:rsidR="009368EA">
        <w:rPr>
          <w:rFonts w:ascii="Garamond" w:hAnsi="Garamond"/>
        </w:rPr>
        <w:t xml:space="preserve">are not a direct comparison to our isotope-defined groups, </w:t>
      </w:r>
      <w:r w:rsidR="00256AEE" w:rsidRPr="00256AEE">
        <w:rPr>
          <w:rFonts w:ascii="Garamond" w:hAnsi="Garamond"/>
        </w:rPr>
        <w:t xml:space="preserve">the observed </w:t>
      </w:r>
      <w:r w:rsidR="00BE3061" w:rsidRPr="00256AEE">
        <w:rPr>
          <w:rFonts w:ascii="Garamond" w:hAnsi="Garamond"/>
        </w:rPr>
        <w:t>difference</w:t>
      </w:r>
      <w:r w:rsidR="00256AEE" w:rsidRPr="00256AEE">
        <w:rPr>
          <w:rFonts w:ascii="Garamond" w:hAnsi="Garamond"/>
        </w:rPr>
        <w:t xml:space="preserve"> in timing </w:t>
      </w:r>
      <w:r w:rsidR="00256AEE">
        <w:rPr>
          <w:rFonts w:ascii="Garamond" w:hAnsi="Garamond"/>
        </w:rPr>
        <w:t>is</w:t>
      </w:r>
      <w:r w:rsidR="00256AEE" w:rsidRPr="00256AEE">
        <w:rPr>
          <w:rFonts w:ascii="Garamond" w:hAnsi="Garamond"/>
        </w:rPr>
        <w:t xml:space="preserve"> broadly consistent with </w:t>
      </w:r>
      <w:r w:rsidR="00BE3061">
        <w:rPr>
          <w:rFonts w:ascii="Garamond" w:hAnsi="Garamond"/>
        </w:rPr>
        <w:t xml:space="preserve">our </w:t>
      </w:r>
      <w:r w:rsidR="00256AEE" w:rsidRPr="00256AEE">
        <w:rPr>
          <w:rFonts w:ascii="Garamond" w:hAnsi="Garamond"/>
        </w:rPr>
        <w:t>observ</w:t>
      </w:r>
      <w:r w:rsidR="00BE3061">
        <w:rPr>
          <w:rFonts w:ascii="Garamond" w:hAnsi="Garamond"/>
        </w:rPr>
        <w:t>ations</w:t>
      </w:r>
      <w:r w:rsidR="00256AEE" w:rsidRPr="00256AEE">
        <w:rPr>
          <w:rFonts w:ascii="Garamond" w:hAnsi="Garamond"/>
        </w:rPr>
        <w:t xml:space="preserve"> </w:t>
      </w:r>
      <w:r w:rsidR="00BE3061">
        <w:rPr>
          <w:rFonts w:ascii="Garamond" w:hAnsi="Garamond"/>
        </w:rPr>
        <w:t xml:space="preserve">between </w:t>
      </w:r>
      <w:r w:rsidR="009D3E39">
        <w:rPr>
          <w:rFonts w:ascii="Garamond" w:hAnsi="Garamond"/>
        </w:rPr>
        <w:t>g</w:t>
      </w:r>
      <w:r w:rsidR="00256AEE" w:rsidRPr="00256AEE">
        <w:rPr>
          <w:rFonts w:ascii="Garamond" w:hAnsi="Garamond"/>
        </w:rPr>
        <w:t xml:space="preserve">roups </w:t>
      </w:r>
      <w:r w:rsidR="009D3E39">
        <w:rPr>
          <w:rFonts w:ascii="Garamond" w:hAnsi="Garamond"/>
        </w:rPr>
        <w:t>one</w:t>
      </w:r>
      <w:r w:rsidR="00256AEE" w:rsidRPr="00256AEE">
        <w:rPr>
          <w:rFonts w:ascii="Garamond" w:hAnsi="Garamond"/>
        </w:rPr>
        <w:t xml:space="preserve"> and </w:t>
      </w:r>
      <w:r w:rsidR="009D3E39">
        <w:rPr>
          <w:rFonts w:ascii="Garamond" w:hAnsi="Garamond"/>
        </w:rPr>
        <w:t>two</w:t>
      </w:r>
      <w:r w:rsidR="00256AEE" w:rsidRPr="00256AEE">
        <w:rPr>
          <w:rFonts w:ascii="Garamond" w:hAnsi="Garamond"/>
        </w:rPr>
        <w:t xml:space="preserve">, </w:t>
      </w:r>
      <w:r w:rsidR="00256AEE" w:rsidRPr="005019CE">
        <w:rPr>
          <w:rFonts w:ascii="Garamond" w:hAnsi="Garamond"/>
        </w:rPr>
        <w:t>which primarily occur within these regions</w:t>
      </w:r>
      <w:r w:rsidR="00005DA6" w:rsidRPr="005019CE">
        <w:rPr>
          <w:rFonts w:ascii="Garamond" w:hAnsi="Garamond"/>
        </w:rPr>
        <w:t xml:space="preserve"> </w:t>
      </w:r>
      <w:r w:rsidR="005019CE" w:rsidRPr="00646BBC">
        <w:rPr>
          <w:rFonts w:ascii="Garamond" w:hAnsi="Garamond"/>
        </w:rPr>
        <w:fldChar w:fldCharType="begin"/>
      </w:r>
      <w:r w:rsidR="005019CE" w:rsidRPr="00646BBC">
        <w:rPr>
          <w:rFonts w:ascii="Garamond" w:hAnsi="Garamond"/>
        </w:rPr>
        <w:instrText xml:space="preserve"> ADDIN ZOTERO_ITEM CSL_CITATION {"citationID":"q1pcvvPz","properties":{"unsorted":false,"formattedCitation":"(J.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5019CE" w:rsidRPr="00646BBC">
        <w:rPr>
          <w:rFonts w:ascii="Garamond" w:hAnsi="Garamond"/>
        </w:rPr>
        <w:fldChar w:fldCharType="separate"/>
      </w:r>
      <w:r w:rsidR="005019CE" w:rsidRPr="00646BBC">
        <w:rPr>
          <w:rFonts w:ascii="Garamond" w:hAnsi="Garamond"/>
          <w:noProof/>
        </w:rPr>
        <w:t>(J. N. Clark &amp; Smith, 2019)</w:t>
      </w:r>
      <w:r w:rsidR="005019CE" w:rsidRPr="00646BBC">
        <w:rPr>
          <w:rFonts w:ascii="Garamond" w:hAnsi="Garamond"/>
        </w:rPr>
        <w:fldChar w:fldCharType="end"/>
      </w:r>
      <w:r w:rsidR="005019CE" w:rsidRPr="005019CE">
        <w:rPr>
          <w:rFonts w:ascii="Garamond" w:hAnsi="Garamond"/>
        </w:rPr>
        <w:t>.</w:t>
      </w:r>
    </w:p>
    <w:p w14:paraId="476F8195" w14:textId="005D7C10" w:rsidR="00450ED3" w:rsidRPr="00646BBC" w:rsidRDefault="00EE2B9C" w:rsidP="00005DA6">
      <w:pPr>
        <w:pStyle w:val="whitespace-normal"/>
        <w:spacing w:line="480" w:lineRule="auto"/>
        <w:ind w:firstLine="720"/>
        <w:rPr>
          <w:rStyle w:val="Strong"/>
          <w:rFonts w:ascii="Garamond" w:hAnsi="Garamond"/>
          <w:b w:val="0"/>
          <w:bCs w:val="0"/>
        </w:rPr>
      </w:pPr>
      <w:r>
        <w:rPr>
          <w:rFonts w:ascii="Garamond" w:hAnsi="Garamond"/>
        </w:rPr>
        <w:t>A clear pattern of early-</w:t>
      </w:r>
      <w:r w:rsidR="00637562">
        <w:rPr>
          <w:rFonts w:ascii="Garamond" w:hAnsi="Garamond"/>
        </w:rPr>
        <w:t xml:space="preserve">migrating </w:t>
      </w:r>
      <w:r>
        <w:rPr>
          <w:rFonts w:ascii="Garamond" w:hAnsi="Garamond"/>
        </w:rPr>
        <w:t>upriver populations supports the front-end closure’s objective of protecting these fish from downriver harvest and providing more equitable harvest opportunities</w:t>
      </w:r>
      <w:r w:rsidR="00EC283C">
        <w:rPr>
          <w:rFonts w:ascii="Garamond" w:hAnsi="Garamond"/>
        </w:rPr>
        <w:t xml:space="preserve"> </w:t>
      </w:r>
      <w:r>
        <w:rPr>
          <w:rFonts w:ascii="Garamond" w:hAnsi="Garamond"/>
        </w:rPr>
        <w:t>in the upper watershed. Upper Kuskokwim groups contributed substantially to early-season migrants (i.e. group two); however, the furthest upstream populations (group one) consistently represented only a small portion of total basin-wide returns in our dataset</w:t>
      </w:r>
      <w:r w:rsidR="00005DA6">
        <w:rPr>
          <w:rFonts w:ascii="Garamond" w:hAnsi="Garamond"/>
        </w:rPr>
        <w:t xml:space="preserve"> (Fig. 3b)</w:t>
      </w:r>
      <w:r w:rsidR="00186B3C">
        <w:rPr>
          <w:rFonts w:ascii="Garamond" w:hAnsi="Garamond"/>
        </w:rPr>
        <w:t xml:space="preserve">, </w:t>
      </w:r>
      <w:r w:rsidR="00637562">
        <w:rPr>
          <w:rFonts w:ascii="Garamond" w:hAnsi="Garamond"/>
        </w:rPr>
        <w:t>consistent</w:t>
      </w:r>
      <w:r w:rsidR="00186B3C">
        <w:rPr>
          <w:rFonts w:ascii="Garamond" w:hAnsi="Garamond"/>
        </w:rPr>
        <w:t xml:space="preserve"> with findings from telemetry data </w:t>
      </w:r>
      <w:r w:rsidR="008E0323">
        <w:rPr>
          <w:rFonts w:ascii="Garamond" w:hAnsi="Garamond"/>
        </w:rPr>
        <w:fldChar w:fldCharType="begin"/>
      </w:r>
      <w:r w:rsidR="008E0323">
        <w:rPr>
          <w:rFonts w:ascii="Garamond" w:hAnsi="Garamond"/>
        </w:rPr>
        <w:instrText xml:space="preserve"> ADDIN ZOTERO_ITEM CSL_CITATION {"citationID":"mPPe84Pe","properties":{"unsorted":false,"formattedCitation":"(J.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8E0323">
        <w:rPr>
          <w:rFonts w:ascii="Garamond" w:hAnsi="Garamond"/>
        </w:rPr>
        <w:fldChar w:fldCharType="separate"/>
      </w:r>
      <w:r w:rsidR="008E0323">
        <w:rPr>
          <w:rFonts w:ascii="Garamond" w:hAnsi="Garamond"/>
          <w:noProof/>
        </w:rPr>
        <w:t>(J. N. Clark &amp; Smith, 2019)</w:t>
      </w:r>
      <w:r w:rsidR="008E0323">
        <w:rPr>
          <w:rFonts w:ascii="Garamond" w:hAnsi="Garamond"/>
        </w:rPr>
        <w:fldChar w:fldCharType="end"/>
      </w:r>
      <w:r w:rsidR="00186B3C">
        <w:rPr>
          <w:rFonts w:ascii="Garamond" w:hAnsi="Garamond"/>
        </w:rPr>
        <w:t xml:space="preserve"> </w:t>
      </w:r>
      <w:r>
        <w:rPr>
          <w:rFonts w:ascii="Garamond" w:hAnsi="Garamond"/>
        </w:rPr>
        <w:t xml:space="preserve">Despite this variation in abundance, individuals in both upper watershed groups returned early in the migration season. </w:t>
      </w:r>
      <w:r w:rsidR="00186B3C">
        <w:rPr>
          <w:rFonts w:ascii="Garamond" w:hAnsi="Garamond"/>
        </w:rPr>
        <w:t>T</w:t>
      </w:r>
      <w:r>
        <w:rPr>
          <w:rFonts w:ascii="Garamond" w:hAnsi="Garamond"/>
        </w:rPr>
        <w:t>he front-end closure strategy as it is currently implemented</w:t>
      </w:r>
      <w:r w:rsidR="00186B3C">
        <w:rPr>
          <w:rFonts w:ascii="Garamond" w:hAnsi="Garamond"/>
        </w:rPr>
        <w:t xml:space="preserve"> therefore</w:t>
      </w:r>
      <w:r>
        <w:rPr>
          <w:rFonts w:ascii="Garamond" w:hAnsi="Garamond"/>
        </w:rPr>
        <w:t xml:space="preserve"> provides protection to </w:t>
      </w:r>
      <w:r w:rsidR="00BE3061">
        <w:rPr>
          <w:rFonts w:ascii="Garamond" w:hAnsi="Garamond"/>
        </w:rPr>
        <w:t xml:space="preserve">both </w:t>
      </w:r>
      <w:r>
        <w:rPr>
          <w:rFonts w:ascii="Garamond" w:hAnsi="Garamond"/>
        </w:rPr>
        <w:t xml:space="preserve">populations regardless of their overall abundance. For relatively small stocks such as those found in group one, this strategy may be particularly important for preserving biodiversity by preventing overharvest very early in the season when they may be co-migrating with much more abundant populations such as those in group two. Protecting these populations, despite relatively low returns, </w:t>
      </w:r>
      <w:r w:rsidR="00BE3061">
        <w:rPr>
          <w:rFonts w:ascii="Garamond" w:hAnsi="Garamond"/>
        </w:rPr>
        <w:t xml:space="preserve">helps to maintain </w:t>
      </w:r>
      <w:r>
        <w:rPr>
          <w:rStyle w:val="Strong"/>
          <w:rFonts w:ascii="Garamond" w:eastAsiaTheme="majorEastAsia" w:hAnsi="Garamond"/>
          <w:b w:val="0"/>
          <w:bCs w:val="0"/>
        </w:rPr>
        <w:t xml:space="preserve">basin-wide biodiversity and may contribute to adaptive capacity at the basin scale as less dominant sub-stocks can become more productive over longer time frames </w:t>
      </w:r>
      <w:r>
        <w:rPr>
          <w:rStyle w:val="Strong"/>
          <w:rFonts w:ascii="Garamond" w:eastAsiaTheme="majorEastAsia" w:hAnsi="Garamond"/>
          <w:b w:val="0"/>
          <w:bCs w:val="0"/>
        </w:rPr>
        <w:fldChar w:fldCharType="begin"/>
      </w:r>
      <w:r>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Style w:val="Strong"/>
          <w:rFonts w:ascii="Garamond" w:eastAsiaTheme="majorEastAsia" w:hAnsi="Garamond"/>
          <w:b w:val="0"/>
          <w:bCs w:val="0"/>
        </w:rPr>
        <w:fldChar w:fldCharType="separate"/>
      </w:r>
      <w:r>
        <w:rPr>
          <w:rStyle w:val="Strong"/>
          <w:rFonts w:ascii="Garamond" w:eastAsiaTheme="majorEastAsia" w:hAnsi="Garamond"/>
          <w:b w:val="0"/>
          <w:bCs w:val="0"/>
          <w:noProof/>
        </w:rPr>
        <w:t>(Hilborn et al., 2003; Schindler et al., 2010)</w:t>
      </w:r>
      <w:r>
        <w:rPr>
          <w:rStyle w:val="Strong"/>
          <w:rFonts w:ascii="Garamond" w:eastAsiaTheme="majorEastAsia" w:hAnsi="Garamond"/>
          <w:b w:val="0"/>
          <w:bCs w:val="0"/>
        </w:rPr>
        <w:fldChar w:fldCharType="end"/>
      </w:r>
      <w:r>
        <w:rPr>
          <w:rStyle w:val="Strong"/>
          <w:rFonts w:ascii="Garamond" w:eastAsiaTheme="majorEastAsia" w:hAnsi="Garamond"/>
          <w:b w:val="0"/>
          <w:bCs w:val="0"/>
        </w:rPr>
        <w:t xml:space="preserve">. </w:t>
      </w:r>
    </w:p>
    <w:p w14:paraId="1DD5BDE7" w14:textId="63A9E983" w:rsidR="00BE3061" w:rsidRDefault="005312E0" w:rsidP="00BE3061">
      <w:pPr>
        <w:pStyle w:val="whitespace-normal"/>
        <w:spacing w:line="480" w:lineRule="auto"/>
        <w:ind w:firstLine="720"/>
        <w:rPr>
          <w:rFonts w:ascii="Garamond" w:hAnsi="Garamond"/>
        </w:rPr>
      </w:pPr>
      <w:r>
        <w:rPr>
          <w:rFonts w:ascii="Garamond" w:hAnsi="Garamond"/>
        </w:rPr>
        <w:t xml:space="preserve">Despite a consistent overall relationship between watershed position and migration timing, we observed substantial interannual variability in both the proportional contributions of regional groups to the total run </w:t>
      </w:r>
      <w:r w:rsidR="00BE3061">
        <w:rPr>
          <w:rFonts w:ascii="Garamond" w:hAnsi="Garamond"/>
        </w:rPr>
        <w:t xml:space="preserve">(Fig. 3b) </w:t>
      </w:r>
      <w:r>
        <w:rPr>
          <w:rFonts w:ascii="Garamond" w:hAnsi="Garamond"/>
        </w:rPr>
        <w:t>and the proportional protection afforded by the front-end closure strategy</w:t>
      </w:r>
      <w:r w:rsidR="00BE3061">
        <w:rPr>
          <w:rFonts w:ascii="Garamond" w:hAnsi="Garamond"/>
        </w:rPr>
        <w:t xml:space="preserve"> (Fig. 5). </w:t>
      </w:r>
      <w:r>
        <w:rPr>
          <w:rFonts w:ascii="Garamond" w:hAnsi="Garamond"/>
        </w:rPr>
        <w:t xml:space="preserve">Variability in spatial patterns of production align with well-documented </w:t>
      </w:r>
      <w:r w:rsidR="00186B3C">
        <w:rPr>
          <w:rFonts w:ascii="Garamond" w:hAnsi="Garamond"/>
        </w:rPr>
        <w:lastRenderedPageBreak/>
        <w:t>characteristics of</w:t>
      </w:r>
      <w:r>
        <w:rPr>
          <w:rFonts w:ascii="Garamond" w:hAnsi="Garamond"/>
        </w:rPr>
        <w:t xml:space="preserve"> salmon life histories and previously observed shifts in habitat use across annual timescales </w:t>
      </w:r>
      <w:r>
        <w:rPr>
          <w:rFonts w:ascii="Garamond" w:hAnsi="Garamond"/>
        </w:rPr>
        <w:fldChar w:fldCharType="begin"/>
      </w:r>
      <w:r>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rPr>
        <w:fldChar w:fldCharType="separate"/>
      </w:r>
      <w:r>
        <w:rPr>
          <w:rFonts w:ascii="Garamond" w:hAnsi="Garamond"/>
          <w:noProof/>
        </w:rPr>
        <w:t>(Brennan et al., 2019; Schindler et al., 2010)</w:t>
      </w:r>
      <w:r>
        <w:rPr>
          <w:rFonts w:ascii="Garamond" w:hAnsi="Garamond"/>
        </w:rPr>
        <w:fldChar w:fldCharType="end"/>
      </w:r>
      <w:r>
        <w:rPr>
          <w:rFonts w:ascii="Garamond" w:hAnsi="Garamond"/>
        </w:rPr>
        <w:t>. However, variability in the efficacy of the front-end closure also likely reflects the interaction between run dynamics and management strategies that operate on a fixed calendar date. Because the closure is implemented on a fixed schedule, interannual variation in migration timing means that the proportion of the run occurring within the closure window depends on both the timing (early vs. late) and duration (compressed vs. protracted) of the overall migration. Late return timing or extended run duration may result in less proportional contribution within the closure window as compared to earlier returning and less protracted run timing. When combined with natural variability in basin-wide production patterns, this may introduce substantial variability in the population-specific effect</w:t>
      </w:r>
      <w:r w:rsidR="00637562">
        <w:rPr>
          <w:rFonts w:ascii="Garamond" w:hAnsi="Garamond"/>
        </w:rPr>
        <w:t>s</w:t>
      </w:r>
      <w:r>
        <w:rPr>
          <w:rFonts w:ascii="Garamond" w:hAnsi="Garamond"/>
        </w:rPr>
        <w:t xml:space="preserve"> of the front-end closure</w:t>
      </w:r>
      <w:r w:rsidR="00BE3061">
        <w:rPr>
          <w:rFonts w:ascii="Garamond" w:hAnsi="Garamond"/>
        </w:rPr>
        <w:t xml:space="preserve">, highlighting </w:t>
      </w:r>
      <w:r>
        <w:rPr>
          <w:rFonts w:ascii="Garamond" w:hAnsi="Garamond"/>
        </w:rPr>
        <w:t xml:space="preserve">a potential limitation of a fixed date closure and </w:t>
      </w:r>
      <w:r w:rsidR="00637562">
        <w:rPr>
          <w:rFonts w:ascii="Garamond" w:hAnsi="Garamond"/>
        </w:rPr>
        <w:t xml:space="preserve">emphasizing </w:t>
      </w:r>
      <w:r>
        <w:rPr>
          <w:rFonts w:ascii="Garamond" w:hAnsi="Garamond"/>
        </w:rPr>
        <w:t xml:space="preserve">the </w:t>
      </w:r>
      <w:r w:rsidR="00637562">
        <w:rPr>
          <w:rFonts w:ascii="Garamond" w:hAnsi="Garamond"/>
        </w:rPr>
        <w:t>challenges in</w:t>
      </w:r>
      <w:r>
        <w:rPr>
          <w:rFonts w:ascii="Garamond" w:hAnsi="Garamond"/>
        </w:rPr>
        <w:t xml:space="preserve"> managing for a dynamic ecosystem.</w:t>
      </w:r>
    </w:p>
    <w:p w14:paraId="690B8EFD" w14:textId="39162B3F" w:rsidR="009C3FA5" w:rsidRPr="00646BBC" w:rsidRDefault="005312E0" w:rsidP="00BE3061">
      <w:pPr>
        <w:pStyle w:val="whitespace-normal"/>
        <w:spacing w:line="480" w:lineRule="auto"/>
        <w:ind w:firstLine="720"/>
        <w:rPr>
          <w:rFonts w:ascii="Garamond" w:hAnsi="Garamond"/>
        </w:rPr>
      </w:pPr>
      <w:r>
        <w:rPr>
          <w:rFonts w:ascii="Garamond" w:hAnsi="Garamond"/>
        </w:rPr>
        <w:t xml:space="preserve"> </w:t>
      </w:r>
      <w:r w:rsidR="00B7081E" w:rsidRPr="00B7081E">
        <w:rPr>
          <w:rFonts w:ascii="Garamond" w:hAnsi="Garamond"/>
        </w:rPr>
        <w:t xml:space="preserve">In the absence of detailed information on basin-wide spatial ecology, a fixed-date closure provides a </w:t>
      </w:r>
      <w:r w:rsidR="00637562">
        <w:rPr>
          <w:rFonts w:ascii="Garamond" w:hAnsi="Garamond"/>
        </w:rPr>
        <w:t xml:space="preserve">simple and </w:t>
      </w:r>
      <w:r w:rsidR="00B7081E" w:rsidRPr="00B7081E">
        <w:rPr>
          <w:rFonts w:ascii="Garamond" w:hAnsi="Garamond"/>
        </w:rPr>
        <w:t>practical management approach that offers a predictable harvest window for fishers. The results presented here suggest that this strategy has been largely effective despite limited knowledge of population-specific migration patterns.</w:t>
      </w:r>
      <w:r w:rsidR="00BE3061">
        <w:rPr>
          <w:rFonts w:ascii="Garamond" w:hAnsi="Garamond"/>
        </w:rPr>
        <w:t xml:space="preserve"> </w:t>
      </w:r>
      <w:r w:rsidR="0065735E">
        <w:rPr>
          <w:rFonts w:ascii="Garamond" w:hAnsi="Garamond"/>
        </w:rPr>
        <w:t>However, a</w:t>
      </w:r>
      <w:r>
        <w:rPr>
          <w:rFonts w:ascii="Garamond" w:hAnsi="Garamond"/>
        </w:rPr>
        <w:t xml:space="preserve"> more dynamic closure which is responsive to predicted or observed run dynamics may provide more consistent protection to upstream populations. </w:t>
      </w:r>
      <w:r w:rsidR="00B7081E" w:rsidRPr="00B7081E">
        <w:rPr>
          <w:rFonts w:ascii="Garamond" w:hAnsi="Garamond"/>
        </w:rPr>
        <w:t xml:space="preserve">Implementing such an approach would require accurate forecasts of both the onset of the run and the relative timing of migration among subpopulations. Although </w:t>
      </w:r>
      <w:r w:rsidR="00BE3061">
        <w:rPr>
          <w:rFonts w:ascii="Garamond" w:hAnsi="Garamond"/>
        </w:rPr>
        <w:t xml:space="preserve">our </w:t>
      </w:r>
      <w:r w:rsidR="005019CE">
        <w:rPr>
          <w:rFonts w:ascii="Garamond" w:hAnsi="Garamond"/>
        </w:rPr>
        <w:t xml:space="preserve">results </w:t>
      </w:r>
      <w:r w:rsidR="005019CE" w:rsidRPr="00B7081E">
        <w:rPr>
          <w:rFonts w:ascii="Garamond" w:hAnsi="Garamond"/>
        </w:rPr>
        <w:t>indicate</w:t>
      </w:r>
      <w:r w:rsidR="00B7081E" w:rsidRPr="00B7081E">
        <w:rPr>
          <w:rFonts w:ascii="Garamond" w:hAnsi="Garamond"/>
        </w:rPr>
        <w:t xml:space="preserve"> broadly consistent differences in migration timing among groups, the greater interannual variability observed for upper watershed populations illustrates the difficulty of designing a dynamic closure that reliably protects a consistent proportion of these</w:t>
      </w:r>
      <w:r w:rsidR="000D5ACA">
        <w:rPr>
          <w:rFonts w:ascii="Garamond" w:hAnsi="Garamond"/>
        </w:rPr>
        <w:t xml:space="preserve"> populations</w:t>
      </w:r>
      <w:r w:rsidR="00B7081E" w:rsidRPr="00B7081E">
        <w:rPr>
          <w:rFonts w:ascii="Garamond" w:hAnsi="Garamond"/>
        </w:rPr>
        <w:t>.</w:t>
      </w:r>
      <w:r w:rsidR="004437C4">
        <w:rPr>
          <w:rFonts w:ascii="Garamond" w:hAnsi="Garamond"/>
        </w:rPr>
        <w:t xml:space="preserve"> </w:t>
      </w:r>
      <w:r>
        <w:rPr>
          <w:rFonts w:ascii="Garamond" w:hAnsi="Garamond"/>
        </w:rPr>
        <w:t xml:space="preserve">Improvement of run timing forecasts </w:t>
      </w:r>
      <w:r>
        <w:rPr>
          <w:rFonts w:ascii="Garamond" w:hAnsi="Garamond"/>
        </w:rPr>
        <w:fldChar w:fldCharType="begin"/>
      </w:r>
      <w:r>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Pr>
          <w:rFonts w:ascii="Garamond" w:hAnsi="Garamond"/>
        </w:rPr>
        <w:fldChar w:fldCharType="separate"/>
      </w:r>
      <w:r>
        <w:rPr>
          <w:rFonts w:ascii="Garamond" w:hAnsi="Garamond"/>
          <w:noProof/>
        </w:rPr>
        <w:t>(e.g. Mundy, 1982; Staton et al., 2017)</w:t>
      </w:r>
      <w:r>
        <w:rPr>
          <w:rFonts w:ascii="Garamond" w:hAnsi="Garamond"/>
        </w:rPr>
        <w:fldChar w:fldCharType="end"/>
      </w:r>
      <w:r w:rsidR="000D5ACA">
        <w:rPr>
          <w:rFonts w:ascii="Garamond" w:hAnsi="Garamond"/>
        </w:rPr>
        <w:t xml:space="preserve"> and a more complete understanding of </w:t>
      </w:r>
      <w:r w:rsidR="000D5ACA">
        <w:rPr>
          <w:rFonts w:ascii="Garamond" w:hAnsi="Garamond"/>
        </w:rPr>
        <w:lastRenderedPageBreak/>
        <w:t>relative timing among stocks,</w:t>
      </w:r>
      <w:r>
        <w:rPr>
          <w:rFonts w:ascii="Garamond" w:hAnsi="Garamond"/>
        </w:rPr>
        <w:t xml:space="preserve"> might allow for variable front-end closure timing among years; however, until such reliable forecasting methods are developed for the Kuskokwim River, the static approach currently employed here appears to perform relatively well at protecting the upriver stocks that are the primary focus of conservation.</w:t>
      </w:r>
      <w:r>
        <w:t xml:space="preserve"> </w:t>
      </w:r>
    </w:p>
    <w:p w14:paraId="25323A12" w14:textId="30E036DE" w:rsidR="000D5ACA" w:rsidRDefault="009C3FA5" w:rsidP="000D5ACA">
      <w:pPr>
        <w:pStyle w:val="whitespace-normal"/>
        <w:spacing w:line="480" w:lineRule="auto"/>
        <w:ind w:firstLine="720"/>
        <w:rPr>
          <w:rFonts w:ascii="Garamond" w:hAnsi="Garamond"/>
        </w:rPr>
      </w:pPr>
      <w:r>
        <w:rPr>
          <w:rFonts w:ascii="Garamond" w:hAnsi="Garamond"/>
        </w:rPr>
        <w:t xml:space="preserve">Simulated changes to the front-end closure duration increased the average protection afforded to several regional groups, with a six-day extension from the current end date resulting in increased protection to regional groups one and two by 32.3% and 21.3%. However, increasing the duration of the closure did not result in high protection in all years. In both the three and six-day extension scenarios, several years of data displayed moderately low protection in years where the average run timing was relatively late, reiterating the challenge of estimating the population specific impacts even with a longer duration closure window. In addition, management decisions must consider the dual goals of both </w:t>
      </w:r>
      <w:r w:rsidR="00637562">
        <w:rPr>
          <w:rFonts w:ascii="Garamond" w:hAnsi="Garamond"/>
        </w:rPr>
        <w:t xml:space="preserve">protecting </w:t>
      </w:r>
      <w:r>
        <w:rPr>
          <w:rFonts w:ascii="Garamond" w:hAnsi="Garamond"/>
        </w:rPr>
        <w:t xml:space="preserve">biodiversity and </w:t>
      </w:r>
      <w:r w:rsidR="00637562">
        <w:rPr>
          <w:rFonts w:ascii="Garamond" w:hAnsi="Garamond"/>
        </w:rPr>
        <w:t xml:space="preserve">providing </w:t>
      </w:r>
      <w:r>
        <w:rPr>
          <w:rFonts w:ascii="Garamond" w:hAnsi="Garamond"/>
        </w:rPr>
        <w:t>harvest opportunity. As currently implemented, the front-end closure on the Kuskokwim resulted in 12%</w:t>
      </w:r>
      <w:r w:rsidR="00B7081E">
        <w:rPr>
          <w:rFonts w:ascii="Garamond" w:hAnsi="Garamond"/>
        </w:rPr>
        <w:t xml:space="preserve"> </w:t>
      </w:r>
      <w:r w:rsidR="00B7081E" w:rsidRPr="00B7081E">
        <w:rPr>
          <w:rFonts w:ascii="Garamond" w:hAnsi="Garamond"/>
        </w:rPr>
        <w:t>(range = 4.9% - 20.3%)</w:t>
      </w:r>
      <w:r>
        <w:rPr>
          <w:rFonts w:ascii="Garamond" w:hAnsi="Garamond"/>
        </w:rPr>
        <w:t xml:space="preserve"> of the total potential harvest falling within the closure window. Although the three-day and six-day extensions did improve both the minimum and average protection afforded to upper watershed groups, they also resulted in an additional 6%</w:t>
      </w:r>
      <w:r w:rsidR="00B7081E">
        <w:rPr>
          <w:rFonts w:ascii="Garamond" w:hAnsi="Garamond"/>
        </w:rPr>
        <w:t xml:space="preserve"> </w:t>
      </w:r>
      <w:r w:rsidR="00B7081E" w:rsidRPr="00B7081E">
        <w:rPr>
          <w:rFonts w:ascii="Garamond" w:hAnsi="Garamond"/>
        </w:rPr>
        <w:t>(range = 2.6% – 9.7%)</w:t>
      </w:r>
      <w:r>
        <w:rPr>
          <w:rFonts w:ascii="Garamond" w:hAnsi="Garamond"/>
        </w:rPr>
        <w:t xml:space="preserve"> and 1</w:t>
      </w:r>
      <w:r w:rsidR="00B7081E">
        <w:rPr>
          <w:rFonts w:ascii="Garamond" w:hAnsi="Garamond"/>
        </w:rPr>
        <w:t xml:space="preserve">3% </w:t>
      </w:r>
      <w:r w:rsidR="00B7081E" w:rsidRPr="00B7081E">
        <w:rPr>
          <w:rFonts w:ascii="Garamond" w:hAnsi="Garamond"/>
        </w:rPr>
        <w:t>(range = 7.0% – 19.3%)</w:t>
      </w:r>
      <w:r>
        <w:rPr>
          <w:rFonts w:ascii="Garamond" w:hAnsi="Garamond"/>
        </w:rPr>
        <w:t xml:space="preserve"> of the potential harvest falling within the closure window. </w:t>
      </w:r>
      <w:r w:rsidR="000D5ACA">
        <w:rPr>
          <w:rFonts w:ascii="Garamond" w:hAnsi="Garamond"/>
        </w:rPr>
        <w:t xml:space="preserve">These results highlight the need to evaluate the tradeoff between conservation benefit and the associated cost to harvest in the watershed. </w:t>
      </w:r>
    </w:p>
    <w:p w14:paraId="5003A478" w14:textId="2C2618C1" w:rsidR="003F1234" w:rsidRPr="00646BBC" w:rsidRDefault="000D5ACA" w:rsidP="00646BBC">
      <w:pPr>
        <w:pStyle w:val="whitespace-normal"/>
        <w:spacing w:line="480" w:lineRule="auto"/>
        <w:ind w:firstLine="720"/>
        <w:rPr>
          <w:rFonts w:ascii="Garamond" w:hAnsi="Garamond"/>
        </w:rPr>
      </w:pPr>
      <w:r w:rsidRPr="000D5ACA">
        <w:rPr>
          <w:rFonts w:ascii="Garamond" w:hAnsi="Garamond"/>
        </w:rPr>
        <w:t xml:space="preserve">Although </w:t>
      </w:r>
      <w:r w:rsidR="00C57048" w:rsidRPr="00646BBC">
        <w:rPr>
          <w:rFonts w:ascii="Garamond" w:hAnsi="Garamond"/>
        </w:rPr>
        <w:t>a front-end closure appears to be an effective strategy for maintaining biodiversity in the upper watershed</w:t>
      </w:r>
      <w:r w:rsidRPr="00646BBC">
        <w:rPr>
          <w:rFonts w:ascii="Garamond" w:hAnsi="Garamond"/>
        </w:rPr>
        <w:t xml:space="preserve">, </w:t>
      </w:r>
      <w:r w:rsidR="00C57048" w:rsidRPr="00646BBC">
        <w:rPr>
          <w:rFonts w:ascii="Garamond" w:hAnsi="Garamond"/>
        </w:rPr>
        <w:t xml:space="preserve">the overall effectiveness of this strategy depends not only on the protection provided during the closure, but also on how the closure affects overall harvest opportunity and harvest behavior once the fishery reopens. For example, a closure which protects a large proportion </w:t>
      </w:r>
      <w:r w:rsidR="00C57048" w:rsidRPr="00646BBC">
        <w:rPr>
          <w:rFonts w:ascii="Garamond" w:hAnsi="Garamond"/>
        </w:rPr>
        <w:lastRenderedPageBreak/>
        <w:t xml:space="preserve">of upstream stocks by prohibiting harvest on a significant portion of the run may concentrate fishing pressure on later returning stocks. As a result, this shift in the temporal distribution of fishing pressure may </w:t>
      </w:r>
      <w:r w:rsidRPr="00646BBC">
        <w:rPr>
          <w:rFonts w:ascii="Garamond" w:hAnsi="Garamond"/>
        </w:rPr>
        <w:t xml:space="preserve">impose a greater </w:t>
      </w:r>
      <w:r w:rsidR="00C57048" w:rsidRPr="00646BBC">
        <w:rPr>
          <w:rFonts w:ascii="Garamond" w:hAnsi="Garamond"/>
        </w:rPr>
        <w:t xml:space="preserve">impact </w:t>
      </w:r>
      <w:r w:rsidRPr="00646BBC">
        <w:rPr>
          <w:rFonts w:ascii="Garamond" w:hAnsi="Garamond"/>
        </w:rPr>
        <w:t xml:space="preserve">to </w:t>
      </w:r>
      <w:r w:rsidR="00C57048" w:rsidRPr="00646BBC">
        <w:rPr>
          <w:rFonts w:ascii="Garamond" w:hAnsi="Garamond"/>
        </w:rPr>
        <w:t>weak downstream stocks as compared to the same harvest pressure distributed across the full migration window</w:t>
      </w:r>
      <w:r w:rsidRPr="00646BBC">
        <w:rPr>
          <w:rFonts w:ascii="Garamond" w:hAnsi="Garamond"/>
        </w:rPr>
        <w:t xml:space="preserve">. </w:t>
      </w:r>
      <w:r w:rsidR="00FC3951" w:rsidRPr="00646BBC">
        <w:rPr>
          <w:rFonts w:ascii="Garamond" w:hAnsi="Garamond"/>
        </w:rPr>
        <w:t xml:space="preserve">By the same principle, reduced fishing opportunities for Chinook salmon could shift subsistence harvest effort toward other important subsistence species such as chum salmon, which return later in the season but face similar conservation concerns. </w:t>
      </w:r>
      <w:r w:rsidR="00390710" w:rsidRPr="00646BBC">
        <w:rPr>
          <w:rFonts w:ascii="Garamond" w:hAnsi="Garamond"/>
        </w:rPr>
        <w:t>T</w:t>
      </w:r>
      <w:r w:rsidR="00C57048" w:rsidRPr="00646BBC">
        <w:rPr>
          <w:rFonts w:ascii="Garamond" w:hAnsi="Garamond"/>
        </w:rPr>
        <w:t xml:space="preserve">he timing of the front-end closure </w:t>
      </w:r>
      <w:r w:rsidR="00390710" w:rsidRPr="00646BBC">
        <w:rPr>
          <w:rFonts w:ascii="Garamond" w:hAnsi="Garamond"/>
        </w:rPr>
        <w:t xml:space="preserve">also </w:t>
      </w:r>
      <w:r w:rsidR="00C57048" w:rsidRPr="00646BBC">
        <w:rPr>
          <w:rFonts w:ascii="Garamond" w:hAnsi="Garamond"/>
        </w:rPr>
        <w:t>coincides with the preferred and traditional timing of fishing for many communities in the lower Kuskokwim</w:t>
      </w:r>
      <w:r w:rsidR="00AC7FA1" w:rsidRPr="00646BBC">
        <w:rPr>
          <w:rFonts w:ascii="Garamond" w:hAnsi="Garamond"/>
        </w:rPr>
        <w:t xml:space="preserve">, including the optimal </w:t>
      </w:r>
      <w:r w:rsidR="00FC3951" w:rsidRPr="00646BBC">
        <w:rPr>
          <w:rFonts w:ascii="Garamond" w:hAnsi="Garamond"/>
        </w:rPr>
        <w:t>timing for drying</w:t>
      </w:r>
      <w:r w:rsidR="00AC7FA1" w:rsidRPr="00646BBC">
        <w:rPr>
          <w:rFonts w:ascii="Garamond" w:hAnsi="Garamond"/>
        </w:rPr>
        <w:t>, processing,</w:t>
      </w:r>
      <w:r w:rsidR="00FC3951" w:rsidRPr="00646BBC">
        <w:rPr>
          <w:rFonts w:ascii="Garamond" w:hAnsi="Garamond"/>
        </w:rPr>
        <w:t xml:space="preserve"> and preserving</w:t>
      </w:r>
      <w:r w:rsidR="00AC7FA1" w:rsidRPr="00646BBC">
        <w:rPr>
          <w:rFonts w:ascii="Garamond" w:hAnsi="Garamond"/>
        </w:rPr>
        <w:t xml:space="preserve"> harvested</w:t>
      </w:r>
      <w:r w:rsidR="00FC3951" w:rsidRPr="00646BBC">
        <w:rPr>
          <w:rFonts w:ascii="Garamond" w:hAnsi="Garamond"/>
        </w:rPr>
        <w:t xml:space="preserve"> fish</w:t>
      </w:r>
      <w:r w:rsidR="00AC7FA1" w:rsidRPr="00646BBC">
        <w:rPr>
          <w:rFonts w:ascii="Garamond" w:hAnsi="Garamond"/>
        </w:rPr>
        <w:t xml:space="preserve">. </w:t>
      </w:r>
      <w:r w:rsidR="00C57048" w:rsidRPr="00646BBC">
        <w:rPr>
          <w:rFonts w:ascii="Garamond" w:hAnsi="Garamond"/>
        </w:rPr>
        <w:t>An extended duration of this closure</w:t>
      </w:r>
      <w:r w:rsidR="00AC7FA1" w:rsidRPr="00646BBC">
        <w:rPr>
          <w:rFonts w:ascii="Garamond" w:hAnsi="Garamond"/>
        </w:rPr>
        <w:t xml:space="preserve"> </w:t>
      </w:r>
      <w:r w:rsidRPr="00646BBC">
        <w:rPr>
          <w:rFonts w:ascii="Garamond" w:hAnsi="Garamond"/>
        </w:rPr>
        <w:t xml:space="preserve">could </w:t>
      </w:r>
      <w:r w:rsidR="00FC3951" w:rsidRPr="00646BBC">
        <w:rPr>
          <w:rFonts w:ascii="Garamond" w:hAnsi="Garamond"/>
        </w:rPr>
        <w:t xml:space="preserve">not only disrupt fishing opportunity by reducing the overall available harvest window but also by conflicting with the customs and traditions involved with subsistence harvest. </w:t>
      </w:r>
      <w:r w:rsidR="00C57048" w:rsidRPr="00646BBC">
        <w:rPr>
          <w:rFonts w:ascii="Garamond" w:hAnsi="Garamond"/>
        </w:rPr>
        <w:t xml:space="preserve">The </w:t>
      </w:r>
      <w:r w:rsidR="00390710" w:rsidRPr="00646BBC">
        <w:rPr>
          <w:rFonts w:ascii="Garamond" w:hAnsi="Garamond"/>
        </w:rPr>
        <w:t xml:space="preserve">ultimate effect </w:t>
      </w:r>
      <w:r w:rsidR="00C57048" w:rsidRPr="00646BBC">
        <w:rPr>
          <w:rFonts w:ascii="Garamond" w:hAnsi="Garamond"/>
        </w:rPr>
        <w:t xml:space="preserve">of management strategies such as front-end closures must therefore be evaluated in the context of ecosystem, fishery, and cultural dynamics to fully understand their role in maintaining basin-wide biodiversity. </w:t>
      </w:r>
    </w:p>
    <w:p w14:paraId="3B62F4AB" w14:textId="4F95569A" w:rsidR="00D04B7C" w:rsidRPr="00646BBC" w:rsidRDefault="00E46D9E" w:rsidP="00892B92">
      <w:pPr>
        <w:pStyle w:val="whitespace-normal"/>
        <w:spacing w:line="480" w:lineRule="auto"/>
        <w:ind w:firstLine="720"/>
        <w:rPr>
          <w:rFonts w:ascii="Garamond" w:eastAsiaTheme="majorEastAsia" w:hAnsi="Garamond"/>
        </w:rPr>
      </w:pPr>
      <w:r>
        <w:rPr>
          <w:rFonts w:ascii="Garamond" w:hAnsi="Garamond"/>
        </w:rPr>
        <w:t>The accuracy of otolith-based methods ha</w:t>
      </w:r>
      <w:r w:rsidR="000D5ACA">
        <w:rPr>
          <w:rFonts w:ascii="Garamond" w:hAnsi="Garamond"/>
        </w:rPr>
        <w:t>ve</w:t>
      </w:r>
      <w:r>
        <w:rPr>
          <w:rFonts w:ascii="Garamond" w:hAnsi="Garamond"/>
        </w:rPr>
        <w:t xml:space="preserve"> not been explicitly validated in the Kuskokwim River basin; however, they have demonstrated high assignment accuracy for Pacific salmon in similar Alaska watersheds </w:t>
      </w:r>
      <w:r>
        <w:rPr>
          <w:rFonts w:ascii="Garamond" w:hAnsi="Garamond"/>
        </w:rPr>
        <w:fldChar w:fldCharType="begin"/>
      </w:r>
      <w:r w:rsidR="00301B81">
        <w:rPr>
          <w:rFonts w:ascii="Garamond" w:hAnsi="Garamond"/>
        </w:rPr>
        <w:instrText xml:space="preserve"> ADDIN ZOTERO_ITEM CSL_CITATION {"citationID":"tvE9voRc","properties":{"formattedCitation":"(Brennan, Zimmerman, et al., 2015)","plainCitation":"(Brennan, Zimmerman, et al., 2015)","noteIndex":0},"citationItems":[{"id":"6JYUnuDD/DjZU0x8k","uris":["http://zotero.org/users/8421274/items/IY3FLHLM"],"itemData":{"id":"qdfHghSJ/KSW9LWYv","type":"article-journal","abstract":"Strontium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Pr>
          <w:rFonts w:ascii="Garamond" w:hAnsi="Garamond"/>
        </w:rPr>
        <w:fldChar w:fldCharType="separate"/>
      </w:r>
      <w:r w:rsidR="00301B81">
        <w:rPr>
          <w:rFonts w:ascii="Garamond" w:hAnsi="Garamond"/>
          <w:noProof/>
        </w:rPr>
        <w:t>(Brennan, Zimmerman, et al., 2015)</w:t>
      </w:r>
      <w:r>
        <w:rPr>
          <w:rFonts w:ascii="Garamond" w:hAnsi="Garamond"/>
        </w:rPr>
        <w:fldChar w:fldCharType="end"/>
      </w:r>
      <w:r>
        <w:rPr>
          <w:rFonts w:ascii="Garamond" w:hAnsi="Garamond"/>
        </w:rPr>
        <w:t>, and our results replicate ecological patterns which have been observed in other contexts in the basin.</w:t>
      </w:r>
      <w:r w:rsidR="00F5142E">
        <w:rPr>
          <w:rFonts w:ascii="Garamond" w:hAnsi="Garamond"/>
        </w:rPr>
        <w:t xml:space="preserve"> </w:t>
      </w:r>
      <w:r w:rsidR="005019CE" w:rsidRPr="00646BBC">
        <w:rPr>
          <w:rFonts w:ascii="Garamond" w:hAnsi="Garamond"/>
        </w:rPr>
        <w:t>Given the number of steps in the analytical approach, methodological decisions</w:t>
      </w:r>
      <w:r w:rsidR="000D5ACA">
        <w:rPr>
          <w:rFonts w:ascii="Garamond" w:hAnsi="Garamond"/>
        </w:rPr>
        <w:t xml:space="preserve"> throughout</w:t>
      </w:r>
      <w:r w:rsidR="005019CE" w:rsidRPr="00646BBC">
        <w:rPr>
          <w:rFonts w:ascii="Garamond" w:hAnsi="Garamond"/>
        </w:rPr>
        <w:t xml:space="preserve"> have the potential to influence the results. However, a sensitivity analysis evaluating a range of posterior probability thresholds demonstrated that the overall patterns were robust to the proportion of posterior assignment values retained (Supp. Fig. 4). Applying increasingly stringent thresholds resulted in a modest increase in the proportion of fish assigned to group two, suggest</w:t>
      </w:r>
      <w:r w:rsidR="000D5ACA">
        <w:rPr>
          <w:rFonts w:ascii="Garamond" w:hAnsi="Garamond"/>
        </w:rPr>
        <w:t>i</w:t>
      </w:r>
      <w:r w:rsidR="005019CE" w:rsidRPr="00646BBC">
        <w:rPr>
          <w:rFonts w:ascii="Garamond" w:hAnsi="Garamond"/>
        </w:rPr>
        <w:t xml:space="preserve">ng that the results presented here provide a </w:t>
      </w:r>
      <w:r w:rsidR="00637562">
        <w:rPr>
          <w:rFonts w:ascii="Garamond" w:hAnsi="Garamond"/>
        </w:rPr>
        <w:t>robust</w:t>
      </w:r>
      <w:r w:rsidR="005019CE" w:rsidRPr="00646BBC">
        <w:rPr>
          <w:rFonts w:ascii="Garamond" w:hAnsi="Garamond"/>
        </w:rPr>
        <w:t xml:space="preserve"> </w:t>
      </w:r>
      <w:r w:rsidR="005019CE" w:rsidRPr="00646BBC">
        <w:rPr>
          <w:rFonts w:ascii="Garamond" w:hAnsi="Garamond"/>
        </w:rPr>
        <w:lastRenderedPageBreak/>
        <w:t>estimate of the degree to which the front-end closure protects fish from this group.</w:t>
      </w:r>
      <w:r w:rsidR="005019CE">
        <w:rPr>
          <w:rFonts w:ascii="Garamond" w:hAnsi="Garamond"/>
        </w:rPr>
        <w:t xml:space="preserve"> </w:t>
      </w:r>
      <w:r>
        <w:rPr>
          <w:rFonts w:ascii="Garamond" w:hAnsi="Garamond"/>
        </w:rPr>
        <w:t xml:space="preserve">Although these methods present some limitations for in-season management (i.e. turnaround time), </w:t>
      </w:r>
      <w:r>
        <w:rPr>
          <w:rStyle w:val="Strong"/>
          <w:rFonts w:ascii="Garamond" w:eastAsiaTheme="majorEastAsia" w:hAnsi="Garamond"/>
          <w:b w:val="0"/>
          <w:bCs w:val="0"/>
        </w:rPr>
        <w:t xml:space="preserve">tools that enable reconstruction of population specific spatiotemporal patterns in remote ecosystems allow for an explicit consideration of existing intrapopulation variability into management and conservation. </w:t>
      </w:r>
      <w:r>
        <w:rPr>
          <w:rStyle w:val="Strong"/>
          <w:rFonts w:ascii="Garamond" w:eastAsiaTheme="majorEastAsia" w:hAnsi="Garamond"/>
        </w:rPr>
        <w:t xml:space="preserve"> </w:t>
      </w:r>
      <w:r>
        <w:rPr>
          <w:rFonts w:ascii="Garamond" w:hAnsi="Garamond"/>
        </w:rPr>
        <w:t xml:space="preserve">The data presented here demonstrate this application for population-specific </w:t>
      </w:r>
      <w:r w:rsidR="00637562">
        <w:rPr>
          <w:rFonts w:ascii="Garamond" w:hAnsi="Garamond"/>
        </w:rPr>
        <w:t xml:space="preserve">migration </w:t>
      </w:r>
      <w:r>
        <w:rPr>
          <w:rFonts w:ascii="Garamond" w:hAnsi="Garamond"/>
        </w:rPr>
        <w:t xml:space="preserve">timing of salmon in the Kuskokwim River basin; however, this principle can be applied to </w:t>
      </w:r>
      <w:r>
        <w:rPr>
          <w:rStyle w:val="Strong"/>
          <w:rFonts w:ascii="Garamond" w:eastAsiaTheme="majorEastAsia" w:hAnsi="Garamond"/>
          <w:b w:val="0"/>
          <w:bCs w:val="0"/>
        </w:rPr>
        <w:t>multiple dimensions of inter- and intra-species variation which contribute to system-wide biodiversity.</w:t>
      </w:r>
      <w:r w:rsidR="00390710">
        <w:rPr>
          <w:rStyle w:val="Strong"/>
          <w:rFonts w:ascii="Garamond" w:eastAsiaTheme="majorEastAsia" w:hAnsi="Garamond"/>
          <w:b w:val="0"/>
          <w:bCs w:val="0"/>
        </w:rPr>
        <w:t xml:space="preserve"> </w:t>
      </w:r>
      <w:r w:rsidR="002E0F45" w:rsidRPr="002E0F45">
        <w:rPr>
          <w:rFonts w:ascii="Garamond" w:eastAsiaTheme="majorEastAsia" w:hAnsi="Garamond"/>
        </w:rPr>
        <w:t xml:space="preserve">For salmon management, approaches capable of characterizing population diversity at refined spatial scales are becoming increasingly important for incorporating </w:t>
      </w:r>
      <w:r w:rsidR="000D5ACA">
        <w:rPr>
          <w:rFonts w:ascii="Garamond" w:eastAsiaTheme="majorEastAsia" w:hAnsi="Garamond"/>
        </w:rPr>
        <w:t xml:space="preserve">intrapopulation diversity </w:t>
      </w:r>
      <w:r w:rsidR="002E0F45" w:rsidRPr="002E0F45">
        <w:rPr>
          <w:rFonts w:ascii="Garamond" w:eastAsiaTheme="majorEastAsia" w:hAnsi="Garamond"/>
        </w:rPr>
        <w:t>into management and conservation decisions</w:t>
      </w:r>
      <w:r w:rsidR="002E0F45" w:rsidRPr="00175DEB">
        <w:rPr>
          <w:rFonts w:ascii="Garamond" w:eastAsiaTheme="majorEastAsia" w:hAnsi="Garamond"/>
        </w:rPr>
        <w:t xml:space="preserve">. </w:t>
      </w:r>
      <w:r w:rsidR="00892B92" w:rsidRPr="00175DEB">
        <w:rPr>
          <w:rFonts w:ascii="Garamond" w:hAnsi="Garamond"/>
        </w:rPr>
        <w:t xml:space="preserve">In other salmon-bearing watersheds, such as the Sacramento River basin, similar approaches have improved understanding of the ecological role of population diversity </w:t>
      </w:r>
      <w:r w:rsidR="00861D8B">
        <w:rPr>
          <w:rFonts w:ascii="Garamond" w:hAnsi="Garamond"/>
        </w:rPr>
        <w:fldChar w:fldCharType="begin"/>
      </w:r>
      <w:r w:rsidR="00861D8B">
        <w:rPr>
          <w:rFonts w:ascii="Garamond" w:hAnsi="Garamond"/>
        </w:rPr>
        <w:instrText xml:space="preserve"> ADDIN ZOTERO_ITEM CSL_CITATION {"citationID":"LFX74zOI","properties":{"unsorted":false,"formattedCitation":"(Barnett-Johnson et al., 2008; Phillis et al., 2018; Willmes et al., 2024)","plainCitation":"(Barnett-Johnson et al., 2008; Phillis et al., 2018; Willmes et al., 2024)","noteIndex":0},"citationItems":[{"id":6735,"uris":["http://zotero.org/users/8421274/items/PLDX7FIE"],"itemData":{"id":6735,"type":"article-journal","abstract":"The inability to identify natal origins (i.e., individual rivers and hatcheries) of adult Pacific salmon in the ocean has impeded our understanding of their ocean ecology and the management of mixed-stock fisheries. Strontium isotope (87Sr : 86Sr) ratios recorded in otoliths of fall-run Chinook salmon (Oncorhynchus tshawytscha) from all major natural and hatchery spawning sites in the California Central Valley can be used as natural tags to identify natal origins with high accuracy (82%) and improved when additional otolith markers identified fish to hatchery (98%) or naturally spawned (94%) sources. A spatial baseline of 87Sr : 86Sr signatures was developed by targeting 87Sr : 86Sr within juvenile portions of otoliths accreted in natal streams and hatcheries using laser ablation and a multicollector inductively coupled plasma mass spectrometer. The availability and analyses of known-origin coded wire tagged adults provides a rare test of this technique to reconstruct early life-histories of adults (90% correct classification). By quantifying the area of watershed influenced by granitic rocks using hydrologic and geologic data layers, we explained 94% of the geographic variability in 87Sr : 86Sr in salmon otoliths. Creating a spatial map in geographic information systems relating landscape geology to Sr isotopes is a useful framework for evaluating the efficacy of Sr isotopes to track the natal origin and movement of salmonids in freshwater, estuarine, and marine environments to better understand how processes occurring in these habitats influence the growth, survival, and reproductive success of anadromous fishes.","container-title":"Limnology and Oceanography","DOI":"10.2307/40058282","journalAbbreviation":"Limnology and Oceanography","source":"ResearchGate","title":"Tracking natal origins of salmon using isotopes, otoliths, and landscape geology","volume":"53","author":[{"family":"Barnett-Johnson","given":"Rachel"},{"family":"Pearson","given":"Thomas"},{"family":"Ramos","given":"Frank"},{"family":"Grimes","given":"Churchill"},{"family":"Macfarlane","given":"Robert"}],"issued":{"date-parts":[["2008",7,1]]}}},{"id":1713,"uris":["http://zotero.org/users/8421274/items/YJZDU73I"],"itemData":{"id":1713,"type":"article-journal","abstract":"Protecting habitats for imperiled species is central to conservation efforts. However, for migratory species, identifying juvenile habitats that confer success requires tracking individuals to reproduction. Here, we used otolith strontium isotope ratios (87Sr/86Sr) to reconstruct juvenile habitat use by endangered Sacramento River winter-run Chinook salmon that survived to adulthood. The isotope data revealed that 44–65% of surviving adults reared in non-natal habitats, most of which is not designated as critical habitat under the Endangered Species Act. Juveniles entered these non-natal habitats at small sizes, yet left freshwater at a similar size to those that reared in the mainstem Sacramento River, suggesting these alternate rearing habitats provide suitable growth conditions. These findings indicate Sacramento River winter-run Chinook salmon rely on rearing habitats across a broader geographic region than previously known, potentially opening up greater restoration and conservation opportunities for species recovery.","container-title":"Biological Conservation","DOI":"10.1016/j.biocon.2017.10.023","ISSN":"0006-3207","journalAbbreviation":"Biological Conservation","language":"en","page":"358-362","source":"ScienceDirect","title":"Endangered winter-run Chinook salmon rely on diverse rearing habitats in a highly altered landscape","volume":"217","author":[{"family":"Phillis","given":"Corey C."},{"family":"Sturrock","given":"Anna M."},{"family":"Johnson","given":"Rachel C."},{"family":"Weber","given":"Peter K."}],"issued":{"date-parts":[["2018",1,1]]}}},{"id":4551,"uris":["http://zotero.org/users/8421274/items/2GXTMZHP"],"itemData":{"id":4551,"type":"article-journal","abstract":"Intraspecific biodiversity is vital for species persistence in an increasingly volatile world. By embracing methods that integrate information at different spatiotemporal scales, we can directly monitor and reconstruct changes in intraspecific biodiversity. Here we combined genetics and otolith biochronologies to describe the genotypic and phenotypic diversity of Chinook salmon (Oncorhynchus tshawytscha) in the Yuba River, California, comparing cohorts that experienced a range of hydroclimatic conditions. Yuba River salmon have been heavily impacted by habitat loss and degradation, and large influxes of unmarked hatchery fish each year have led to concern about introgression and uncertainty around the viability of its wild populations, particularly the rarer spring-run salmon. Otolith strontium isotopes showed that Yuba River origin fish represented, on average, 42% (range 7%–73%) of spawners across six return years (2009–2011, 2018–2020), with large interannual variability. The remainder of adult Chinook salmon in the river were primarily strays from the nearby Feather River hatchery, and since 2018 from the Mokelumne River hatchery. Among the Yuba-origin spawners, on average, 30% (range 14%–50%) exhibited the spring-run genotype. The Yuba-origin fish also displayed a variety of outmigration phenotypes that differed in the timing and size at which they left the Yuba river. Early-migrating fry dominated the returns (mean 59%, range 33%–89%), and their contribution rates were negatively correlated with freshwater flows. It is unlikely that fry survival rates are elevated during droughts, suggesting that this trend reflects disproportionately low survival of larger later migrating parr, smolts, and yearlings along the migratory corridor in drier years. Otolith daily increments indicated generally faster growth rates in non-natal habitats, emphasizing the importance of continuing upstream restoration efforts to improve in-river growing conditions. Together, these findings show that, despite a long history of habitat degradation and hatchery introgression, the Yuba River maintains intraspecific biodiversity that should be taken into account in future management, restoration, and reintroduction plans. The finding that genotypic spring-run are reproducing, surviving, and returning to the Yuba River every year suggests that re-establishment of an independent population is possible, although hatchery-wild interactions would need to be carefully considered. Integrating methods is critical to monitor changes in key genetic, physiological, and behavioral traits to assess population viability and resilience.","container-title":"Journal of Fish Biology","DOI":"10.1111/jfb.15847","ISSN":"1095-8649","issue":"2","language":"en","license":"© 2024 The Author(s). Journal of Fish Biology published by John Wiley &amp; Sons Ltd on behalf of Fisheries Society of the British Isles.","note":"_eprint: https://onlinelibrary.wiley.com/doi/pdf/10.1111/jfb.15847","page":"412-430","source":"Wiley Online Library","title":"Integrating otolith and genetic tools to reveal intraspecific biodiversity in a highly impacted salmon population","volume":"105","author":[{"family":"Willmes","given":"Malte"},{"family":"Sturrock","given":"Anna M."},{"family":"Cordoleani","given":"Flora"},{"family":"Hugentobler","given":"Sara"},{"family":"Meek","given":"Mariah H."},{"family":"Whitman","given":"George"},{"family":"Evans","given":"Kimberly"},{"family":"Palkovacs","given":"Eric P."},{"family":"Stauffer-Olsen","given":"Natalie J."},{"family":"Johnson","given":"Rachel C."}],"issued":{"date-parts":[["2024"]]}}}],"schema":"https://github.com/citation-style-language/schema/raw/master/csl-citation.json"} </w:instrText>
      </w:r>
      <w:r w:rsidR="00861D8B">
        <w:rPr>
          <w:rFonts w:ascii="Garamond" w:hAnsi="Garamond"/>
        </w:rPr>
        <w:fldChar w:fldCharType="separate"/>
      </w:r>
      <w:r w:rsidR="00861D8B">
        <w:rPr>
          <w:rFonts w:ascii="Garamond" w:hAnsi="Garamond"/>
          <w:noProof/>
        </w:rPr>
        <w:t>(Barnett-Johnson et al., 2008; Phillis et al., 2018; Willmes et al., 2024)</w:t>
      </w:r>
      <w:r w:rsidR="00861D8B">
        <w:rPr>
          <w:rFonts w:ascii="Garamond" w:hAnsi="Garamond"/>
        </w:rPr>
        <w:fldChar w:fldCharType="end"/>
      </w:r>
      <w:r w:rsidR="00892B92" w:rsidRPr="00175DEB">
        <w:rPr>
          <w:rFonts w:ascii="Garamond" w:hAnsi="Garamond"/>
        </w:rPr>
        <w:t xml:space="preserve">, the consequences of climate and anthropogenic change for salmon populations </w:t>
      </w:r>
      <w:r w:rsidR="00861D8B">
        <w:rPr>
          <w:rFonts w:ascii="Garamond" w:hAnsi="Garamond"/>
        </w:rPr>
        <w:fldChar w:fldCharType="begin"/>
      </w:r>
      <w:r w:rsidR="00861D8B">
        <w:rPr>
          <w:rFonts w:ascii="Garamond" w:hAnsi="Garamond"/>
        </w:rPr>
        <w:instrText xml:space="preserve"> ADDIN ZOTERO_ITEM CSL_CITATION {"citationID":"22fP5Ews","properties":{"unsorted":false,"formattedCitation":"(Sturrock et al., 2020)","plainCitation":"(Sturrock et al., 2020)","noteIndex":0},"citationItems":[{"id":2469,"uris":["http://zotero.org/users/8421274/items/F9DP5EK8"],"itemData":{"id":2469,"type":"article-journal","abstract":"Altered river flows and fragmented habitats often simplify riverine communities and favor non-native fishes, but their influence on life-history expression and survival is less clear. Here, we quantified the expression and ultimate success of diverse salmon emigration behaviors in an anthropogenically altered California river system. We analyzed two decades of Chinook salmon monitoring data to explore the influence of regulated flows on juvenile emigration phenology, abundance, and recruitment. We then followed seven cohorts into adulthood using otolith (ear stone) chemical archives to identify patterns in time- and size-selective mortality along the migratory corridor. Suppressed winter flow cues were associated with delayed emigration timing, particularly in warm, dry years, which was also when selection against late migrants was the most extreme. Lower, less variable flows were also associated with reduced juvenile and adult production, highlighting the importance of streamflow for cohort success in these southernmost populations. While most juveniles emigrated from the natal stream as fry or smolts, the survivors were dominated by the rare few that left at intermediate sizes and times, coinciding with managed flows released before extreme summer temperatures. The consistent selection against early (small) and late (large) migrants counters prevailing ecological theory that predicts different traits to be favored under varying environmental conditions. Yet, even with this weakened portfolio, maintaining a broad distribution in migration traits still increased adult production and reduced variance. In years exhibiting large fry pulses, even marginal increases in their survival would have significantly boosted recruitment. However, management actions favoring any single phenotype could have negative evolutionary and demographic consequences, potentially reducing adaptability and population stability. To recover fish populations and support viable fisheries in a warming and increasingly unpredictable climate, coordinating flow and habitat management within and among watersheds will be critical to balance trait optimization versus diversification.","container-title":"Global Change Biology","DOI":"10.1111/gcb.14896","ISSN":"1365-2486","issue":"3","language":"en","note":"_eprint: https://onlinelibrary.wiley.com/doi/pdf/10.1111/gcb.14896","page":"1235-1247","source":"Wiley Online Library","title":"Unnatural selection of salmon life histories in a modified riverscape","volume":"26","author":[{"family":"Sturrock","given":"Anna M."},{"family":"Carlson","given":"Stephanie M."},{"family":"Wikert","given":"John D."},{"family":"Heyne","given":"Tim"},{"family":"Nusslé","given":"Sébastien"},{"family":"Merz","given":"Joseph E."},{"family":"Sturrock","given":"Hugh J. W."},{"family":"Johnson","given":"Rachel C."}],"issued":{"date-parts":[["2020"]]}}}],"schema":"https://github.com/citation-style-language/schema/raw/master/csl-citation.json"} </w:instrText>
      </w:r>
      <w:r w:rsidR="00861D8B">
        <w:rPr>
          <w:rFonts w:ascii="Garamond" w:hAnsi="Garamond"/>
        </w:rPr>
        <w:fldChar w:fldCharType="separate"/>
      </w:r>
      <w:r w:rsidR="00861D8B">
        <w:rPr>
          <w:rFonts w:ascii="Garamond" w:hAnsi="Garamond"/>
          <w:noProof/>
        </w:rPr>
        <w:t>(Sturrock et al., 2020)</w:t>
      </w:r>
      <w:r w:rsidR="00861D8B">
        <w:rPr>
          <w:rFonts w:ascii="Garamond" w:hAnsi="Garamond"/>
        </w:rPr>
        <w:fldChar w:fldCharType="end"/>
      </w:r>
      <w:r w:rsidR="00892B92" w:rsidRPr="00175DEB">
        <w:rPr>
          <w:rFonts w:ascii="Garamond" w:hAnsi="Garamond"/>
        </w:rPr>
        <w:t xml:space="preserve">, and the capacity of restoration efforts to conserve distinct life-history strategies </w:t>
      </w:r>
      <w:r w:rsidR="00861D8B">
        <w:rPr>
          <w:rFonts w:ascii="Garamond" w:hAnsi="Garamond"/>
        </w:rPr>
        <w:fldChar w:fldCharType="begin"/>
      </w:r>
      <w:r w:rsidR="00861D8B">
        <w:rPr>
          <w:rFonts w:ascii="Garamond" w:hAnsi="Garamond"/>
        </w:rPr>
        <w:instrText xml:space="preserve"> ADDIN ZOTERO_ITEM CSL_CITATION {"citationID":"nKeoMJjV","properties":{"unsorted":false,"formattedCitation":"(Cordoleani et al., 2024)","plainCitation":"(Cordoleani et al., 2024)","noteIndex":0},"citationItems":[{"id":5990,"uris":["http://zotero.org/users/8421274/items/BGVZ7ZLQ"],"itemData":{"id":5990,"type":"article-journal","abstract":"Phenotypic diversity and abundance drive salmon resilience in the face of increasing environmental variability. But what happens when human activities fundamentally alter the habitat complexity that drives this diversity? And how can we restore habitats to recover both diversity and abundance to support salmon persistence in a warming climate? Here, we looked at the impact of a large watershed restoration effort on the abundance and climate resilience of the three remaining core natural spring-run Chinook Salmon populations in the California Central Valley (Butte, Mill, and Deer Creek). Butte Creek fish, which have floodplain access, had higher overall productivity and faster juvenile growth compared with Mill and Deer Creek populations, and the proportion of floodplain inundation was positively correlated with Butte Creek adult abundance two years later. While Butte Creek exhibited significant increases in abundance post-restoration (similar to 000%), it generally exhibited lower phenotypic diversity and only a marginal increase in population stability after restoration based on the coefficient of variation (CV). In particular, Butte Creek salmon tended to exhibit larger drops in escapement following dry years (e.g., return years 2010, 2017) compared with Mill and Deer Creek populations, presumably due to limited inundation of its downstream floodplain. The late-migrating juvenile strategy (i.e., yearling), which disproportionately supported Mill and Deer Creek populations during droughts, was uncommon among Butte Creek adults (averaging 60% of returns for Mill and Deer Creek vs. 0.3% for Butte Creek). Increased spring-run stock complex stability was found, post-restoration, when combining the three spring-run populations (i.e., lower aggregate CV). However, among-river pairwise correlations also suggested increased synchronization in population abundances post-restoration, potentially due to increasing frequency and severity of extreme climatic events (e.g., droughts and ocean warming). This study underscores the importance of restoring a connected mosaic of aquatic habitats across modified landscapes, such as cold water refugia and floodplains, to preserve multiple (across-population) life history pathways for increasing salmon stock complex stability and abundance. These landscape-scale process-based habitat restoration efforts are likely to be crucial for the successful long-term recovery of vulnerable species in a rapidly changing climate.","container-title":"Ecosphere","DOI":"10.1002/ecs2.4803","ISSN":"2150-8925","issue":"3","journalAbbreviation":"Ecosphere","language":"English","note":"number-of-pages: 18\npublisher-place: Hoboken\nWeb of Science ID: WOS:001182186400001","page":"e4803","publisher":"Wiley","source":"Clarivate Analytics Web of Science","title":"Restoring freshwater habitat mosaics to promote resilience of vulnerable salmon populations","volume":"15","author":[{"family":"Cordoleani","given":"Flora"},{"family":"Phillis","given":"Corey C."},{"family":"Sturrock","given":"Anna M."},{"family":"Willmes","given":"Malte"},{"family":"Whitman","given":"George"},{"family":"Holmes","given":"Eric"},{"family":"Weber","given":"Peter K."},{"family":"Jeffres","given":"Carson"},{"family":"Johnson","given":"Rachel C."}],"issued":{"date-parts":[["2024",3]]}}}],"schema":"https://github.com/citation-style-language/schema/raw/master/csl-citation.json"} </w:instrText>
      </w:r>
      <w:r w:rsidR="00861D8B">
        <w:rPr>
          <w:rFonts w:ascii="Garamond" w:hAnsi="Garamond"/>
        </w:rPr>
        <w:fldChar w:fldCharType="separate"/>
      </w:r>
      <w:r w:rsidR="00861D8B">
        <w:rPr>
          <w:rFonts w:ascii="Garamond" w:hAnsi="Garamond"/>
          <w:noProof/>
        </w:rPr>
        <w:t>(Cordoleani et al., 2024)</w:t>
      </w:r>
      <w:r w:rsidR="00861D8B">
        <w:rPr>
          <w:rFonts w:ascii="Garamond" w:hAnsi="Garamond"/>
        </w:rPr>
        <w:fldChar w:fldCharType="end"/>
      </w:r>
      <w:r w:rsidR="00175DEB">
        <w:rPr>
          <w:rFonts w:ascii="Garamond" w:hAnsi="Garamond"/>
        </w:rPr>
        <w:t>.</w:t>
      </w:r>
      <w:r w:rsidR="00892B92">
        <w:rPr>
          <w:rFonts w:ascii="Garamond" w:eastAsiaTheme="majorEastAsia" w:hAnsi="Garamond"/>
        </w:rPr>
        <w:t xml:space="preserve"> A</w:t>
      </w:r>
      <w:r w:rsidR="005401E5">
        <w:rPr>
          <w:rFonts w:ascii="Garamond" w:eastAsiaTheme="majorEastAsia" w:hAnsi="Garamond"/>
        </w:rPr>
        <w:t xml:space="preserve">cross ecosystems and species,  developing methods </w:t>
      </w:r>
      <w:r w:rsidR="002E0F45">
        <w:rPr>
          <w:rFonts w:ascii="Garamond" w:hAnsi="Garamond"/>
        </w:rPr>
        <w:t xml:space="preserve">capable </w:t>
      </w:r>
      <w:r w:rsidR="005401E5">
        <w:rPr>
          <w:rFonts w:ascii="Garamond" w:hAnsi="Garamond"/>
        </w:rPr>
        <w:t xml:space="preserve">of characterizing biodiversity at </w:t>
      </w:r>
      <w:r w:rsidR="00892B92">
        <w:rPr>
          <w:rFonts w:ascii="Garamond" w:hAnsi="Garamond"/>
        </w:rPr>
        <w:t>relevant</w:t>
      </w:r>
      <w:r w:rsidR="005401E5">
        <w:rPr>
          <w:rFonts w:ascii="Garamond" w:hAnsi="Garamond"/>
        </w:rPr>
        <w:t xml:space="preserve"> spatial scales, and </w:t>
      </w:r>
      <w:r>
        <w:rPr>
          <w:rFonts w:ascii="Garamond" w:hAnsi="Garamond"/>
        </w:rPr>
        <w:t xml:space="preserve"> deploying them to better understand tradeoffs between conservation and exploitation strategies</w:t>
      </w:r>
      <w:r w:rsidR="00892B92">
        <w:rPr>
          <w:rFonts w:ascii="Garamond" w:hAnsi="Garamond"/>
        </w:rPr>
        <w:t>,</w:t>
      </w:r>
      <w:r>
        <w:rPr>
          <w:rFonts w:ascii="Garamond" w:hAnsi="Garamond"/>
        </w:rPr>
        <w:t xml:space="preserve"> is an important step toward designing management frameworks that provide ecosystem services while safeguarding their reliability and the communities they support.</w:t>
      </w:r>
    </w:p>
    <w:p w14:paraId="14DF7D46" w14:textId="77777777" w:rsidR="003525FA" w:rsidRPr="001A17C1" w:rsidRDefault="003525FA" w:rsidP="003525FA">
      <w:pPr>
        <w:rPr>
          <w:rFonts w:ascii="Garamond" w:hAnsi="Garamond" w:cs="Times New Roman"/>
          <w:b/>
          <w:bCs/>
        </w:rPr>
      </w:pPr>
      <w:r>
        <w:rPr>
          <w:rFonts w:ascii="Garamond" w:hAnsi="Garamond" w:cs="Times New Roman"/>
          <w:b/>
          <w:bCs/>
        </w:rPr>
        <w:t xml:space="preserve">Acknowledgments: </w:t>
      </w:r>
    </w:p>
    <w:p w14:paraId="5CD5A49E" w14:textId="3E9CACB3" w:rsidR="003525FA" w:rsidRPr="001A17C1" w:rsidRDefault="003525FA" w:rsidP="003525FA">
      <w:pPr>
        <w:ind w:firstLine="720"/>
        <w:rPr>
          <w:rFonts w:ascii="Garamond" w:hAnsi="Garamond" w:cs="Times New Roman"/>
        </w:rPr>
      </w:pPr>
      <w:r>
        <w:rPr>
          <w:rFonts w:ascii="Garamond" w:hAnsi="Garamond" w:cs="Times New Roman"/>
        </w:rPr>
        <w:t>We thank the Alaska Department of Fish &amp; Game, particularly Sean Larson and Zachary Liller for coordinating otolith sampling at the Bethel Test Fishery and for feedback on the study design and manuscript. Funding for this work was provided by the Arctic-Yukon-Kuskokwim Sustainable Salmon Initiative</w:t>
      </w:r>
      <w:r w:rsidR="00637562">
        <w:rPr>
          <w:rFonts w:ascii="Garamond" w:hAnsi="Garamond" w:cs="Times New Roman"/>
        </w:rPr>
        <w:t xml:space="preserve"> and by the Kuskokwim River Intertribal Fish Commission</w:t>
      </w:r>
      <w:r>
        <w:rPr>
          <w:rFonts w:ascii="Garamond" w:hAnsi="Garamond" w:cs="Times New Roman"/>
        </w:rPr>
        <w:t xml:space="preserve">. Joseph Spaeder of the AYK-SSI also provided feedback on the study design. We also thank the local community members who supported otolith removal and collection as well as the ONC fisheries program staff members who helped support data collection and distributed sampled fish to elders, disabled, and widowed community members. This work was made possible by the efforts of Dr. </w:t>
      </w:r>
      <w:r>
        <w:rPr>
          <w:rFonts w:ascii="Garamond" w:hAnsi="Garamond" w:cs="Times New Roman"/>
        </w:rPr>
        <w:lastRenderedPageBreak/>
        <w:t xml:space="preserve">Sean Brennan, who was instrumental in the collection of these datasets and was motivated to push forward on the boundaries of using isotope-based methods to explore ecological processes in Alaska salmon. </w:t>
      </w:r>
    </w:p>
    <w:p w14:paraId="524398E2" w14:textId="77777777" w:rsidR="00A844A4" w:rsidRDefault="00A844A4" w:rsidP="00A844A4">
      <w:pPr>
        <w:jc w:val="center"/>
        <w:rPr>
          <w:rFonts w:ascii="Garamond" w:hAnsi="Garamond" w:cs="Times New Roman"/>
          <w:b/>
          <w:bCs/>
        </w:rPr>
      </w:pPr>
    </w:p>
    <w:p w14:paraId="787BC2FF" w14:textId="31681551" w:rsidR="00A844A4" w:rsidRPr="001A17C1" w:rsidRDefault="00A844A4" w:rsidP="00A844A4">
      <w:pPr>
        <w:rPr>
          <w:rFonts w:ascii="Garamond" w:hAnsi="Garamond" w:cs="Times New Roman"/>
        </w:rPr>
      </w:pPr>
      <w:r>
        <w:rPr>
          <w:rFonts w:ascii="Garamond" w:hAnsi="Garamond" w:cs="Times New Roman"/>
          <w:b/>
          <w:bCs/>
        </w:rPr>
        <w:t>Author Contribution Statement:</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38A18FD" w14:textId="77777777" w:rsidR="00C2778F" w:rsidRDefault="00C2778F" w:rsidP="00C2778F">
      <w:pPr>
        <w:jc w:val="center"/>
        <w:rPr>
          <w:rFonts w:ascii="Garamond" w:hAnsi="Garamond" w:cs="Times New Roman"/>
          <w:b/>
          <w:bCs/>
        </w:rPr>
      </w:pPr>
    </w:p>
    <w:p w14:paraId="3ADBB868" w14:textId="77EC6921" w:rsidR="00C2778F" w:rsidRPr="001A17C1" w:rsidRDefault="00C2778F" w:rsidP="00C2778F">
      <w:pP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29347CE7" w14:textId="77777777" w:rsidR="003525FA" w:rsidRPr="007B1069" w:rsidRDefault="003525FA" w:rsidP="003525FA">
      <w:pPr>
        <w:pStyle w:val="whitespace-normal"/>
        <w:spacing w:line="480" w:lineRule="auto"/>
        <w:rPr>
          <w:rFonts w:ascii="Garamond" w:eastAsiaTheme="majorEastAsia" w:hAnsi="Garamond"/>
          <w:b/>
          <w:bCs/>
        </w:rPr>
      </w:pPr>
    </w:p>
    <w:p w14:paraId="66FE2C7D" w14:textId="406C547B" w:rsidR="005D0EF1" w:rsidRPr="00BA542C" w:rsidRDefault="005D0EF1" w:rsidP="005D0EF1">
      <w:pPr>
        <w:pStyle w:val="whitespace-normal"/>
        <w:spacing w:line="480" w:lineRule="auto"/>
        <w:rPr>
          <w:b/>
          <w:bCs/>
        </w:rPr>
      </w:pPr>
      <w:r>
        <w:rPr>
          <w:b/>
          <w:bCs/>
        </w:rPr>
        <w:t xml:space="preserve">References </w:t>
      </w:r>
    </w:p>
    <w:p w14:paraId="4ED7DFFC" w14:textId="77777777" w:rsidR="006C395C" w:rsidRPr="006C395C" w:rsidRDefault="00836381" w:rsidP="006C395C">
      <w:pPr>
        <w:pStyle w:val="Bibliography"/>
      </w:pPr>
      <w:r>
        <w:rPr>
          <w:rFonts w:ascii="Garamond" w:hAnsi="Garamond"/>
        </w:rPr>
        <w:fldChar w:fldCharType="begin"/>
      </w:r>
      <w:r>
        <w:rPr>
          <w:rFonts w:ascii="Garamond" w:hAnsi="Garamond"/>
        </w:rPr>
        <w:instrText xml:space="preserve"> ADDIN ZOTERO_BIBL {"uncited":[],"omitted":[],"custom":[]} CSL_BIBLIOGRAPHY </w:instrText>
      </w:r>
      <w:r>
        <w:rPr>
          <w:rFonts w:ascii="Garamond" w:hAnsi="Garamond"/>
        </w:rPr>
        <w:fldChar w:fldCharType="separate"/>
      </w:r>
      <w:r w:rsidR="006C395C" w:rsidRPr="006C395C">
        <w:t xml:space="preserve">ADFG. (2025). </w:t>
      </w:r>
      <w:r w:rsidR="006C395C" w:rsidRPr="006C395C">
        <w:rPr>
          <w:i/>
          <w:iCs/>
        </w:rPr>
        <w:t>Kuskokwim River Area: Subsistance Fishing</w:t>
      </w:r>
      <w:r w:rsidR="006C395C" w:rsidRPr="006C395C">
        <w:t>. https://www.adfg.alaska.gov/index.cfm?adfg=ByAreaSubsistenceKuskokwim.fishingInfo</w:t>
      </w:r>
    </w:p>
    <w:p w14:paraId="4AB8A5DB" w14:textId="77777777" w:rsidR="006C395C" w:rsidRPr="006C395C" w:rsidRDefault="006C395C" w:rsidP="006C395C">
      <w:pPr>
        <w:pStyle w:val="Bibliography"/>
      </w:pPr>
      <w:r w:rsidRPr="006C395C">
        <w:t xml:space="preserve">Atlas, W. I., Sloat, M. R., Satterthwaite, W. H., Buehrens, T. W., Parken, C. K., Moore, J. W., Mantua, N. J., Hart, J., &amp; Potapova, A. (2023). Trends in Chinook salmon spawner abundance and total run size highlight linkages between life history, geography and decline. </w:t>
      </w:r>
      <w:r w:rsidRPr="006C395C">
        <w:rPr>
          <w:i/>
          <w:iCs/>
        </w:rPr>
        <w:t>Fish and Fisheries</w:t>
      </w:r>
      <w:r w:rsidRPr="006C395C">
        <w:t xml:space="preserve">, </w:t>
      </w:r>
      <w:r w:rsidRPr="006C395C">
        <w:rPr>
          <w:i/>
          <w:iCs/>
        </w:rPr>
        <w:t>24</w:t>
      </w:r>
      <w:r w:rsidRPr="006C395C">
        <w:t>(4), 595–617. https://doi.org/10.1111/faf.12750</w:t>
      </w:r>
    </w:p>
    <w:p w14:paraId="28BF9E33" w14:textId="77777777" w:rsidR="006C395C" w:rsidRPr="006C395C" w:rsidRDefault="006C395C" w:rsidP="006C395C">
      <w:pPr>
        <w:pStyle w:val="Bibliography"/>
      </w:pPr>
      <w:r w:rsidRPr="006C395C">
        <w:t xml:space="preserve">Barnett-Johnson, R., Pearson, T., Ramos, F., Grimes, C., &amp; Macfarlane, R. (2008). Tracking natal origins of salmon using isotopes, otoliths, and landscape geology. </w:t>
      </w:r>
      <w:r w:rsidRPr="006C395C">
        <w:rPr>
          <w:i/>
          <w:iCs/>
        </w:rPr>
        <w:t>Limnology and Oceanography</w:t>
      </w:r>
      <w:r w:rsidRPr="006C395C">
        <w:t xml:space="preserve">, </w:t>
      </w:r>
      <w:r w:rsidRPr="006C395C">
        <w:rPr>
          <w:i/>
          <w:iCs/>
        </w:rPr>
        <w:t>53</w:t>
      </w:r>
      <w:r w:rsidRPr="006C395C">
        <w:t>. https://doi.org/10.2307/40058282</w:t>
      </w:r>
    </w:p>
    <w:p w14:paraId="5A24C39F" w14:textId="77777777" w:rsidR="006C395C" w:rsidRPr="006C395C" w:rsidRDefault="006C395C" w:rsidP="006C395C">
      <w:pPr>
        <w:pStyle w:val="Bibliography"/>
      </w:pPr>
      <w:r w:rsidRPr="006C395C">
        <w:lastRenderedPageBreak/>
        <w:t xml:space="preserve">Bolnick, D. I., Amarasekare, P., Araújo, M. S., Bürger, R., Levine, J. M., Novak, M., Rudolf, V. H. W., Schreiber, S. J., Urban, M. C., &amp; Vasseur, D. A. (2011). Why intraspecific trait variation matters in community ecology. </w:t>
      </w:r>
      <w:r w:rsidRPr="006C395C">
        <w:rPr>
          <w:i/>
          <w:iCs/>
        </w:rPr>
        <w:t>Trends in Ecology &amp; Evolution</w:t>
      </w:r>
      <w:r w:rsidRPr="006C395C">
        <w:t xml:space="preserve">, </w:t>
      </w:r>
      <w:r w:rsidRPr="006C395C">
        <w:rPr>
          <w:i/>
          <w:iCs/>
        </w:rPr>
        <w:t>26</w:t>
      </w:r>
      <w:r w:rsidRPr="006C395C">
        <w:t>(4), 183–192. https://doi.org/10.1016/j.tree.2011.01.009</w:t>
      </w:r>
    </w:p>
    <w:p w14:paraId="4F719456" w14:textId="77777777" w:rsidR="006C395C" w:rsidRPr="000D7A1D" w:rsidRDefault="006C395C" w:rsidP="006C395C">
      <w:pPr>
        <w:pStyle w:val="Bibliography"/>
        <w:rPr>
          <w:lang w:val="es-ES"/>
        </w:rPr>
      </w:pPr>
      <w:r w:rsidRPr="006C395C">
        <w:t xml:space="preserve">Brennan, S. R., Fernandez, D. P., Zimmerman, C. E., Cerling, T. E., Brown, R. J., &amp; Wooller, M. J. (2015). Strontium isotopes in otoliths of a non-migratory fish (slimy sculpin): Implications for provenance studies. </w:t>
      </w:r>
      <w:r w:rsidRPr="000D7A1D">
        <w:rPr>
          <w:i/>
          <w:iCs/>
          <w:lang w:val="es-ES"/>
        </w:rPr>
        <w:t>Geochimica et Cosmochimica Acta</w:t>
      </w:r>
      <w:r w:rsidRPr="000D7A1D">
        <w:rPr>
          <w:lang w:val="es-ES"/>
        </w:rPr>
        <w:t xml:space="preserve">, </w:t>
      </w:r>
      <w:r w:rsidRPr="000D7A1D">
        <w:rPr>
          <w:i/>
          <w:iCs/>
          <w:lang w:val="es-ES"/>
        </w:rPr>
        <w:t>149</w:t>
      </w:r>
      <w:r w:rsidRPr="000D7A1D">
        <w:rPr>
          <w:lang w:val="es-ES"/>
        </w:rPr>
        <w:t>, 32–45. https://doi.org/10.1016/j.gca.2014.10.032</w:t>
      </w:r>
    </w:p>
    <w:p w14:paraId="53547E75" w14:textId="77777777" w:rsidR="006C395C" w:rsidRPr="006C395C" w:rsidRDefault="006C395C" w:rsidP="006C395C">
      <w:pPr>
        <w:pStyle w:val="Bibliography"/>
      </w:pPr>
      <w:r w:rsidRPr="000D7A1D">
        <w:rPr>
          <w:lang w:val="es-ES"/>
        </w:rPr>
        <w:t xml:space="preserve">Brennan, S. R., &amp; Schindler, D. E. (2017). </w:t>
      </w:r>
      <w:r w:rsidRPr="006C395C">
        <w:t xml:space="preserve">Linking otolith microchemistry and dendritic isoscapes to map heterogeneous production of fish across river basins. </w:t>
      </w:r>
      <w:r w:rsidRPr="006C395C">
        <w:rPr>
          <w:i/>
          <w:iCs/>
        </w:rPr>
        <w:t>Ecological Applications</w:t>
      </w:r>
      <w:r w:rsidRPr="006C395C">
        <w:t xml:space="preserve">, </w:t>
      </w:r>
      <w:r w:rsidRPr="006C395C">
        <w:rPr>
          <w:i/>
          <w:iCs/>
        </w:rPr>
        <w:t>27</w:t>
      </w:r>
      <w:r w:rsidRPr="006C395C">
        <w:t>(2), 363–377. https://doi.org/10.1002/eap.1474</w:t>
      </w:r>
    </w:p>
    <w:p w14:paraId="6B8438D3" w14:textId="77777777" w:rsidR="006C395C" w:rsidRPr="006C395C" w:rsidRDefault="006C395C" w:rsidP="006C395C">
      <w:pPr>
        <w:pStyle w:val="Bibliography"/>
      </w:pPr>
      <w:r w:rsidRPr="006C395C">
        <w:t xml:space="preserve">Brennan, S. R., Schindler, D. E., Cline, T. J., Walsworth, T. E., Buck, G., &amp; Fernandez, D. P. (2019). Shifting habitat mosaics and fish production across river basins. </w:t>
      </w:r>
      <w:r w:rsidRPr="006C395C">
        <w:rPr>
          <w:i/>
          <w:iCs/>
        </w:rPr>
        <w:t>Science</w:t>
      </w:r>
      <w:r w:rsidRPr="006C395C">
        <w:t xml:space="preserve">, </w:t>
      </w:r>
      <w:r w:rsidRPr="006C395C">
        <w:rPr>
          <w:i/>
          <w:iCs/>
        </w:rPr>
        <w:t>364</w:t>
      </w:r>
      <w:r w:rsidRPr="006C395C">
        <w:t>(6442), 783–786. https://doi.org/10.1126/science.aav4313</w:t>
      </w:r>
    </w:p>
    <w:p w14:paraId="4A84ED30" w14:textId="77777777" w:rsidR="006C395C" w:rsidRPr="006C395C" w:rsidRDefault="006C395C" w:rsidP="006C395C">
      <w:pPr>
        <w:pStyle w:val="Bibliography"/>
      </w:pPr>
      <w:r w:rsidRPr="006C395C">
        <w:t xml:space="preserve">Brennan, S. R., Torgersen, C. E., Hollenbeck, J. P., Fernandez, D. P., Jensen, C. K., &amp; Schindler, D. E. (2016). Dendritic network models: Improving isoscapes and quantifying influence of landscape and in-stream processes on strontium isotopes in rivers. </w:t>
      </w:r>
      <w:r w:rsidRPr="006C395C">
        <w:rPr>
          <w:i/>
          <w:iCs/>
        </w:rPr>
        <w:t>Geophysical Research Letters</w:t>
      </w:r>
      <w:r w:rsidRPr="006C395C">
        <w:t xml:space="preserve">, </w:t>
      </w:r>
      <w:r w:rsidRPr="006C395C">
        <w:rPr>
          <w:i/>
          <w:iCs/>
        </w:rPr>
        <w:t>43</w:t>
      </w:r>
      <w:r w:rsidRPr="006C395C">
        <w:t>(10), 5043–5051. https://doi.org/10.1002/2016GL068904</w:t>
      </w:r>
    </w:p>
    <w:p w14:paraId="688C31E9" w14:textId="77777777" w:rsidR="006C395C" w:rsidRPr="006C395C" w:rsidRDefault="006C395C" w:rsidP="006C395C">
      <w:pPr>
        <w:pStyle w:val="Bibliography"/>
      </w:pPr>
      <w:r w:rsidRPr="006C395C">
        <w:t xml:space="preserve">Brennan, S. R., Zimmerman, C. E., Fernandez, D. P., Cerling, T. E., McPhee, M. V., &amp; Wooller, M. J. (2015). Strontium isotopes delineate fine-scale natal origins and migration </w:t>
      </w:r>
      <w:r w:rsidRPr="006C395C">
        <w:lastRenderedPageBreak/>
        <w:t xml:space="preserve">histories of Pacific salmon. </w:t>
      </w:r>
      <w:r w:rsidRPr="006C395C">
        <w:rPr>
          <w:i/>
          <w:iCs/>
        </w:rPr>
        <w:t>Science Advances</w:t>
      </w:r>
      <w:r w:rsidRPr="006C395C">
        <w:t xml:space="preserve">, </w:t>
      </w:r>
      <w:r w:rsidRPr="006C395C">
        <w:rPr>
          <w:i/>
          <w:iCs/>
        </w:rPr>
        <w:t>1</w:t>
      </w:r>
      <w:r w:rsidRPr="006C395C">
        <w:t>(4), e1400124. https://doi.org/10.1126/sciadv.1400124</w:t>
      </w:r>
    </w:p>
    <w:p w14:paraId="6563B1ED" w14:textId="77777777" w:rsidR="006C395C" w:rsidRPr="006C395C" w:rsidRDefault="006C395C" w:rsidP="006C395C">
      <w:pPr>
        <w:pStyle w:val="Bibliography"/>
      </w:pPr>
      <w:r w:rsidRPr="006C395C">
        <w:t xml:space="preserve">Brown, C. L., &amp; Godduhn, A. (2015). </w:t>
      </w:r>
      <w:r w:rsidRPr="006C395C">
        <w:rPr>
          <w:i/>
          <w:iCs/>
        </w:rPr>
        <w:t>Socioeconomic effects of declining salmon runs on the Yukon River</w:t>
      </w:r>
      <w:r w:rsidRPr="006C395C">
        <w:t>.</w:t>
      </w:r>
    </w:p>
    <w:p w14:paraId="3CADBBB9" w14:textId="77777777" w:rsidR="006C395C" w:rsidRPr="006C395C" w:rsidRDefault="006C395C" w:rsidP="006C395C">
      <w:pPr>
        <w:pStyle w:val="Bibliography"/>
      </w:pPr>
      <w:r w:rsidRPr="006C395C">
        <w:t xml:space="preserve">Campana, S. (1999). Chemistry and composition of fish otoliths:pathways, mechanisms and applications. </w:t>
      </w:r>
      <w:r w:rsidRPr="006C395C">
        <w:rPr>
          <w:i/>
          <w:iCs/>
        </w:rPr>
        <w:t>Marine Ecology Progress Series</w:t>
      </w:r>
      <w:r w:rsidRPr="006C395C">
        <w:t xml:space="preserve">, </w:t>
      </w:r>
      <w:r w:rsidRPr="006C395C">
        <w:rPr>
          <w:i/>
          <w:iCs/>
        </w:rPr>
        <w:t>188</w:t>
      </w:r>
      <w:r w:rsidRPr="006C395C">
        <w:t>, 263–297. https://doi.org/10.3354/meps188263</w:t>
      </w:r>
    </w:p>
    <w:p w14:paraId="70076DE3" w14:textId="77777777" w:rsidR="006C395C" w:rsidRPr="006C395C" w:rsidRDefault="006C395C" w:rsidP="006C395C">
      <w:pPr>
        <w:pStyle w:val="Bibliography"/>
      </w:pPr>
      <w:r w:rsidRPr="006C395C">
        <w:t xml:space="preserve">Capo, R. C., Stewart, B. W., &amp; Chadwick, O. A. (1998). Strontium isotopes as tracers of ecosystem processes: Theory and methods. </w:t>
      </w:r>
      <w:r w:rsidRPr="006C395C">
        <w:rPr>
          <w:i/>
          <w:iCs/>
        </w:rPr>
        <w:t>Geoderma</w:t>
      </w:r>
      <w:r w:rsidRPr="006C395C">
        <w:t xml:space="preserve">, </w:t>
      </w:r>
      <w:r w:rsidRPr="006C395C">
        <w:rPr>
          <w:i/>
          <w:iCs/>
        </w:rPr>
        <w:t>82</w:t>
      </w:r>
      <w:r w:rsidRPr="006C395C">
        <w:t>(1), 197–225. https://doi.org/10.1016/S0016-7061(97)00102-X</w:t>
      </w:r>
    </w:p>
    <w:p w14:paraId="680F9AD1" w14:textId="77777777" w:rsidR="006C395C" w:rsidRPr="006C395C" w:rsidRDefault="006C395C" w:rsidP="006C395C">
      <w:pPr>
        <w:pStyle w:val="Bibliography"/>
      </w:pPr>
      <w:r w:rsidRPr="006C395C">
        <w:t xml:space="preserve">Chittaro, P., Hegg, J., Fuhrman, A., Robichaux, D., Doung, R., Beckman, B., Fisher, C., Vervoort, J., &amp; Kennedy, B. (2023). The incorporation of environmentally derived 87Sr/86Sr and Sr/Ca in early otolith formation of Chinook salmon. </w:t>
      </w:r>
      <w:r w:rsidRPr="006C395C">
        <w:rPr>
          <w:i/>
          <w:iCs/>
        </w:rPr>
        <w:t>Ecology of Freshwater Fish</w:t>
      </w:r>
      <w:r w:rsidRPr="006C395C">
        <w:t xml:space="preserve">, </w:t>
      </w:r>
      <w:r w:rsidRPr="006C395C">
        <w:rPr>
          <w:i/>
          <w:iCs/>
        </w:rPr>
        <w:t>32</w:t>
      </w:r>
      <w:r w:rsidRPr="006C395C">
        <w:t>(1), 107–119. https://doi.org/10.1111/eff.12673</w:t>
      </w:r>
    </w:p>
    <w:p w14:paraId="39B33FC8" w14:textId="77777777" w:rsidR="006C395C" w:rsidRPr="006C395C" w:rsidRDefault="006C395C" w:rsidP="006C395C">
      <w:pPr>
        <w:pStyle w:val="Bibliography"/>
      </w:pPr>
      <w:r w:rsidRPr="006C395C">
        <w:t xml:space="preserve">Clark, J. N., &amp; Smith, N. J. (2019). </w:t>
      </w:r>
      <w:r w:rsidRPr="006C395C">
        <w:rPr>
          <w:i/>
          <w:iCs/>
        </w:rPr>
        <w:t>Inriver Abundance of Kuskokwim River Chinook Salmon, 2017</w:t>
      </w:r>
      <w:r w:rsidRPr="006C395C">
        <w:t xml:space="preserve">. </w:t>
      </w:r>
      <w:r w:rsidRPr="006C395C">
        <w:rPr>
          <w:i/>
          <w:iCs/>
        </w:rPr>
        <w:t>Alaska Department of Fish and Game, Fishery Data Series No. 19-21, Anchorage.</w:t>
      </w:r>
    </w:p>
    <w:p w14:paraId="2CA2BF2A" w14:textId="77777777" w:rsidR="006C395C" w:rsidRPr="006C395C" w:rsidRDefault="006C395C" w:rsidP="006C395C">
      <w:pPr>
        <w:pStyle w:val="Bibliography"/>
      </w:pPr>
      <w:r w:rsidRPr="006C395C">
        <w:t xml:space="preserve">Clark, S. C., Tanner, T. L., Sethi, S. A., Bentley, K. T., &amp; Schindler, D. E. (2015). Migration Timing of Adult Chinook Salmon into the Togiak River, Alaska, Watershed: Is There Evidence for Stock Structure? </w:t>
      </w:r>
      <w:r w:rsidRPr="006C395C">
        <w:rPr>
          <w:i/>
          <w:iCs/>
        </w:rPr>
        <w:t>Transactions of the American Fisheries Society</w:t>
      </w:r>
      <w:r w:rsidRPr="006C395C">
        <w:t xml:space="preserve">, </w:t>
      </w:r>
      <w:r w:rsidRPr="006C395C">
        <w:rPr>
          <w:i/>
          <w:iCs/>
        </w:rPr>
        <w:t>144</w:t>
      </w:r>
      <w:r w:rsidRPr="006C395C">
        <w:t>(4), 829–836. https://doi.org/10.1080/00028487.2015.1031281</w:t>
      </w:r>
    </w:p>
    <w:p w14:paraId="7A8C6A1F" w14:textId="77777777" w:rsidR="006C395C" w:rsidRPr="006C395C" w:rsidRDefault="006C395C" w:rsidP="006C395C">
      <w:pPr>
        <w:pStyle w:val="Bibliography"/>
      </w:pPr>
      <w:r w:rsidRPr="006C395C">
        <w:lastRenderedPageBreak/>
        <w:t xml:space="preserve">Cline, T. J., Schindler, D. E., &amp; Hilborn, R. (2017). Fisheries portfolio diversification and turnover buffer Alaskan fishing communities from abrupt resource and market changes. </w:t>
      </w:r>
      <w:r w:rsidRPr="006C395C">
        <w:rPr>
          <w:i/>
          <w:iCs/>
        </w:rPr>
        <w:t>Nature Communications</w:t>
      </w:r>
      <w:r w:rsidRPr="006C395C">
        <w:t xml:space="preserve">, </w:t>
      </w:r>
      <w:r w:rsidRPr="006C395C">
        <w:rPr>
          <w:i/>
          <w:iCs/>
        </w:rPr>
        <w:t>8</w:t>
      </w:r>
      <w:r w:rsidRPr="006C395C">
        <w:t>(1), Article 1. https://doi.org/10.1038/ncomms14042</w:t>
      </w:r>
    </w:p>
    <w:p w14:paraId="77D02C7B" w14:textId="77777777" w:rsidR="006C395C" w:rsidRPr="006C395C" w:rsidRDefault="006C395C" w:rsidP="006C395C">
      <w:pPr>
        <w:pStyle w:val="Bibliography"/>
      </w:pPr>
      <w:r w:rsidRPr="006C395C">
        <w:t xml:space="preserve">Connors, B. M., Staton, B., Coggins, L., Walters, C., Jones, M., Gwinn, D., Catalano, M., &amp; Fleischman, S. (2020). Incorporating harvest–population diversity trade-offs into harvest policy analyses of salmon management in large river basins. </w:t>
      </w:r>
      <w:r w:rsidRPr="006C395C">
        <w:rPr>
          <w:i/>
          <w:iCs/>
        </w:rPr>
        <w:t>Canadian Journal of Fisheries and Aquatic Sciences</w:t>
      </w:r>
      <w:r w:rsidRPr="006C395C">
        <w:t xml:space="preserve">, </w:t>
      </w:r>
      <w:r w:rsidRPr="006C395C">
        <w:rPr>
          <w:i/>
          <w:iCs/>
        </w:rPr>
        <w:t>77</w:t>
      </w:r>
      <w:r w:rsidRPr="006C395C">
        <w:t>(6), 1076–1089. https://doi.org/10.1139/cjfas-2019-0282</w:t>
      </w:r>
    </w:p>
    <w:p w14:paraId="0847693E" w14:textId="77777777" w:rsidR="006C395C" w:rsidRPr="006C395C" w:rsidRDefault="006C395C" w:rsidP="006C395C">
      <w:pPr>
        <w:pStyle w:val="Bibliography"/>
      </w:pPr>
      <w:r w:rsidRPr="006C395C">
        <w:t xml:space="preserve">Cordoleani, F., Phillis, C. C., Sturrock, A. M., Willmes, M., Whitman, G., Holmes, E., Weber, P. K., Jeffres, C., &amp; Johnson, R. C. (2024). Restoring freshwater habitat mosaics to promote resilience of vulnerable salmon populations. </w:t>
      </w:r>
      <w:r w:rsidRPr="006C395C">
        <w:rPr>
          <w:i/>
          <w:iCs/>
        </w:rPr>
        <w:t>Ecosphere</w:t>
      </w:r>
      <w:r w:rsidRPr="006C395C">
        <w:t xml:space="preserve">, </w:t>
      </w:r>
      <w:r w:rsidRPr="006C395C">
        <w:rPr>
          <w:i/>
          <w:iCs/>
        </w:rPr>
        <w:t>15</w:t>
      </w:r>
      <w:r w:rsidRPr="006C395C">
        <w:t>(3), e4803. https://doi.org/10.1002/ecs2.4803</w:t>
      </w:r>
    </w:p>
    <w:p w14:paraId="369D1B0F" w14:textId="77777777" w:rsidR="006C395C" w:rsidRPr="006C395C" w:rsidRDefault="006C395C" w:rsidP="006C395C">
      <w:pPr>
        <w:pStyle w:val="Bibliography"/>
      </w:pPr>
      <w:r w:rsidRPr="006C395C">
        <w:t xml:space="preserve">Donohoe, C. J., &amp; Zimmerman, C. E. (2010). A method of mounting multiple otoliths for beam-based microchemical analyses. </w:t>
      </w:r>
      <w:r w:rsidRPr="006C395C">
        <w:rPr>
          <w:i/>
          <w:iCs/>
        </w:rPr>
        <w:t>Environmental Biology of Fishes</w:t>
      </w:r>
      <w:r w:rsidRPr="006C395C">
        <w:t xml:space="preserve">, </w:t>
      </w:r>
      <w:r w:rsidRPr="006C395C">
        <w:rPr>
          <w:i/>
          <w:iCs/>
        </w:rPr>
        <w:t>89</w:t>
      </w:r>
      <w:r w:rsidRPr="006C395C">
        <w:t>(3), 473–477. https://doi.org/10.1007/s10641-010-9680-3</w:t>
      </w:r>
    </w:p>
    <w:p w14:paraId="4423D661" w14:textId="77777777" w:rsidR="006C395C" w:rsidRPr="006C395C" w:rsidRDefault="006C395C" w:rsidP="006C395C">
      <w:pPr>
        <w:pStyle w:val="Bibliography"/>
      </w:pPr>
      <w:r w:rsidRPr="006C395C">
        <w:t xml:space="preserve">Falke, &amp; Paul. (2025). </w:t>
      </w:r>
      <w:r w:rsidRPr="006C395C">
        <w:rPr>
          <w:i/>
          <w:iCs/>
        </w:rPr>
        <w:t>Stream Attributes and Habitat Intrinsic Potential Model Results to examine Freshwater Habitat Potential for Chinook Salmon in the Yukon and Kuskokwim River Basins, Alaska</w:t>
      </w:r>
      <w:r w:rsidRPr="006C395C">
        <w:t xml:space="preserve"> [Csv,xml,shp]. U.S. Geological Survey. https://doi.org/10.5066/P95AV4JO</w:t>
      </w:r>
    </w:p>
    <w:p w14:paraId="2DE42F77" w14:textId="77777777" w:rsidR="006C395C" w:rsidRPr="006C395C" w:rsidRDefault="006C395C" w:rsidP="006C395C">
      <w:pPr>
        <w:pStyle w:val="Bibliography"/>
      </w:pPr>
      <w:r w:rsidRPr="006C395C">
        <w:t xml:space="preserve">French, D. W., Schindler, D. E., Brennan, S. R., &amp; Whited, D. (2020). Headwater Catchments Govern Biogeochemistry in America’s Largest Free-Flowing River Network. </w:t>
      </w:r>
      <w:r w:rsidRPr="006C395C">
        <w:rPr>
          <w:i/>
          <w:iCs/>
        </w:rPr>
        <w:t xml:space="preserve">Journal of </w:t>
      </w:r>
      <w:r w:rsidRPr="006C395C">
        <w:rPr>
          <w:i/>
          <w:iCs/>
        </w:rPr>
        <w:lastRenderedPageBreak/>
        <w:t>Geophysical Research: Biogeosciences</w:t>
      </w:r>
      <w:r w:rsidRPr="006C395C">
        <w:t xml:space="preserve">, </w:t>
      </w:r>
      <w:r w:rsidRPr="006C395C">
        <w:rPr>
          <w:i/>
          <w:iCs/>
        </w:rPr>
        <w:t>125</w:t>
      </w:r>
      <w:r w:rsidRPr="006C395C">
        <w:t>(12), e2020JG005851. https://doi.org/10.1029/2020JG005851</w:t>
      </w:r>
    </w:p>
    <w:p w14:paraId="25FDB51C" w14:textId="77777777" w:rsidR="006C395C" w:rsidRPr="006C395C" w:rsidRDefault="006C395C" w:rsidP="006C395C">
      <w:pPr>
        <w:pStyle w:val="Bibliography"/>
      </w:pPr>
      <w:r w:rsidRPr="006C395C">
        <w:t xml:space="preserve">Griffiths, J. R., Schindler, D. E., Armstrong, J. B., Scheuerell, M. D., Whited, D. C., Clark, R. A., Hilborn, R., Holt, C. A., Lindley, S. T., Stanford, J. A., &amp; Volk, E. C. (2014). Performance of salmon fishery portfolios across western North America. </w:t>
      </w:r>
      <w:r w:rsidRPr="006C395C">
        <w:rPr>
          <w:i/>
          <w:iCs/>
        </w:rPr>
        <w:t>JOURNAL OF APPLIED ECOLOGY</w:t>
      </w:r>
      <w:r w:rsidRPr="006C395C">
        <w:t xml:space="preserve">, </w:t>
      </w:r>
      <w:r w:rsidRPr="006C395C">
        <w:rPr>
          <w:i/>
          <w:iCs/>
        </w:rPr>
        <w:t>51</w:t>
      </w:r>
      <w:r w:rsidRPr="006C395C">
        <w:t>(6), 1554–1563. https://doi.org/10.1111/1365-2664.12341</w:t>
      </w:r>
    </w:p>
    <w:p w14:paraId="1119B496" w14:textId="77777777" w:rsidR="006C395C" w:rsidRPr="006C395C" w:rsidRDefault="006C395C" w:rsidP="006C395C">
      <w:pPr>
        <w:pStyle w:val="Bibliography"/>
      </w:pPr>
      <w:r w:rsidRPr="006C395C">
        <w:t xml:space="preserve">Hamazaki, T. (2008). “When people argue about fish, the fish disappear.” </w:t>
      </w:r>
      <w:r w:rsidRPr="006C395C">
        <w:rPr>
          <w:i/>
          <w:iCs/>
        </w:rPr>
        <w:t>Fisheries</w:t>
      </w:r>
      <w:r w:rsidRPr="006C395C">
        <w:t xml:space="preserve">, </w:t>
      </w:r>
      <w:r w:rsidRPr="006C395C">
        <w:rPr>
          <w:i/>
          <w:iCs/>
        </w:rPr>
        <w:t>33</w:t>
      </w:r>
      <w:r w:rsidRPr="006C395C">
        <w:t>(10), 495–501. https://doi.org/10.1577/1548-8446-33.10.495</w:t>
      </w:r>
    </w:p>
    <w:p w14:paraId="2231A7ED" w14:textId="77777777" w:rsidR="006C395C" w:rsidRPr="006C395C" w:rsidRDefault="006C395C" w:rsidP="006C395C">
      <w:pPr>
        <w:pStyle w:val="Bibliography"/>
      </w:pPr>
      <w:r w:rsidRPr="006C395C">
        <w:t xml:space="preserve">Head, J. M., Smith, N. J., &amp; Liller, Z. W. (2017). </w:t>
      </w:r>
      <w:r w:rsidRPr="006C395C">
        <w:rPr>
          <w:i/>
          <w:iCs/>
        </w:rPr>
        <w:t>Inriver abundance of Kuskokwim River Chinook salmon, 2014.</w:t>
      </w:r>
      <w:r w:rsidRPr="006C395C">
        <w:t xml:space="preserve"> (Alaska Department of Fish and Game, Fishery Data Series No. 17-23, Anchorage.).</w:t>
      </w:r>
    </w:p>
    <w:p w14:paraId="6603E2DF" w14:textId="77777777" w:rsidR="006C395C" w:rsidRPr="006C395C" w:rsidRDefault="006C395C" w:rsidP="006C395C">
      <w:pPr>
        <w:pStyle w:val="Bibliography"/>
      </w:pPr>
      <w:r w:rsidRPr="006C395C">
        <w:t xml:space="preserve">Hilborn, R., Quinn, T. P., Schindler, D. E., &amp; Rogers, D. E. (2003). Biocomplexity and fisheries sustainability. </w:t>
      </w:r>
      <w:r w:rsidRPr="006C395C">
        <w:rPr>
          <w:i/>
          <w:iCs/>
        </w:rPr>
        <w:t>Proceedings of the National Academy of Sciences</w:t>
      </w:r>
      <w:r w:rsidRPr="006C395C">
        <w:t xml:space="preserve">, </w:t>
      </w:r>
      <w:r w:rsidRPr="006C395C">
        <w:rPr>
          <w:i/>
          <w:iCs/>
        </w:rPr>
        <w:t>100</w:t>
      </w:r>
      <w:r w:rsidRPr="006C395C">
        <w:t>(11), 6564–6568. https://doi.org/10.1073/pnas.1037274100</w:t>
      </w:r>
    </w:p>
    <w:p w14:paraId="3E23728F" w14:textId="77777777" w:rsidR="006C395C" w:rsidRPr="006C395C" w:rsidRDefault="006C395C" w:rsidP="006C395C">
      <w:pPr>
        <w:pStyle w:val="Bibliography"/>
      </w:pPr>
      <w:r w:rsidRPr="006C395C">
        <w:t xml:space="preserve">Kennedy, B. P., Blum, J. D., Folt, C. L., &amp; Nislow, K. H. (2000). Using natural strontium isotopic signatures as fish markers: Methodology and application. </w:t>
      </w:r>
      <w:r w:rsidRPr="006C395C">
        <w:rPr>
          <w:i/>
          <w:iCs/>
        </w:rPr>
        <w:t>Canadian Journal of Fisheries and Aquatic Sciences</w:t>
      </w:r>
      <w:r w:rsidRPr="006C395C">
        <w:t xml:space="preserve">, </w:t>
      </w:r>
      <w:r w:rsidRPr="006C395C">
        <w:rPr>
          <w:i/>
          <w:iCs/>
        </w:rPr>
        <w:t>57</w:t>
      </w:r>
      <w:r w:rsidRPr="006C395C">
        <w:t>(11), 2280–2292. https://doi.org/10.1139/f00-206</w:t>
      </w:r>
    </w:p>
    <w:p w14:paraId="70EEA0DA" w14:textId="77777777" w:rsidR="006C395C" w:rsidRPr="006C395C" w:rsidRDefault="006C395C" w:rsidP="006C395C">
      <w:pPr>
        <w:pStyle w:val="Bibliography"/>
      </w:pPr>
      <w:r w:rsidRPr="006C395C">
        <w:t xml:space="preserve">KRITFC. (2024). </w:t>
      </w:r>
      <w:r w:rsidRPr="006C395C">
        <w:rPr>
          <w:i/>
          <w:iCs/>
        </w:rPr>
        <w:t>Kuskokwim River Salmon Situation Report</w:t>
      </w:r>
      <w:r w:rsidRPr="006C395C">
        <w:t>. https://static1.squarespace.com/static/5afdc3d5e74940913f78773d/t/66e4bb2dfcc5d24880434ff7/1726266166559/2023+Kusko+Situation+Report_4.19.24+final.pdf</w:t>
      </w:r>
    </w:p>
    <w:p w14:paraId="0D9DC149" w14:textId="77777777" w:rsidR="006C395C" w:rsidRPr="006C395C" w:rsidRDefault="006C395C" w:rsidP="006C395C">
      <w:pPr>
        <w:pStyle w:val="Bibliography"/>
      </w:pPr>
      <w:r w:rsidRPr="006C395C">
        <w:lastRenderedPageBreak/>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sidRPr="006C395C">
        <w:rPr>
          <w:i/>
          <w:iCs/>
        </w:rPr>
        <w:t>Fish and Fisheries</w:t>
      </w:r>
      <w:r w:rsidRPr="006C395C">
        <w:t xml:space="preserve">, </w:t>
      </w:r>
      <w:r w:rsidRPr="006C395C">
        <w:rPr>
          <w:i/>
          <w:iCs/>
        </w:rPr>
        <w:t>26</w:t>
      </w:r>
      <w:r w:rsidRPr="006C395C">
        <w:t>(4), 520–532. https://doi.org/10.1111/faf.12895</w:t>
      </w:r>
    </w:p>
    <w:p w14:paraId="780CCB2F" w14:textId="77777777" w:rsidR="006C395C" w:rsidRPr="006C395C" w:rsidRDefault="006C395C" w:rsidP="006C395C">
      <w:pPr>
        <w:pStyle w:val="Bibliography"/>
      </w:pPr>
      <w:r w:rsidRPr="006C395C">
        <w:t xml:space="preserve">Lamborn, C. C., Ohlberger, J., Walsworth, T. E., Westley, P. A. H., Cunningham, C. J., Wynsma, S., &amp; Smith, J. W. (2025b). A Synthesis of Factors Related to Trends in Abundance and Demography of Alaska Chinook Salmon (Oncorhynchus tshawytscha, Salmonidae): Implications for Research, Management, and Policy. </w:t>
      </w:r>
      <w:r w:rsidRPr="006C395C">
        <w:rPr>
          <w:i/>
          <w:iCs/>
        </w:rPr>
        <w:t>Fish and Fisheries</w:t>
      </w:r>
      <w:r w:rsidRPr="006C395C">
        <w:t xml:space="preserve">, </w:t>
      </w:r>
      <w:r w:rsidRPr="006C395C">
        <w:rPr>
          <w:i/>
          <w:iCs/>
        </w:rPr>
        <w:t>n/a</w:t>
      </w:r>
      <w:r w:rsidRPr="006C395C">
        <w:t>(n/a). https://doi.org/10.1111/faf.12895</w:t>
      </w:r>
    </w:p>
    <w:p w14:paraId="1DDBB6B9" w14:textId="77777777" w:rsidR="006C395C" w:rsidRPr="006C395C" w:rsidRDefault="006C395C" w:rsidP="006C395C">
      <w:pPr>
        <w:pStyle w:val="Bibliography"/>
      </w:pPr>
      <w:r w:rsidRPr="006C395C">
        <w:t xml:space="preserve">Larson, W. A., Seeb, J. E., Pascal, C. E., Templin, W. D., &amp; Seeb, L. W. (2014). Single-nucleotide polymorphisms (SNPs) identified through genotyping-by-sequencing improve genetic stock identification of Chinook salmon ( </w:t>
      </w:r>
      <w:r w:rsidRPr="006C395C">
        <w:rPr>
          <w:i/>
          <w:iCs/>
        </w:rPr>
        <w:t>Oncorhynchus tshawytscha</w:t>
      </w:r>
      <w:r w:rsidRPr="006C395C">
        <w:t xml:space="preserve"> ) from western Alaska. </w:t>
      </w:r>
      <w:r w:rsidRPr="006C395C">
        <w:rPr>
          <w:i/>
          <w:iCs/>
        </w:rPr>
        <w:t>Canadian Journal of Fisheries and Aquatic Sciences</w:t>
      </w:r>
      <w:r w:rsidRPr="006C395C">
        <w:t xml:space="preserve">, </w:t>
      </w:r>
      <w:r w:rsidRPr="006C395C">
        <w:rPr>
          <w:i/>
          <w:iCs/>
        </w:rPr>
        <w:t>71</w:t>
      </w:r>
      <w:r w:rsidRPr="006C395C">
        <w:t>(5), 698–708. https://doi.org/10.1139/cjfas-2013-0502</w:t>
      </w:r>
    </w:p>
    <w:p w14:paraId="10FD9939" w14:textId="77777777" w:rsidR="006C395C" w:rsidRPr="006C395C" w:rsidRDefault="006C395C" w:rsidP="006C395C">
      <w:pPr>
        <w:pStyle w:val="Bibliography"/>
      </w:pPr>
      <w:r w:rsidRPr="006C395C">
        <w:t xml:space="preserve">Lipka, C., &amp; Elison, T. (2015). </w:t>
      </w:r>
      <w:r w:rsidRPr="006C395C">
        <w:rPr>
          <w:i/>
          <w:iCs/>
        </w:rPr>
        <w:t>Characterization of the 2012 and 2013 salmon runs in the Kuskokwim River based on the test fishery at Bethel.</w:t>
      </w:r>
      <w:r w:rsidRPr="006C395C">
        <w:t xml:space="preserve"> (Fishery Data Series No. 16-06 Anchorage). Alaska Department of Fish and Game.</w:t>
      </w:r>
    </w:p>
    <w:p w14:paraId="6BEBD428" w14:textId="77777777" w:rsidR="006C395C" w:rsidRPr="006C395C" w:rsidRDefault="006C395C" w:rsidP="006C395C">
      <w:pPr>
        <w:pStyle w:val="Bibliography"/>
      </w:pPr>
      <w:r w:rsidRPr="006C395C">
        <w:t xml:space="preserve">Luck, G., Daily, G., &amp; Ehrlich, P. (2003). Population diversity and ecosystem services. </w:t>
      </w:r>
      <w:r w:rsidRPr="006C395C">
        <w:rPr>
          <w:i/>
          <w:iCs/>
        </w:rPr>
        <w:t>Trends in Ecology &amp; Evolution</w:t>
      </w:r>
      <w:r w:rsidRPr="006C395C">
        <w:t xml:space="preserve">, </w:t>
      </w:r>
      <w:r w:rsidRPr="006C395C">
        <w:rPr>
          <w:i/>
          <w:iCs/>
        </w:rPr>
        <w:t>18</w:t>
      </w:r>
      <w:r w:rsidRPr="006C395C">
        <w:t>, 331–336. https://doi.org/10.1016/S0169-5347(03)00100-9</w:t>
      </w:r>
    </w:p>
    <w:p w14:paraId="5136E210" w14:textId="77777777" w:rsidR="006C395C" w:rsidRPr="006C395C" w:rsidRDefault="006C395C" w:rsidP="006C395C">
      <w:pPr>
        <w:pStyle w:val="Bibliography"/>
      </w:pPr>
      <w:r w:rsidRPr="006C395C">
        <w:lastRenderedPageBreak/>
        <w:t xml:space="preserve">Makhlouf, B., Cline, T. J., Fernandez, D., Seeb, L., Lee, E., Gilk-Baumer, S., Whited, D., Zimmerman, C. E., &amp; Schindler, D. E. (2025). Combining genetic and isotope frameworks improves reconstruction of fish provenance across riverscapes. </w:t>
      </w:r>
      <w:r w:rsidRPr="006C395C">
        <w:rPr>
          <w:i/>
          <w:iCs/>
        </w:rPr>
        <w:t>Limnology and Oceanography Letters</w:t>
      </w:r>
      <w:r w:rsidRPr="006C395C">
        <w:t xml:space="preserve">, </w:t>
      </w:r>
      <w:r w:rsidRPr="006C395C">
        <w:rPr>
          <w:i/>
          <w:iCs/>
        </w:rPr>
        <w:t>n/a</w:t>
      </w:r>
      <w:r w:rsidRPr="006C395C">
        <w:t>(n/a). https://doi.org/10.1002/lol2.70025</w:t>
      </w:r>
    </w:p>
    <w:p w14:paraId="418B706E" w14:textId="77777777" w:rsidR="006C395C" w:rsidRPr="006C395C" w:rsidRDefault="006C395C" w:rsidP="006C395C">
      <w:pPr>
        <w:pStyle w:val="Bibliography"/>
      </w:pPr>
      <w:r w:rsidRPr="006C395C">
        <w:t xml:space="preserve">Mikow, E. H., Retherford, B., Runfola, D. M., &amp; Gonazalez, D. (2019). </w:t>
      </w:r>
      <w:r w:rsidRPr="006C395C">
        <w:rPr>
          <w:i/>
          <w:iCs/>
        </w:rPr>
        <w:t>Local traditional knowledge of salmon freshwater ecology in the middle and upper Kuskokwim River, Alaska Department of Fish and Game: Division of Subsistance, Anchorage Alaska TP-450</w:t>
      </w:r>
      <w:r w:rsidRPr="006C395C">
        <w:t>.</w:t>
      </w:r>
    </w:p>
    <w:p w14:paraId="1D650607" w14:textId="77777777" w:rsidR="006C395C" w:rsidRPr="006C395C" w:rsidRDefault="006C395C" w:rsidP="006C395C">
      <w:pPr>
        <w:pStyle w:val="Bibliography"/>
      </w:pPr>
      <w:r w:rsidRPr="006C395C">
        <w:t xml:space="preserve">Moore, J. W., Connors, B. M., &amp; Hodgson, E. E. (2021). Conservation risks and portfolio effects in mixed-stock fisheries. </w:t>
      </w:r>
      <w:r w:rsidRPr="006C395C">
        <w:rPr>
          <w:i/>
          <w:iCs/>
        </w:rPr>
        <w:t>Fish and Fisheries</w:t>
      </w:r>
      <w:r w:rsidRPr="006C395C">
        <w:t xml:space="preserve">, </w:t>
      </w:r>
      <w:r w:rsidRPr="006C395C">
        <w:rPr>
          <w:i/>
          <w:iCs/>
        </w:rPr>
        <w:t>22</w:t>
      </w:r>
      <w:r w:rsidRPr="006C395C">
        <w:t>(5), 1024–1040. https://doi.org/10.1111/faf.12567</w:t>
      </w:r>
    </w:p>
    <w:p w14:paraId="47A4FAC2" w14:textId="77777777" w:rsidR="006C395C" w:rsidRPr="006C395C" w:rsidRDefault="006C395C" w:rsidP="006C395C">
      <w:pPr>
        <w:pStyle w:val="Bibliography"/>
      </w:pPr>
      <w:r w:rsidRPr="006C395C">
        <w:t xml:space="preserve">Mundy, P. R. (1982). Computation of Migratory Timing Statistics for Adult Chinook Salmon in the Yukon River, Alaska, and Their Relevance to Fisheries Management. </w:t>
      </w:r>
      <w:r w:rsidRPr="006C395C">
        <w:rPr>
          <w:i/>
          <w:iCs/>
        </w:rPr>
        <w:t>North American Journal of Fisheries Management</w:t>
      </w:r>
      <w:r w:rsidRPr="006C395C">
        <w:t xml:space="preserve">, </w:t>
      </w:r>
      <w:r w:rsidRPr="006C395C">
        <w:rPr>
          <w:i/>
          <w:iCs/>
        </w:rPr>
        <w:t>2</w:t>
      </w:r>
      <w:r w:rsidRPr="006C395C">
        <w:t>(4), 359–370. https://doi.org/10.1577/1548-8659(1982)2%3C359:COMTSF%3E2.0.CO;2</w:t>
      </w:r>
    </w:p>
    <w:p w14:paraId="1F34B181" w14:textId="77777777" w:rsidR="006C395C" w:rsidRPr="006C395C" w:rsidRDefault="006C395C" w:rsidP="006C395C">
      <w:pPr>
        <w:pStyle w:val="Bibliography"/>
      </w:pPr>
      <w:r w:rsidRPr="006C395C">
        <w:t xml:space="preserve">Nesbitt, H. K., &amp; Moore, J. W. (2016). Species and population diversity in Pacific salmon fisheries underpin indigenous food security. </w:t>
      </w:r>
      <w:r w:rsidRPr="006C395C">
        <w:rPr>
          <w:i/>
          <w:iCs/>
        </w:rPr>
        <w:t>Journal of Applied Ecology</w:t>
      </w:r>
      <w:r w:rsidRPr="006C395C">
        <w:t xml:space="preserve">, </w:t>
      </w:r>
      <w:r w:rsidRPr="006C395C">
        <w:rPr>
          <w:i/>
          <w:iCs/>
        </w:rPr>
        <w:t>53</w:t>
      </w:r>
      <w:r w:rsidRPr="006C395C">
        <w:t>(5), 1489–1499. https://doi.org/10.1111/1365-2664.12717</w:t>
      </w:r>
    </w:p>
    <w:p w14:paraId="438A7136" w14:textId="77777777" w:rsidR="006C395C" w:rsidRPr="006C395C" w:rsidRDefault="006C395C" w:rsidP="006C395C">
      <w:pPr>
        <w:pStyle w:val="Bibliography"/>
      </w:pPr>
      <w:r w:rsidRPr="006C395C">
        <w:t xml:space="preserve">Ohlberger, J., Ward, E. J., Schindler, D. E., &amp; Lewis, B. (2018). Demographic changes in Chinook salmon across the Northeast Pacific Ocean. </w:t>
      </w:r>
      <w:r w:rsidRPr="006C395C">
        <w:rPr>
          <w:i/>
          <w:iCs/>
        </w:rPr>
        <w:t>Fish and Fisheries</w:t>
      </w:r>
      <w:r w:rsidRPr="006C395C">
        <w:t xml:space="preserve">, </w:t>
      </w:r>
      <w:r w:rsidRPr="006C395C">
        <w:rPr>
          <w:i/>
          <w:iCs/>
        </w:rPr>
        <w:t>19</w:t>
      </w:r>
      <w:r w:rsidRPr="006C395C">
        <w:t>(3), 533–546. https://doi.org/10.1111/faf.12272</w:t>
      </w:r>
    </w:p>
    <w:p w14:paraId="31260C2B" w14:textId="77777777" w:rsidR="006C395C" w:rsidRPr="006C395C" w:rsidRDefault="006C395C" w:rsidP="006C395C">
      <w:pPr>
        <w:pStyle w:val="Bibliography"/>
      </w:pPr>
      <w:r w:rsidRPr="006C395C">
        <w:lastRenderedPageBreak/>
        <w:t xml:space="preserve">Phillis, C. C., Sturrock, A. M., Johnson, R. C., &amp; Weber, P. K. (2018). Endangered winter-run Chinook salmon rely on diverse rearing habitats in a highly altered landscape. </w:t>
      </w:r>
      <w:r w:rsidRPr="006C395C">
        <w:rPr>
          <w:i/>
          <w:iCs/>
        </w:rPr>
        <w:t>Biological Conservation</w:t>
      </w:r>
      <w:r w:rsidRPr="006C395C">
        <w:t xml:space="preserve">, </w:t>
      </w:r>
      <w:r w:rsidRPr="006C395C">
        <w:rPr>
          <w:i/>
          <w:iCs/>
        </w:rPr>
        <w:t>217</w:t>
      </w:r>
      <w:r w:rsidRPr="006C395C">
        <w:t>, 358–362. https://doi.org/10.1016/j.biocon.2017.10.023</w:t>
      </w:r>
    </w:p>
    <w:p w14:paraId="1BADA883" w14:textId="77777777" w:rsidR="006C395C" w:rsidRPr="006C395C" w:rsidRDefault="006C395C" w:rsidP="006C395C">
      <w:pPr>
        <w:pStyle w:val="Bibliography"/>
      </w:pPr>
      <w:r w:rsidRPr="006C395C">
        <w:t xml:space="preserve">Quinn, T. P. (2018). </w:t>
      </w:r>
      <w:r w:rsidRPr="006C395C">
        <w:rPr>
          <w:i/>
          <w:iCs/>
        </w:rPr>
        <w:t>The Behavior and Ecology of Pacific Salmon and Trout</w:t>
      </w:r>
      <w:r w:rsidRPr="006C395C">
        <w:t>. American Fisheries Society, University of Washington Press.</w:t>
      </w:r>
    </w:p>
    <w:p w14:paraId="702669BA" w14:textId="77777777" w:rsidR="006C395C" w:rsidRPr="006C395C" w:rsidRDefault="006C395C" w:rsidP="006C395C">
      <w:pPr>
        <w:pStyle w:val="Bibliography"/>
      </w:pPr>
      <w:r w:rsidRPr="006C395C">
        <w:t xml:space="preserve">Schaberg, K. L., Liller, Z. W., Molyneaux, B. G., Bue, B. G., &amp; Stuby, L. (2012). </w:t>
      </w:r>
      <w:r w:rsidRPr="006C395C">
        <w:rPr>
          <w:i/>
          <w:iCs/>
        </w:rPr>
        <w:t>Estimates of total annual return of Chinook salmon to the Kuskokwim River, 2002–2007. Alaska Department of Fish and Game, Fishery Data Series No. 12-36, Anchorage.</w:t>
      </w:r>
    </w:p>
    <w:p w14:paraId="0CB2F0FF" w14:textId="77777777" w:rsidR="006C395C" w:rsidRPr="006C395C" w:rsidRDefault="006C395C" w:rsidP="006C395C">
      <w:pPr>
        <w:pStyle w:val="Bibliography"/>
      </w:pPr>
      <w:r w:rsidRPr="006C395C">
        <w:t xml:space="preserve">Schindler, D. E., Armstrong, J. B., &amp; Reed, T. E. (2015). The portfolio concept in ecology and evolution. </w:t>
      </w:r>
      <w:r w:rsidRPr="006C395C">
        <w:rPr>
          <w:i/>
          <w:iCs/>
        </w:rPr>
        <w:t>Frontiers in Ecology and the Environment</w:t>
      </w:r>
      <w:r w:rsidRPr="006C395C">
        <w:t xml:space="preserve">, </w:t>
      </w:r>
      <w:r w:rsidRPr="006C395C">
        <w:rPr>
          <w:i/>
          <w:iCs/>
        </w:rPr>
        <w:t>13</w:t>
      </w:r>
      <w:r w:rsidRPr="006C395C">
        <w:t>(5), 257–263.</w:t>
      </w:r>
    </w:p>
    <w:p w14:paraId="47D413D1" w14:textId="77777777" w:rsidR="006C395C" w:rsidRPr="000D7A1D" w:rsidRDefault="006C395C" w:rsidP="006C395C">
      <w:pPr>
        <w:pStyle w:val="Bibliography"/>
        <w:rPr>
          <w:lang w:val="fr-FR"/>
        </w:rPr>
      </w:pPr>
      <w:r w:rsidRPr="006C395C">
        <w:t xml:space="preserve">Schindler, D. E., Hilborn, R., Chasco, B., Boatright, C. P., Quinn, T. P., Rogers, L. A., &amp; Webster, M. S. (2010). Population diversity and the portfolio effect in an exploited species. </w:t>
      </w:r>
      <w:r w:rsidRPr="000D7A1D">
        <w:rPr>
          <w:i/>
          <w:iCs/>
          <w:lang w:val="fr-FR"/>
        </w:rPr>
        <w:t>Nature</w:t>
      </w:r>
      <w:r w:rsidRPr="000D7A1D">
        <w:rPr>
          <w:lang w:val="fr-FR"/>
        </w:rPr>
        <w:t xml:space="preserve">, </w:t>
      </w:r>
      <w:r w:rsidRPr="000D7A1D">
        <w:rPr>
          <w:i/>
          <w:iCs/>
          <w:lang w:val="fr-FR"/>
        </w:rPr>
        <w:t>465</w:t>
      </w:r>
      <w:r w:rsidRPr="000D7A1D">
        <w:rPr>
          <w:lang w:val="fr-FR"/>
        </w:rPr>
        <w:t>(7298). https://doi.org/https://doi-org.prox.lib.ncsu.edu/10.1038/nature09060</w:t>
      </w:r>
    </w:p>
    <w:p w14:paraId="2E092712" w14:textId="77777777" w:rsidR="006C395C" w:rsidRPr="006C395C" w:rsidRDefault="006C395C" w:rsidP="006C395C">
      <w:pPr>
        <w:pStyle w:val="Bibliography"/>
      </w:pPr>
      <w:r w:rsidRPr="006C395C">
        <w:t xml:space="preserve">Smith, N. J., &amp; Liller, Z. W. (2017a). </w:t>
      </w:r>
      <w:r w:rsidRPr="006C395C">
        <w:rPr>
          <w:i/>
          <w:iCs/>
        </w:rPr>
        <w:t>Inriver abundance and migration characteristics of Kuskokwim River Chinook salmon, 2015.</w:t>
      </w:r>
      <w:r w:rsidRPr="006C395C">
        <w:t xml:space="preserve"> (Alaska Department of Fish and Game, Fishery Data Series No. 17-22, Anchorage.).</w:t>
      </w:r>
    </w:p>
    <w:p w14:paraId="302CB7D4" w14:textId="77777777" w:rsidR="006C395C" w:rsidRPr="006C395C" w:rsidRDefault="006C395C" w:rsidP="006C395C">
      <w:pPr>
        <w:pStyle w:val="Bibliography"/>
      </w:pPr>
      <w:r w:rsidRPr="006C395C">
        <w:t xml:space="preserve">Smith, N. J., &amp; Liller, Z. W. (2017b). </w:t>
      </w:r>
      <w:r w:rsidRPr="006C395C">
        <w:rPr>
          <w:i/>
          <w:iCs/>
        </w:rPr>
        <w:t>Inriver abundance and migration characteristics of Kuskokwim River Chinook salmon, 2016.</w:t>
      </w:r>
      <w:r w:rsidRPr="006C395C">
        <w:t xml:space="preserve"> </w:t>
      </w:r>
      <w:r w:rsidRPr="006C395C">
        <w:rPr>
          <w:i/>
          <w:iCs/>
        </w:rPr>
        <w:t>Alaska Department of Fish and Game, Fishery Data Series No. 17-47, Anchorage.</w:t>
      </w:r>
    </w:p>
    <w:p w14:paraId="3E951522" w14:textId="77777777" w:rsidR="006C395C" w:rsidRPr="006C395C" w:rsidRDefault="006C395C" w:rsidP="006C395C">
      <w:pPr>
        <w:pStyle w:val="Bibliography"/>
      </w:pPr>
      <w:r w:rsidRPr="000D7A1D">
        <w:rPr>
          <w:lang w:val="es-ES"/>
        </w:rPr>
        <w:lastRenderedPageBreak/>
        <w:t xml:space="preserve">Staton, B. A., Catalano, M. J., Farmer, T. M., Abebe, A., &amp; Dobson, F. S. (2017). </w:t>
      </w:r>
      <w:r w:rsidRPr="006C395C">
        <w:t xml:space="preserve">Development and evaluation of a migration timing forecast model for Kuskokwim River Chinook salmon. </w:t>
      </w:r>
      <w:r w:rsidRPr="006C395C">
        <w:rPr>
          <w:i/>
          <w:iCs/>
        </w:rPr>
        <w:t>Fisheries Research</w:t>
      </w:r>
      <w:r w:rsidRPr="006C395C">
        <w:t xml:space="preserve">, </w:t>
      </w:r>
      <w:r w:rsidRPr="006C395C">
        <w:rPr>
          <w:i/>
          <w:iCs/>
        </w:rPr>
        <w:t>194</w:t>
      </w:r>
      <w:r w:rsidRPr="006C395C">
        <w:t>, 9–21. https://doi.org/10.1016/j.fishres.2017.05.003</w:t>
      </w:r>
    </w:p>
    <w:p w14:paraId="7858A060" w14:textId="77777777" w:rsidR="006C395C" w:rsidRPr="006C395C" w:rsidRDefault="006C395C" w:rsidP="006C395C">
      <w:pPr>
        <w:pStyle w:val="Bibliography"/>
      </w:pPr>
      <w:r w:rsidRPr="006C395C">
        <w:t xml:space="preserve">Stuby, L. (2007). </w:t>
      </w:r>
      <w:r w:rsidRPr="006C395C">
        <w:rPr>
          <w:i/>
          <w:iCs/>
        </w:rPr>
        <w:t>Inriver abundance of Chinook salmon in the Kuskokwim River, 2002-2006. Alaska Department of Fish and Game, Fishery Data Series No. 07-93, Anchorage.</w:t>
      </w:r>
    </w:p>
    <w:p w14:paraId="7B0D79B5" w14:textId="77777777" w:rsidR="006C395C" w:rsidRPr="006C395C" w:rsidRDefault="006C395C" w:rsidP="006C395C">
      <w:pPr>
        <w:pStyle w:val="Bibliography"/>
      </w:pPr>
      <w:r w:rsidRPr="006C395C">
        <w:t xml:space="preserve">Sturrock, A. M., Carlson, S. M., Wikert, J. D., Heyne, T., Nusslé, S., Merz, J. E., Sturrock, H. J. W., &amp; Johnson, R. C. (2020). Unnatural selection of salmon life histories in a modified riverscape. </w:t>
      </w:r>
      <w:r w:rsidRPr="006C395C">
        <w:rPr>
          <w:i/>
          <w:iCs/>
        </w:rPr>
        <w:t>Global Change Biology</w:t>
      </w:r>
      <w:r w:rsidRPr="006C395C">
        <w:t xml:space="preserve">, </w:t>
      </w:r>
      <w:r w:rsidRPr="006C395C">
        <w:rPr>
          <w:i/>
          <w:iCs/>
        </w:rPr>
        <w:t>26</w:t>
      </w:r>
      <w:r w:rsidRPr="006C395C">
        <w:t>(3), 1235–1247. https://doi.org/10.1111/gcb.14896</w:t>
      </w:r>
    </w:p>
    <w:p w14:paraId="4F03181A" w14:textId="77777777" w:rsidR="006C395C" w:rsidRPr="006C395C" w:rsidRDefault="006C395C" w:rsidP="006C395C">
      <w:pPr>
        <w:pStyle w:val="Bibliography"/>
      </w:pPr>
      <w:r w:rsidRPr="006C395C">
        <w:t xml:space="preserve">Tiernan, A., &amp; Poetter, A. (2015). </w:t>
      </w:r>
      <w:r w:rsidRPr="006C395C">
        <w:rPr>
          <w:i/>
          <w:iCs/>
        </w:rPr>
        <w:t>013 Kuskokwim area management report. Alaska Departmentof Fish and Game, Fishery Management Report No. 15-46, Anchorage.</w:t>
      </w:r>
    </w:p>
    <w:p w14:paraId="44C08752" w14:textId="77777777" w:rsidR="006C395C" w:rsidRPr="006C395C" w:rsidRDefault="006C395C" w:rsidP="006C395C">
      <w:pPr>
        <w:pStyle w:val="Bibliography"/>
      </w:pPr>
      <w:r w:rsidRPr="006C395C">
        <w:t xml:space="preserve">Tilman, D., Polasky, S., &amp; Lehman, C. (2005). Diversity, productivity and temporal stability in the economies of humans and nature. </w:t>
      </w:r>
      <w:r w:rsidRPr="006C395C">
        <w:rPr>
          <w:i/>
          <w:iCs/>
        </w:rPr>
        <w:t>Journal of Environmental Economics and Management</w:t>
      </w:r>
      <w:r w:rsidRPr="006C395C">
        <w:t xml:space="preserve">, </w:t>
      </w:r>
      <w:r w:rsidRPr="006C395C">
        <w:rPr>
          <w:i/>
          <w:iCs/>
        </w:rPr>
        <w:t>49</w:t>
      </w:r>
      <w:r w:rsidRPr="006C395C">
        <w:t>(3), 405–426. https://doi.org/10.1016/j.jeem.2004.03.008</w:t>
      </w:r>
    </w:p>
    <w:p w14:paraId="29142184" w14:textId="77777777" w:rsidR="006C395C" w:rsidRPr="006C395C" w:rsidRDefault="006C395C" w:rsidP="006C395C">
      <w:pPr>
        <w:pStyle w:val="Bibliography"/>
      </w:pPr>
      <w:r w:rsidRPr="006C395C">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6C395C">
        <w:rPr>
          <w:i/>
          <w:iCs/>
        </w:rPr>
        <w:t>Ecological Applications</w:t>
      </w:r>
      <w:r w:rsidRPr="006C395C">
        <w:t xml:space="preserve">, </w:t>
      </w:r>
      <w:r w:rsidRPr="006C395C">
        <w:rPr>
          <w:i/>
          <w:iCs/>
        </w:rPr>
        <w:t>25</w:t>
      </w:r>
      <w:r w:rsidRPr="006C395C">
        <w:t>(2), 320–335. https://doi.org/10.1890/14-0581.1</w:t>
      </w:r>
    </w:p>
    <w:p w14:paraId="04569ECC" w14:textId="77777777" w:rsidR="006C395C" w:rsidRPr="006C395C" w:rsidRDefault="006C395C" w:rsidP="006C395C">
      <w:pPr>
        <w:pStyle w:val="Bibliography"/>
      </w:pPr>
      <w:r w:rsidRPr="006C395C">
        <w:lastRenderedPageBreak/>
        <w:t xml:space="preserve">Ver Hoef, J. M., &amp; Peterson, E. E. (2010). A Moving Average Approach for Spatial Statistical Models of Stream Networks. </w:t>
      </w:r>
      <w:r w:rsidRPr="006C395C">
        <w:rPr>
          <w:i/>
          <w:iCs/>
        </w:rPr>
        <w:t>Journal of the American Statistical Association</w:t>
      </w:r>
      <w:r w:rsidRPr="006C395C">
        <w:t xml:space="preserve">, </w:t>
      </w:r>
      <w:r w:rsidRPr="006C395C">
        <w:rPr>
          <w:i/>
          <w:iCs/>
        </w:rPr>
        <w:t>105</w:t>
      </w:r>
      <w:r w:rsidRPr="006C395C">
        <w:t>(489), 6–18. https://doi.org/10.1198/jasa.2009.ap08248</w:t>
      </w:r>
    </w:p>
    <w:p w14:paraId="0A16A36C" w14:textId="77777777" w:rsidR="006C395C" w:rsidRPr="006C395C" w:rsidRDefault="006C395C" w:rsidP="006C395C">
      <w:pPr>
        <w:pStyle w:val="Bibliography"/>
      </w:pPr>
      <w:r w:rsidRPr="006C395C">
        <w:t xml:space="preserve">Willmes, M., Sturrock, A. M., Cordoleani, F., Hugentobler, S., Meek, M. H., Whitman, G., Evans, K., Palkovacs, E. P., Stauffer-Olsen, N. J., &amp; Johnson, R. C. (2024). Integrating otolith and genetic tools to reveal intraspecific biodiversity in a highly impacted salmon population. </w:t>
      </w:r>
      <w:r w:rsidRPr="006C395C">
        <w:rPr>
          <w:i/>
          <w:iCs/>
        </w:rPr>
        <w:t>Journal of Fish Biology</w:t>
      </w:r>
      <w:r w:rsidRPr="006C395C">
        <w:t xml:space="preserve">, </w:t>
      </w:r>
      <w:r w:rsidRPr="006C395C">
        <w:rPr>
          <w:i/>
          <w:iCs/>
        </w:rPr>
        <w:t>105</w:t>
      </w:r>
      <w:r w:rsidRPr="006C395C">
        <w:t>(2), 412–430. https://doi.org/10.1111/jfb.15847</w:t>
      </w:r>
    </w:p>
    <w:p w14:paraId="21881943" w14:textId="77777777" w:rsidR="006C395C" w:rsidRPr="006C395C" w:rsidRDefault="006C395C" w:rsidP="006C395C">
      <w:pPr>
        <w:pStyle w:val="Bibliography"/>
      </w:pPr>
      <w:r w:rsidRPr="006C395C">
        <w:t xml:space="preserve">Wunder, M. B. (2010). Using Isoscapes to Model Probability Surfaces for Determining Geographic Origins. In J. B. West, G. J. Bowen, T. E. Dawson, &amp; K. P. Tu (Eds.), </w:t>
      </w:r>
      <w:r w:rsidRPr="006C395C">
        <w:rPr>
          <w:i/>
          <w:iCs/>
        </w:rPr>
        <w:t>Isoscapes</w:t>
      </w:r>
      <w:r w:rsidRPr="006C395C">
        <w:t xml:space="preserve"> (pp. 251–270). Springer Netherlands. https://doi.org/10.1007/978-90-481-3354-3_12</w:t>
      </w:r>
    </w:p>
    <w:p w14:paraId="7D3DED90" w14:textId="77777777" w:rsidR="006C395C" w:rsidRPr="006C395C" w:rsidRDefault="006C395C" w:rsidP="006C395C">
      <w:pPr>
        <w:pStyle w:val="Bibliography"/>
      </w:pPr>
      <w:r w:rsidRPr="006C395C">
        <w:t xml:space="preserve">Zimmerman, C. E., &amp; Reeves, G. H. (2002). Identification of Steelhead and Resident Rainbow Trout Progeny in the Deschutes River, Oregon, Revealed with Otolith Microchemistry. </w:t>
      </w:r>
      <w:r w:rsidRPr="006C395C">
        <w:rPr>
          <w:i/>
          <w:iCs/>
        </w:rPr>
        <w:t>Transactions of the American Fisheries Society</w:t>
      </w:r>
      <w:r w:rsidRPr="006C395C">
        <w:t xml:space="preserve">, </w:t>
      </w:r>
      <w:r w:rsidRPr="006C395C">
        <w:rPr>
          <w:i/>
          <w:iCs/>
        </w:rPr>
        <w:t>131</w:t>
      </w:r>
      <w:r w:rsidRPr="006C395C">
        <w:t>(5), 986–993. https://doi.org/10.1577/1548-8659(2002)131%3C0986:IOSARR%3E2.0.CO;2</w:t>
      </w:r>
    </w:p>
    <w:p w14:paraId="3EBAB241" w14:textId="4BCF9F6E" w:rsidR="00BF42AB" w:rsidRPr="00821884" w:rsidRDefault="00836381" w:rsidP="006C395C">
      <w:pPr>
        <w:pStyle w:val="Bibliography"/>
        <w:rPr>
          <w:rFonts w:ascii="Garamond" w:hAnsi="Garamond"/>
        </w:rPr>
      </w:pPr>
      <w:r>
        <w:rPr>
          <w:rFonts w:ascii="Garamond" w:hAnsi="Garamond"/>
        </w:rPr>
        <w:fldChar w:fldCharType="end"/>
      </w:r>
    </w:p>
    <w:sectPr w:rsidR="00BF42AB" w:rsidRPr="00821884" w:rsidSect="004712C9">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jamin J. Makhlouf" w:date="2026-07-13T16:28:00Z" w:initials="BM">
    <w:p w14:paraId="04ADF96B" w14:textId="77777777" w:rsidR="009D5982" w:rsidRDefault="009D5982" w:rsidP="009D5982">
      <w:pPr>
        <w:pStyle w:val="CommentText"/>
      </w:pPr>
      <w:r>
        <w:rPr>
          <w:rStyle w:val="CommentReference"/>
        </w:rPr>
        <w:annotationRef/>
      </w:r>
      <w:r>
        <w:t>Supplemental with Diego’s specifications of ICPMS</w:t>
      </w:r>
    </w:p>
  </w:comment>
  <w:comment w:id="1" w:author="Benjamin J. Makhlouf" w:date="2026-07-15T14:59:00Z" w:initials="b">
    <w:p w14:paraId="08F4EBE7" w14:textId="77777777" w:rsidR="004A41B6" w:rsidRDefault="004A41B6" w:rsidP="004A41B6">
      <w:r>
        <w:rPr>
          <w:rStyle w:val="CommentReference"/>
        </w:rPr>
        <w:annotationRef/>
      </w:r>
      <w:r>
        <w:rPr>
          <w:sz w:val="20"/>
          <w:szCs w:val="20"/>
        </w:rPr>
        <w:t>Also unsure about this, but reviewers all asked for more comparison of our spatial groupings to others. Telemetry studies are basically "Above McGrath"</w:t>
      </w:r>
    </w:p>
    <w:p w14:paraId="3CD2C2D8" w14:textId="77777777" w:rsidR="004A41B6" w:rsidRDefault="004A41B6" w:rsidP="004A41B6"/>
  </w:comment>
  <w:comment w:id="2" w:author="Daniel Schindler" w:date="2026-07-16T08:56:00Z" w:initials="DS">
    <w:p w14:paraId="682B0B50" w14:textId="77777777" w:rsidR="00FB5657" w:rsidRDefault="00FB5657" w:rsidP="00FB5657">
      <w:pPr>
        <w:pStyle w:val="CommentText"/>
      </w:pPr>
      <w:r>
        <w:rPr>
          <w:rStyle w:val="CommentReference"/>
        </w:rPr>
        <w:annotationRef/>
      </w:r>
      <w:r>
        <w:t>Don’t think you can really do it. I would punt on it for now.</w:t>
      </w:r>
    </w:p>
  </w:comment>
  <w:comment w:id="3" w:author="Daniel Schindler" w:date="2026-07-16T09:04:00Z" w:initials="DS">
    <w:p w14:paraId="713A8F73" w14:textId="77777777" w:rsidR="00C77775" w:rsidRDefault="00C77775" w:rsidP="00C77775">
      <w:pPr>
        <w:pStyle w:val="CommentText"/>
      </w:pPr>
      <w:r>
        <w:rPr>
          <w:rStyle w:val="CommentReference"/>
        </w:rPr>
        <w:annotationRef/>
      </w:r>
      <w:r>
        <w:t>I think these are better expressed as standard deviations rather than by CV. Day of year is an arbitrary index… so the CV for dates at the end of the year will be much smaller than for dates in January.</w:t>
      </w:r>
    </w:p>
    <w:p w14:paraId="6E9E1FEB" w14:textId="77777777" w:rsidR="00C77775" w:rsidRDefault="00C77775" w:rsidP="00C77775">
      <w:pPr>
        <w:pStyle w:val="CommentText"/>
      </w:pPr>
    </w:p>
    <w:p w14:paraId="5C5B21F8" w14:textId="77777777" w:rsidR="00C77775" w:rsidRDefault="00C77775" w:rsidP="00C77775">
      <w:pPr>
        <w:pStyle w:val="CommentText"/>
      </w:pPr>
      <w:r>
        <w:t>Just present as Std Dev.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ADF96B" w15:done="0"/>
  <w15:commentEx w15:paraId="3CD2C2D8" w15:done="0"/>
  <w15:commentEx w15:paraId="682B0B50" w15:paraIdParent="3CD2C2D8" w15:done="0"/>
  <w15:commentEx w15:paraId="5C5B21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B762FC" w16cex:dateUtc="2026-07-13T23:28:00Z"/>
  <w16cex:commentExtensible w16cex:durableId="0EDC173D" w16cex:dateUtc="2026-07-15T21:59:00Z"/>
  <w16cex:commentExtensible w16cex:durableId="27920BA3" w16cex:dateUtc="2026-07-16T16:56:00Z"/>
  <w16cex:commentExtensible w16cex:durableId="742E7777" w16cex:dateUtc="2026-07-16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ADF96B" w16cid:durableId="76B762FC"/>
  <w16cid:commentId w16cid:paraId="3CD2C2D8" w16cid:durableId="0EDC173D"/>
  <w16cid:commentId w16cid:paraId="682B0B50" w16cid:durableId="27920BA3"/>
  <w16cid:commentId w16cid:paraId="5C5B21F8" w16cid:durableId="742E77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376F7" w14:textId="77777777" w:rsidR="007662DF" w:rsidRDefault="007662DF">
      <w:pPr>
        <w:spacing w:after="0" w:line="240" w:lineRule="auto"/>
      </w:pPr>
      <w:r>
        <w:separator/>
      </w:r>
    </w:p>
  </w:endnote>
  <w:endnote w:type="continuationSeparator" w:id="0">
    <w:p w14:paraId="743C9C97" w14:textId="77777777" w:rsidR="007662DF" w:rsidRDefault="00766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D9984" w14:textId="77777777" w:rsidR="007662DF" w:rsidRDefault="007662DF">
      <w:pPr>
        <w:spacing w:after="0" w:line="240" w:lineRule="auto"/>
      </w:pPr>
      <w:r>
        <w:separator/>
      </w:r>
    </w:p>
  </w:footnote>
  <w:footnote w:type="continuationSeparator" w:id="0">
    <w:p w14:paraId="79282613" w14:textId="77777777" w:rsidR="007662DF" w:rsidRDefault="00766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10B8A"/>
    <w:multiLevelType w:val="hybridMultilevel"/>
    <w:tmpl w:val="BC84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1"/>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10"/>
  </w:num>
  <w:num w:numId="10" w16cid:durableId="1345399423">
    <w:abstractNumId w:val="8"/>
  </w:num>
  <w:num w:numId="11" w16cid:durableId="687874528">
    <w:abstractNumId w:val="1"/>
  </w:num>
  <w:num w:numId="12" w16cid:durableId="159593857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5DA6"/>
    <w:rsid w:val="00006A7A"/>
    <w:rsid w:val="00011A0E"/>
    <w:rsid w:val="000259EB"/>
    <w:rsid w:val="00033E6D"/>
    <w:rsid w:val="00040237"/>
    <w:rsid w:val="0004196B"/>
    <w:rsid w:val="00044401"/>
    <w:rsid w:val="000566CD"/>
    <w:rsid w:val="00060FEB"/>
    <w:rsid w:val="00065DC6"/>
    <w:rsid w:val="00066384"/>
    <w:rsid w:val="00066D9D"/>
    <w:rsid w:val="00071218"/>
    <w:rsid w:val="00072056"/>
    <w:rsid w:val="00077041"/>
    <w:rsid w:val="00083A7A"/>
    <w:rsid w:val="00085380"/>
    <w:rsid w:val="000854BE"/>
    <w:rsid w:val="00093841"/>
    <w:rsid w:val="000941AF"/>
    <w:rsid w:val="000979CB"/>
    <w:rsid w:val="000A55A6"/>
    <w:rsid w:val="000B24D0"/>
    <w:rsid w:val="000B5639"/>
    <w:rsid w:val="000B652C"/>
    <w:rsid w:val="000B6B65"/>
    <w:rsid w:val="000B7514"/>
    <w:rsid w:val="000C0406"/>
    <w:rsid w:val="000C2C96"/>
    <w:rsid w:val="000C384D"/>
    <w:rsid w:val="000C429D"/>
    <w:rsid w:val="000C6898"/>
    <w:rsid w:val="000D511B"/>
    <w:rsid w:val="000D5ACA"/>
    <w:rsid w:val="000D6E8E"/>
    <w:rsid w:val="000D7A1D"/>
    <w:rsid w:val="000E1B66"/>
    <w:rsid w:val="000E5E9C"/>
    <w:rsid w:val="000F083A"/>
    <w:rsid w:val="000F3B6C"/>
    <w:rsid w:val="001000CB"/>
    <w:rsid w:val="001008AF"/>
    <w:rsid w:val="001018D7"/>
    <w:rsid w:val="001025C9"/>
    <w:rsid w:val="001028F4"/>
    <w:rsid w:val="00103582"/>
    <w:rsid w:val="001058B8"/>
    <w:rsid w:val="00107AEC"/>
    <w:rsid w:val="00112ED8"/>
    <w:rsid w:val="00114DA5"/>
    <w:rsid w:val="00116F1B"/>
    <w:rsid w:val="00120202"/>
    <w:rsid w:val="00121BC7"/>
    <w:rsid w:val="00121EA9"/>
    <w:rsid w:val="0012203D"/>
    <w:rsid w:val="00123AD2"/>
    <w:rsid w:val="001255D3"/>
    <w:rsid w:val="001269D4"/>
    <w:rsid w:val="00127F9A"/>
    <w:rsid w:val="00130CEE"/>
    <w:rsid w:val="00131432"/>
    <w:rsid w:val="0013324E"/>
    <w:rsid w:val="00134D4C"/>
    <w:rsid w:val="00136FC3"/>
    <w:rsid w:val="001419E1"/>
    <w:rsid w:val="00141DEA"/>
    <w:rsid w:val="001430A9"/>
    <w:rsid w:val="00143768"/>
    <w:rsid w:val="00151C49"/>
    <w:rsid w:val="00152000"/>
    <w:rsid w:val="001538CD"/>
    <w:rsid w:val="0015783A"/>
    <w:rsid w:val="00162958"/>
    <w:rsid w:val="0016395C"/>
    <w:rsid w:val="00163D3A"/>
    <w:rsid w:val="001679D4"/>
    <w:rsid w:val="00171632"/>
    <w:rsid w:val="00171E1A"/>
    <w:rsid w:val="0017389D"/>
    <w:rsid w:val="001740E9"/>
    <w:rsid w:val="00175DEB"/>
    <w:rsid w:val="00176511"/>
    <w:rsid w:val="001844EB"/>
    <w:rsid w:val="00186B3C"/>
    <w:rsid w:val="00190B2C"/>
    <w:rsid w:val="0019169F"/>
    <w:rsid w:val="00197965"/>
    <w:rsid w:val="001A05A3"/>
    <w:rsid w:val="001A07DD"/>
    <w:rsid w:val="001B0AC6"/>
    <w:rsid w:val="001B609C"/>
    <w:rsid w:val="001C3B8F"/>
    <w:rsid w:val="001C4C41"/>
    <w:rsid w:val="001C6B33"/>
    <w:rsid w:val="001D3E40"/>
    <w:rsid w:val="001D6D0B"/>
    <w:rsid w:val="001D71C8"/>
    <w:rsid w:val="001E03F0"/>
    <w:rsid w:val="001E0D88"/>
    <w:rsid w:val="001F2097"/>
    <w:rsid w:val="001F70E4"/>
    <w:rsid w:val="0020053D"/>
    <w:rsid w:val="002006A2"/>
    <w:rsid w:val="0020187E"/>
    <w:rsid w:val="00206F6C"/>
    <w:rsid w:val="00207847"/>
    <w:rsid w:val="00210C30"/>
    <w:rsid w:val="00213C2D"/>
    <w:rsid w:val="00216D27"/>
    <w:rsid w:val="002175BB"/>
    <w:rsid w:val="00221CA6"/>
    <w:rsid w:val="002256A0"/>
    <w:rsid w:val="002323C1"/>
    <w:rsid w:val="00233DAB"/>
    <w:rsid w:val="0023404E"/>
    <w:rsid w:val="00234875"/>
    <w:rsid w:val="00235BCC"/>
    <w:rsid w:val="0023706B"/>
    <w:rsid w:val="0024031C"/>
    <w:rsid w:val="00240367"/>
    <w:rsid w:val="00240DD3"/>
    <w:rsid w:val="00244695"/>
    <w:rsid w:val="00253057"/>
    <w:rsid w:val="002549E1"/>
    <w:rsid w:val="0025573D"/>
    <w:rsid w:val="00256AEE"/>
    <w:rsid w:val="002574F7"/>
    <w:rsid w:val="0026256C"/>
    <w:rsid w:val="00267F38"/>
    <w:rsid w:val="00270862"/>
    <w:rsid w:val="002768BC"/>
    <w:rsid w:val="002769C2"/>
    <w:rsid w:val="00276AFF"/>
    <w:rsid w:val="00280FDF"/>
    <w:rsid w:val="002811E4"/>
    <w:rsid w:val="002948A2"/>
    <w:rsid w:val="002A3FE3"/>
    <w:rsid w:val="002B1F16"/>
    <w:rsid w:val="002B597E"/>
    <w:rsid w:val="002C1C99"/>
    <w:rsid w:val="002C21B7"/>
    <w:rsid w:val="002C2F48"/>
    <w:rsid w:val="002C3375"/>
    <w:rsid w:val="002C6F1E"/>
    <w:rsid w:val="002D12FE"/>
    <w:rsid w:val="002D2CBF"/>
    <w:rsid w:val="002E0F45"/>
    <w:rsid w:val="002E45E7"/>
    <w:rsid w:val="002E5716"/>
    <w:rsid w:val="002E5729"/>
    <w:rsid w:val="002F0A2B"/>
    <w:rsid w:val="00301B81"/>
    <w:rsid w:val="003031E8"/>
    <w:rsid w:val="00304260"/>
    <w:rsid w:val="00306D21"/>
    <w:rsid w:val="003071D2"/>
    <w:rsid w:val="0030774A"/>
    <w:rsid w:val="00310A9F"/>
    <w:rsid w:val="00312FC9"/>
    <w:rsid w:val="00313872"/>
    <w:rsid w:val="00313C02"/>
    <w:rsid w:val="00313CB8"/>
    <w:rsid w:val="003157C4"/>
    <w:rsid w:val="00320DDA"/>
    <w:rsid w:val="003224CC"/>
    <w:rsid w:val="0033106A"/>
    <w:rsid w:val="0033540B"/>
    <w:rsid w:val="0033663A"/>
    <w:rsid w:val="00343C0B"/>
    <w:rsid w:val="003442B4"/>
    <w:rsid w:val="00344DF9"/>
    <w:rsid w:val="003474F0"/>
    <w:rsid w:val="003505B6"/>
    <w:rsid w:val="003508BF"/>
    <w:rsid w:val="003525FA"/>
    <w:rsid w:val="0035364D"/>
    <w:rsid w:val="00354DC3"/>
    <w:rsid w:val="00354EC0"/>
    <w:rsid w:val="00356C95"/>
    <w:rsid w:val="00356F8B"/>
    <w:rsid w:val="0036019D"/>
    <w:rsid w:val="003610A6"/>
    <w:rsid w:val="00362078"/>
    <w:rsid w:val="003642FE"/>
    <w:rsid w:val="00366B95"/>
    <w:rsid w:val="00367B6D"/>
    <w:rsid w:val="003717DB"/>
    <w:rsid w:val="00371AC6"/>
    <w:rsid w:val="00372BCA"/>
    <w:rsid w:val="00374558"/>
    <w:rsid w:val="003760FD"/>
    <w:rsid w:val="00383B9A"/>
    <w:rsid w:val="0038542B"/>
    <w:rsid w:val="00385F28"/>
    <w:rsid w:val="0038700D"/>
    <w:rsid w:val="00390710"/>
    <w:rsid w:val="0039598A"/>
    <w:rsid w:val="0039711B"/>
    <w:rsid w:val="00397AF1"/>
    <w:rsid w:val="00397FF6"/>
    <w:rsid w:val="003A1EB0"/>
    <w:rsid w:val="003A53E2"/>
    <w:rsid w:val="003A58F7"/>
    <w:rsid w:val="003A7F78"/>
    <w:rsid w:val="003B0A46"/>
    <w:rsid w:val="003B38AA"/>
    <w:rsid w:val="003B6620"/>
    <w:rsid w:val="003B674A"/>
    <w:rsid w:val="003C2A7E"/>
    <w:rsid w:val="003C6E87"/>
    <w:rsid w:val="003D0402"/>
    <w:rsid w:val="003D30C7"/>
    <w:rsid w:val="003D7E04"/>
    <w:rsid w:val="003E016A"/>
    <w:rsid w:val="003E5F1E"/>
    <w:rsid w:val="003F0E0F"/>
    <w:rsid w:val="003F1234"/>
    <w:rsid w:val="003F6161"/>
    <w:rsid w:val="00400339"/>
    <w:rsid w:val="00400CBB"/>
    <w:rsid w:val="00401EE2"/>
    <w:rsid w:val="004025DD"/>
    <w:rsid w:val="004025ED"/>
    <w:rsid w:val="0040355B"/>
    <w:rsid w:val="00403B68"/>
    <w:rsid w:val="00416B2E"/>
    <w:rsid w:val="00417AE1"/>
    <w:rsid w:val="00417AEA"/>
    <w:rsid w:val="00424DB6"/>
    <w:rsid w:val="004256B8"/>
    <w:rsid w:val="00425BAB"/>
    <w:rsid w:val="004261EE"/>
    <w:rsid w:val="00431422"/>
    <w:rsid w:val="00433B90"/>
    <w:rsid w:val="00437729"/>
    <w:rsid w:val="00441FFD"/>
    <w:rsid w:val="00442120"/>
    <w:rsid w:val="004437C4"/>
    <w:rsid w:val="004504D1"/>
    <w:rsid w:val="00450591"/>
    <w:rsid w:val="00450ED3"/>
    <w:rsid w:val="00454FB2"/>
    <w:rsid w:val="00455535"/>
    <w:rsid w:val="00455561"/>
    <w:rsid w:val="00460AE8"/>
    <w:rsid w:val="00464231"/>
    <w:rsid w:val="00464971"/>
    <w:rsid w:val="0046614E"/>
    <w:rsid w:val="004665BB"/>
    <w:rsid w:val="00467885"/>
    <w:rsid w:val="00470C70"/>
    <w:rsid w:val="004712C9"/>
    <w:rsid w:val="00473B48"/>
    <w:rsid w:val="0047513B"/>
    <w:rsid w:val="00477415"/>
    <w:rsid w:val="00481088"/>
    <w:rsid w:val="00482FEA"/>
    <w:rsid w:val="00491C12"/>
    <w:rsid w:val="004A0003"/>
    <w:rsid w:val="004A072A"/>
    <w:rsid w:val="004A41B6"/>
    <w:rsid w:val="004A579B"/>
    <w:rsid w:val="004A6CF4"/>
    <w:rsid w:val="004B1488"/>
    <w:rsid w:val="004B1829"/>
    <w:rsid w:val="004B19B1"/>
    <w:rsid w:val="004B2F94"/>
    <w:rsid w:val="004B5E0E"/>
    <w:rsid w:val="004B7BC4"/>
    <w:rsid w:val="004C2230"/>
    <w:rsid w:val="004C3939"/>
    <w:rsid w:val="004C4B85"/>
    <w:rsid w:val="004C58FF"/>
    <w:rsid w:val="004C5CB5"/>
    <w:rsid w:val="004C6CE6"/>
    <w:rsid w:val="004D0AA2"/>
    <w:rsid w:val="004D6874"/>
    <w:rsid w:val="004D6C38"/>
    <w:rsid w:val="004D7CC1"/>
    <w:rsid w:val="004E3592"/>
    <w:rsid w:val="004E7082"/>
    <w:rsid w:val="004E7138"/>
    <w:rsid w:val="004E7B3B"/>
    <w:rsid w:val="004F0045"/>
    <w:rsid w:val="004F04C2"/>
    <w:rsid w:val="004F0E72"/>
    <w:rsid w:val="004F1ACA"/>
    <w:rsid w:val="004F324B"/>
    <w:rsid w:val="004F3972"/>
    <w:rsid w:val="004F4EF3"/>
    <w:rsid w:val="005019CE"/>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23CA"/>
    <w:rsid w:val="00533C59"/>
    <w:rsid w:val="00536536"/>
    <w:rsid w:val="00537343"/>
    <w:rsid w:val="005401E5"/>
    <w:rsid w:val="005416E6"/>
    <w:rsid w:val="005463B2"/>
    <w:rsid w:val="00551911"/>
    <w:rsid w:val="005554D7"/>
    <w:rsid w:val="00557194"/>
    <w:rsid w:val="00561B04"/>
    <w:rsid w:val="00571049"/>
    <w:rsid w:val="00572EF0"/>
    <w:rsid w:val="0057720D"/>
    <w:rsid w:val="005805EB"/>
    <w:rsid w:val="00581DBC"/>
    <w:rsid w:val="005858F1"/>
    <w:rsid w:val="0058744A"/>
    <w:rsid w:val="0059082A"/>
    <w:rsid w:val="005956BD"/>
    <w:rsid w:val="005A052B"/>
    <w:rsid w:val="005A36C3"/>
    <w:rsid w:val="005A4F22"/>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1D91"/>
    <w:rsid w:val="00612B95"/>
    <w:rsid w:val="00617B67"/>
    <w:rsid w:val="00617C63"/>
    <w:rsid w:val="00625357"/>
    <w:rsid w:val="006314EE"/>
    <w:rsid w:val="00631AAA"/>
    <w:rsid w:val="006357BB"/>
    <w:rsid w:val="0063598A"/>
    <w:rsid w:val="0063694A"/>
    <w:rsid w:val="00636B84"/>
    <w:rsid w:val="00636BF3"/>
    <w:rsid w:val="00636C9F"/>
    <w:rsid w:val="00637562"/>
    <w:rsid w:val="00642B65"/>
    <w:rsid w:val="00643AC4"/>
    <w:rsid w:val="00645EF1"/>
    <w:rsid w:val="00646BBC"/>
    <w:rsid w:val="00651133"/>
    <w:rsid w:val="00653AE8"/>
    <w:rsid w:val="00653AF7"/>
    <w:rsid w:val="006540BC"/>
    <w:rsid w:val="0065535A"/>
    <w:rsid w:val="00655F63"/>
    <w:rsid w:val="00656B48"/>
    <w:rsid w:val="0065735E"/>
    <w:rsid w:val="006617C0"/>
    <w:rsid w:val="0066241A"/>
    <w:rsid w:val="00662537"/>
    <w:rsid w:val="00663FC6"/>
    <w:rsid w:val="00665BC1"/>
    <w:rsid w:val="00673B3C"/>
    <w:rsid w:val="006762C3"/>
    <w:rsid w:val="00676513"/>
    <w:rsid w:val="00682611"/>
    <w:rsid w:val="00684CAF"/>
    <w:rsid w:val="00687F38"/>
    <w:rsid w:val="00691BBC"/>
    <w:rsid w:val="00691F38"/>
    <w:rsid w:val="00693A39"/>
    <w:rsid w:val="006A2A72"/>
    <w:rsid w:val="006A4011"/>
    <w:rsid w:val="006A798F"/>
    <w:rsid w:val="006B1D97"/>
    <w:rsid w:val="006B418B"/>
    <w:rsid w:val="006B5AB0"/>
    <w:rsid w:val="006B75B5"/>
    <w:rsid w:val="006C395C"/>
    <w:rsid w:val="006C531D"/>
    <w:rsid w:val="006C663B"/>
    <w:rsid w:val="006C6CB7"/>
    <w:rsid w:val="006D11D3"/>
    <w:rsid w:val="006D6AEE"/>
    <w:rsid w:val="006E1BBC"/>
    <w:rsid w:val="006E5473"/>
    <w:rsid w:val="006F5657"/>
    <w:rsid w:val="0070135F"/>
    <w:rsid w:val="0070414B"/>
    <w:rsid w:val="00706214"/>
    <w:rsid w:val="0070647C"/>
    <w:rsid w:val="007072E7"/>
    <w:rsid w:val="00711069"/>
    <w:rsid w:val="0071220D"/>
    <w:rsid w:val="0071320D"/>
    <w:rsid w:val="00715F4A"/>
    <w:rsid w:val="00717761"/>
    <w:rsid w:val="00717B12"/>
    <w:rsid w:val="00720B50"/>
    <w:rsid w:val="0072380C"/>
    <w:rsid w:val="00724502"/>
    <w:rsid w:val="00724D0B"/>
    <w:rsid w:val="007266BC"/>
    <w:rsid w:val="00730A88"/>
    <w:rsid w:val="00731FB9"/>
    <w:rsid w:val="00735C63"/>
    <w:rsid w:val="00746351"/>
    <w:rsid w:val="00747075"/>
    <w:rsid w:val="007555A4"/>
    <w:rsid w:val="007561E4"/>
    <w:rsid w:val="0076034D"/>
    <w:rsid w:val="007603D4"/>
    <w:rsid w:val="007662DF"/>
    <w:rsid w:val="007708F4"/>
    <w:rsid w:val="00772AC1"/>
    <w:rsid w:val="00780305"/>
    <w:rsid w:val="007878C0"/>
    <w:rsid w:val="00793B30"/>
    <w:rsid w:val="007A07BC"/>
    <w:rsid w:val="007A1D0A"/>
    <w:rsid w:val="007B1069"/>
    <w:rsid w:val="007B17D6"/>
    <w:rsid w:val="007B2EDA"/>
    <w:rsid w:val="007B71BB"/>
    <w:rsid w:val="007C0A61"/>
    <w:rsid w:val="007C1050"/>
    <w:rsid w:val="007C2267"/>
    <w:rsid w:val="007C2373"/>
    <w:rsid w:val="007C6331"/>
    <w:rsid w:val="007C6D95"/>
    <w:rsid w:val="007D1726"/>
    <w:rsid w:val="007D2894"/>
    <w:rsid w:val="007D630A"/>
    <w:rsid w:val="007D796E"/>
    <w:rsid w:val="007D7981"/>
    <w:rsid w:val="007E1736"/>
    <w:rsid w:val="007E3A31"/>
    <w:rsid w:val="007F098D"/>
    <w:rsid w:val="007F1A07"/>
    <w:rsid w:val="007F32DE"/>
    <w:rsid w:val="007F35F9"/>
    <w:rsid w:val="007F37AE"/>
    <w:rsid w:val="007F4A77"/>
    <w:rsid w:val="007F65C8"/>
    <w:rsid w:val="007F66C5"/>
    <w:rsid w:val="007F7231"/>
    <w:rsid w:val="007F747D"/>
    <w:rsid w:val="007F75D5"/>
    <w:rsid w:val="00800CBA"/>
    <w:rsid w:val="008050C3"/>
    <w:rsid w:val="0080518D"/>
    <w:rsid w:val="00807290"/>
    <w:rsid w:val="00811477"/>
    <w:rsid w:val="00811B88"/>
    <w:rsid w:val="00814CF2"/>
    <w:rsid w:val="00814EE7"/>
    <w:rsid w:val="00816626"/>
    <w:rsid w:val="00820E08"/>
    <w:rsid w:val="00821884"/>
    <w:rsid w:val="0082206F"/>
    <w:rsid w:val="008277E3"/>
    <w:rsid w:val="00832815"/>
    <w:rsid w:val="00832E18"/>
    <w:rsid w:val="00836381"/>
    <w:rsid w:val="00841435"/>
    <w:rsid w:val="00843258"/>
    <w:rsid w:val="0084410D"/>
    <w:rsid w:val="00845E76"/>
    <w:rsid w:val="00850065"/>
    <w:rsid w:val="00856168"/>
    <w:rsid w:val="00857F51"/>
    <w:rsid w:val="008605CB"/>
    <w:rsid w:val="00861D8B"/>
    <w:rsid w:val="00863C27"/>
    <w:rsid w:val="008730BC"/>
    <w:rsid w:val="0087708A"/>
    <w:rsid w:val="00881286"/>
    <w:rsid w:val="0088327B"/>
    <w:rsid w:val="0088451D"/>
    <w:rsid w:val="00885296"/>
    <w:rsid w:val="0088664E"/>
    <w:rsid w:val="008872F5"/>
    <w:rsid w:val="00891B6F"/>
    <w:rsid w:val="00892B92"/>
    <w:rsid w:val="00893125"/>
    <w:rsid w:val="008948AB"/>
    <w:rsid w:val="00895ED8"/>
    <w:rsid w:val="00895FC7"/>
    <w:rsid w:val="008970CF"/>
    <w:rsid w:val="008A2F58"/>
    <w:rsid w:val="008A6C66"/>
    <w:rsid w:val="008A7376"/>
    <w:rsid w:val="008B0A5A"/>
    <w:rsid w:val="008B1FF4"/>
    <w:rsid w:val="008B3EA1"/>
    <w:rsid w:val="008B64EE"/>
    <w:rsid w:val="008B6684"/>
    <w:rsid w:val="008C03AF"/>
    <w:rsid w:val="008C378F"/>
    <w:rsid w:val="008C65D7"/>
    <w:rsid w:val="008D1422"/>
    <w:rsid w:val="008D1B8A"/>
    <w:rsid w:val="008D39D2"/>
    <w:rsid w:val="008E0323"/>
    <w:rsid w:val="008E3428"/>
    <w:rsid w:val="008E4C82"/>
    <w:rsid w:val="008F2118"/>
    <w:rsid w:val="008F216B"/>
    <w:rsid w:val="008F26BA"/>
    <w:rsid w:val="00900DF4"/>
    <w:rsid w:val="0090107F"/>
    <w:rsid w:val="00901ACE"/>
    <w:rsid w:val="00906B81"/>
    <w:rsid w:val="00907410"/>
    <w:rsid w:val="009076B8"/>
    <w:rsid w:val="009110AF"/>
    <w:rsid w:val="0091492C"/>
    <w:rsid w:val="00915EEE"/>
    <w:rsid w:val="00916EE1"/>
    <w:rsid w:val="00917026"/>
    <w:rsid w:val="00922435"/>
    <w:rsid w:val="00923A9B"/>
    <w:rsid w:val="00925A21"/>
    <w:rsid w:val="009263B7"/>
    <w:rsid w:val="00931F9A"/>
    <w:rsid w:val="00932FBC"/>
    <w:rsid w:val="00933D52"/>
    <w:rsid w:val="009368EA"/>
    <w:rsid w:val="009423AC"/>
    <w:rsid w:val="00944E55"/>
    <w:rsid w:val="00946A92"/>
    <w:rsid w:val="00951507"/>
    <w:rsid w:val="00955A42"/>
    <w:rsid w:val="00956F44"/>
    <w:rsid w:val="00961F08"/>
    <w:rsid w:val="00964D8F"/>
    <w:rsid w:val="00966E61"/>
    <w:rsid w:val="00967DC4"/>
    <w:rsid w:val="00971164"/>
    <w:rsid w:val="0097261B"/>
    <w:rsid w:val="00973C7E"/>
    <w:rsid w:val="0097448D"/>
    <w:rsid w:val="009833DB"/>
    <w:rsid w:val="00983667"/>
    <w:rsid w:val="00983880"/>
    <w:rsid w:val="00986BAC"/>
    <w:rsid w:val="009879FD"/>
    <w:rsid w:val="00990982"/>
    <w:rsid w:val="00990A53"/>
    <w:rsid w:val="009916A5"/>
    <w:rsid w:val="009A7B39"/>
    <w:rsid w:val="009B24AC"/>
    <w:rsid w:val="009B595F"/>
    <w:rsid w:val="009C0002"/>
    <w:rsid w:val="009C079F"/>
    <w:rsid w:val="009C2F92"/>
    <w:rsid w:val="009C308C"/>
    <w:rsid w:val="009C3C93"/>
    <w:rsid w:val="009C3FA5"/>
    <w:rsid w:val="009C42BD"/>
    <w:rsid w:val="009C7F14"/>
    <w:rsid w:val="009D0427"/>
    <w:rsid w:val="009D3148"/>
    <w:rsid w:val="009D3D60"/>
    <w:rsid w:val="009D3E39"/>
    <w:rsid w:val="009D5982"/>
    <w:rsid w:val="009D66DA"/>
    <w:rsid w:val="009E68C7"/>
    <w:rsid w:val="009E7ECB"/>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0D93"/>
    <w:rsid w:val="00A22AAB"/>
    <w:rsid w:val="00A234BB"/>
    <w:rsid w:val="00A25870"/>
    <w:rsid w:val="00A26A50"/>
    <w:rsid w:val="00A3396F"/>
    <w:rsid w:val="00A3550B"/>
    <w:rsid w:val="00A36D27"/>
    <w:rsid w:val="00A44879"/>
    <w:rsid w:val="00A4712A"/>
    <w:rsid w:val="00A52BD6"/>
    <w:rsid w:val="00A54B4A"/>
    <w:rsid w:val="00A70ED6"/>
    <w:rsid w:val="00A72EBD"/>
    <w:rsid w:val="00A76A53"/>
    <w:rsid w:val="00A805B8"/>
    <w:rsid w:val="00A8429C"/>
    <w:rsid w:val="00A844A4"/>
    <w:rsid w:val="00A849F0"/>
    <w:rsid w:val="00A84E4B"/>
    <w:rsid w:val="00A94BC2"/>
    <w:rsid w:val="00A95426"/>
    <w:rsid w:val="00AA1798"/>
    <w:rsid w:val="00AA26A1"/>
    <w:rsid w:val="00AA4630"/>
    <w:rsid w:val="00AA6EC2"/>
    <w:rsid w:val="00AB074C"/>
    <w:rsid w:val="00AB2317"/>
    <w:rsid w:val="00AB3DBB"/>
    <w:rsid w:val="00AB66C3"/>
    <w:rsid w:val="00AB779D"/>
    <w:rsid w:val="00AC7C2D"/>
    <w:rsid w:val="00AC7FA1"/>
    <w:rsid w:val="00AD1910"/>
    <w:rsid w:val="00AD484F"/>
    <w:rsid w:val="00AD4BE1"/>
    <w:rsid w:val="00AD7B82"/>
    <w:rsid w:val="00AF0D4C"/>
    <w:rsid w:val="00AF1AE2"/>
    <w:rsid w:val="00AF7B74"/>
    <w:rsid w:val="00B00C18"/>
    <w:rsid w:val="00B01FE3"/>
    <w:rsid w:val="00B02A4D"/>
    <w:rsid w:val="00B07AE4"/>
    <w:rsid w:val="00B13E93"/>
    <w:rsid w:val="00B155C4"/>
    <w:rsid w:val="00B212BB"/>
    <w:rsid w:val="00B23B58"/>
    <w:rsid w:val="00B24171"/>
    <w:rsid w:val="00B26B57"/>
    <w:rsid w:val="00B27EC5"/>
    <w:rsid w:val="00B30111"/>
    <w:rsid w:val="00B35E5D"/>
    <w:rsid w:val="00B40601"/>
    <w:rsid w:val="00B429B6"/>
    <w:rsid w:val="00B42F7C"/>
    <w:rsid w:val="00B4720E"/>
    <w:rsid w:val="00B50583"/>
    <w:rsid w:val="00B50CA4"/>
    <w:rsid w:val="00B53530"/>
    <w:rsid w:val="00B606F9"/>
    <w:rsid w:val="00B60D7F"/>
    <w:rsid w:val="00B62128"/>
    <w:rsid w:val="00B65D13"/>
    <w:rsid w:val="00B7081E"/>
    <w:rsid w:val="00B74D8D"/>
    <w:rsid w:val="00B74F35"/>
    <w:rsid w:val="00B76340"/>
    <w:rsid w:val="00B8483E"/>
    <w:rsid w:val="00B857E3"/>
    <w:rsid w:val="00B923D2"/>
    <w:rsid w:val="00B95589"/>
    <w:rsid w:val="00B97434"/>
    <w:rsid w:val="00BA0245"/>
    <w:rsid w:val="00BA369C"/>
    <w:rsid w:val="00BA542C"/>
    <w:rsid w:val="00BB27C2"/>
    <w:rsid w:val="00BB381E"/>
    <w:rsid w:val="00BB5897"/>
    <w:rsid w:val="00BC21CC"/>
    <w:rsid w:val="00BC565F"/>
    <w:rsid w:val="00BC7C48"/>
    <w:rsid w:val="00BD0803"/>
    <w:rsid w:val="00BD2F8F"/>
    <w:rsid w:val="00BE3061"/>
    <w:rsid w:val="00BF0A1A"/>
    <w:rsid w:val="00BF0C62"/>
    <w:rsid w:val="00BF307A"/>
    <w:rsid w:val="00BF42AB"/>
    <w:rsid w:val="00C013DD"/>
    <w:rsid w:val="00C107EA"/>
    <w:rsid w:val="00C10AF2"/>
    <w:rsid w:val="00C162F5"/>
    <w:rsid w:val="00C1704A"/>
    <w:rsid w:val="00C247A1"/>
    <w:rsid w:val="00C26378"/>
    <w:rsid w:val="00C271AE"/>
    <w:rsid w:val="00C2778F"/>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72EC6"/>
    <w:rsid w:val="00C77775"/>
    <w:rsid w:val="00C83BD0"/>
    <w:rsid w:val="00C83BF2"/>
    <w:rsid w:val="00C92AB0"/>
    <w:rsid w:val="00C93CB2"/>
    <w:rsid w:val="00C93DD5"/>
    <w:rsid w:val="00C95028"/>
    <w:rsid w:val="00C9741A"/>
    <w:rsid w:val="00C97C2C"/>
    <w:rsid w:val="00CA262D"/>
    <w:rsid w:val="00CA6AF1"/>
    <w:rsid w:val="00CA7EEC"/>
    <w:rsid w:val="00CB2EEB"/>
    <w:rsid w:val="00CB3C24"/>
    <w:rsid w:val="00CB4B76"/>
    <w:rsid w:val="00CC053E"/>
    <w:rsid w:val="00CC09EC"/>
    <w:rsid w:val="00CC3614"/>
    <w:rsid w:val="00CC472B"/>
    <w:rsid w:val="00CC7CEE"/>
    <w:rsid w:val="00CD3038"/>
    <w:rsid w:val="00CE01B9"/>
    <w:rsid w:val="00CE02D5"/>
    <w:rsid w:val="00CE2EB6"/>
    <w:rsid w:val="00CE70A0"/>
    <w:rsid w:val="00CE7CAA"/>
    <w:rsid w:val="00CF00B2"/>
    <w:rsid w:val="00CF03CC"/>
    <w:rsid w:val="00CF21C5"/>
    <w:rsid w:val="00CF2DB5"/>
    <w:rsid w:val="00CF45A1"/>
    <w:rsid w:val="00CF474A"/>
    <w:rsid w:val="00CF6CDB"/>
    <w:rsid w:val="00D0057C"/>
    <w:rsid w:val="00D0176E"/>
    <w:rsid w:val="00D04860"/>
    <w:rsid w:val="00D04B7C"/>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0256"/>
    <w:rsid w:val="00D6070D"/>
    <w:rsid w:val="00D625F2"/>
    <w:rsid w:val="00D71360"/>
    <w:rsid w:val="00D740DE"/>
    <w:rsid w:val="00D80B0D"/>
    <w:rsid w:val="00D86CD4"/>
    <w:rsid w:val="00D90980"/>
    <w:rsid w:val="00D91D5D"/>
    <w:rsid w:val="00D96066"/>
    <w:rsid w:val="00D97AB1"/>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3CC0"/>
    <w:rsid w:val="00E26D9D"/>
    <w:rsid w:val="00E347D9"/>
    <w:rsid w:val="00E35059"/>
    <w:rsid w:val="00E352BB"/>
    <w:rsid w:val="00E3555B"/>
    <w:rsid w:val="00E355B2"/>
    <w:rsid w:val="00E35FA9"/>
    <w:rsid w:val="00E43153"/>
    <w:rsid w:val="00E454BB"/>
    <w:rsid w:val="00E45959"/>
    <w:rsid w:val="00E45D57"/>
    <w:rsid w:val="00E46D9E"/>
    <w:rsid w:val="00E46ECD"/>
    <w:rsid w:val="00E471DA"/>
    <w:rsid w:val="00E52637"/>
    <w:rsid w:val="00E61436"/>
    <w:rsid w:val="00E6389A"/>
    <w:rsid w:val="00E66931"/>
    <w:rsid w:val="00E671EF"/>
    <w:rsid w:val="00E67672"/>
    <w:rsid w:val="00E70E77"/>
    <w:rsid w:val="00E71272"/>
    <w:rsid w:val="00E719E1"/>
    <w:rsid w:val="00E76334"/>
    <w:rsid w:val="00E8171A"/>
    <w:rsid w:val="00E82540"/>
    <w:rsid w:val="00E82AC1"/>
    <w:rsid w:val="00E84029"/>
    <w:rsid w:val="00E85535"/>
    <w:rsid w:val="00E86789"/>
    <w:rsid w:val="00E86934"/>
    <w:rsid w:val="00E90573"/>
    <w:rsid w:val="00E92DA4"/>
    <w:rsid w:val="00E94ABC"/>
    <w:rsid w:val="00E95A9F"/>
    <w:rsid w:val="00EA0134"/>
    <w:rsid w:val="00EA24E9"/>
    <w:rsid w:val="00EA4FC4"/>
    <w:rsid w:val="00EB2149"/>
    <w:rsid w:val="00EB21A5"/>
    <w:rsid w:val="00EB2EDF"/>
    <w:rsid w:val="00EB713C"/>
    <w:rsid w:val="00EB7C81"/>
    <w:rsid w:val="00EC283C"/>
    <w:rsid w:val="00EC3664"/>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03A6"/>
    <w:rsid w:val="00F315A1"/>
    <w:rsid w:val="00F31BF9"/>
    <w:rsid w:val="00F335F2"/>
    <w:rsid w:val="00F3538C"/>
    <w:rsid w:val="00F36BD9"/>
    <w:rsid w:val="00F3736F"/>
    <w:rsid w:val="00F40CAD"/>
    <w:rsid w:val="00F41CBE"/>
    <w:rsid w:val="00F41FAF"/>
    <w:rsid w:val="00F432BD"/>
    <w:rsid w:val="00F44448"/>
    <w:rsid w:val="00F458B7"/>
    <w:rsid w:val="00F4698F"/>
    <w:rsid w:val="00F5142E"/>
    <w:rsid w:val="00F51DB9"/>
    <w:rsid w:val="00F552CD"/>
    <w:rsid w:val="00F55974"/>
    <w:rsid w:val="00F6033C"/>
    <w:rsid w:val="00F71234"/>
    <w:rsid w:val="00F73FEE"/>
    <w:rsid w:val="00F7515F"/>
    <w:rsid w:val="00F770FF"/>
    <w:rsid w:val="00F82735"/>
    <w:rsid w:val="00F83731"/>
    <w:rsid w:val="00F95B20"/>
    <w:rsid w:val="00FA2074"/>
    <w:rsid w:val="00FA31FC"/>
    <w:rsid w:val="00FA379B"/>
    <w:rsid w:val="00FA738D"/>
    <w:rsid w:val="00FA76AC"/>
    <w:rsid w:val="00FA7C12"/>
    <w:rsid w:val="00FB261B"/>
    <w:rsid w:val="00FB2B74"/>
    <w:rsid w:val="00FB33D7"/>
    <w:rsid w:val="00FB3E37"/>
    <w:rsid w:val="00FB5657"/>
    <w:rsid w:val="00FC02BD"/>
    <w:rsid w:val="00FC3951"/>
    <w:rsid w:val="00FC42A0"/>
    <w:rsid w:val="00FC630E"/>
    <w:rsid w:val="00FD1F7F"/>
    <w:rsid w:val="00FD5572"/>
    <w:rsid w:val="00FD63B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 w:type="paragraph" w:customStyle="1" w:styleId="font-claude-response-body">
    <w:name w:val="font-claude-response-body"/>
    <w:basedOn w:val="Normal"/>
    <w:rsid w:val="00653A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mak29@uw.edu"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31944</Words>
  <Characters>182087</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3</cp:revision>
  <cp:lastPrinted>2026-03-10T22:36:00Z</cp:lastPrinted>
  <dcterms:created xsi:type="dcterms:W3CDTF">2026-07-17T20:57:00Z</dcterms:created>
  <dcterms:modified xsi:type="dcterms:W3CDTF">2026-07-17T20:59:00Z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id="6JYUnuDD"/&gt;&lt;style id="http://www.zotero.org/styles/journal-of-applied-ecology" hasBibliography="1" bibliographyStyleHasBeenSet="1"/&gt;&lt;prefs&gt;&lt;pref name="fieldType" value="Field"/&gt;&lt;/prefs&gt;&lt;/data&gt;</vt:lpwstr>
  </property>
</Properties>
</file>