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93A0F" w14:textId="73FA1968" w:rsidR="00754A39" w:rsidRDefault="007F5F83" w:rsidP="007F5F83">
      <w:pPr>
        <w:jc w:val="center"/>
      </w:pPr>
      <w:r>
        <w:t>Response to Reviewers</w:t>
      </w:r>
    </w:p>
    <w:p w14:paraId="186E26E3" w14:textId="4A9A360F" w:rsidR="007F5F83" w:rsidRDefault="007F5F83" w:rsidP="007F5F83">
      <w:pPr>
        <w:jc w:val="center"/>
      </w:pPr>
      <w:r>
        <w:t xml:space="preserve">Ben Makhlouf </w:t>
      </w:r>
    </w:p>
    <w:p w14:paraId="631450E0" w14:textId="77777777" w:rsidR="007F5F83" w:rsidRDefault="007F5F83" w:rsidP="007F5F83">
      <w:pPr>
        <w:jc w:val="center"/>
      </w:pPr>
    </w:p>
    <w:p w14:paraId="59245B29" w14:textId="0FF5B4CF" w:rsidR="007F5F83" w:rsidRPr="00A6390C" w:rsidRDefault="007F5F83" w:rsidP="007F5F83">
      <w:pPr>
        <w:pStyle w:val="Title"/>
        <w:rPr>
          <w:rFonts w:ascii="Garamond" w:hAnsi="Garamond"/>
        </w:rPr>
      </w:pPr>
      <w:r w:rsidRPr="00A6390C">
        <w:rPr>
          <w:rFonts w:ascii="Garamond" w:hAnsi="Garamond"/>
        </w:rPr>
        <w:t xml:space="preserve">Reviewer 1: </w:t>
      </w:r>
    </w:p>
    <w:p w14:paraId="5D9570CC" w14:textId="2BC27FD1" w:rsidR="007F5F83" w:rsidRPr="00A6390C" w:rsidRDefault="007F5F83" w:rsidP="007F5F83">
      <w:pPr>
        <w:rPr>
          <w:rFonts w:ascii="Garamond" w:hAnsi="Garamond"/>
          <w:b/>
          <w:bCs/>
          <w:sz w:val="22"/>
          <w:szCs w:val="22"/>
        </w:rPr>
      </w:pPr>
      <w:r w:rsidRPr="00A6390C">
        <w:rPr>
          <w:rFonts w:ascii="Garamond" w:hAnsi="Garamond"/>
        </w:rPr>
        <w:t>Major Comments</w:t>
      </w:r>
    </w:p>
    <w:p w14:paraId="482E15C8" w14:textId="07B59EB0" w:rsidR="007F5F83" w:rsidRPr="004959F1" w:rsidRDefault="007F5F83" w:rsidP="007F5F83">
      <w:pPr>
        <w:rPr>
          <w:rFonts w:ascii="Times New Roman" w:hAnsi="Times New Roman" w:cs="Times New Roman"/>
          <w:b/>
          <w:bCs/>
          <w:sz w:val="22"/>
          <w:szCs w:val="22"/>
        </w:rPr>
      </w:pPr>
      <w:r w:rsidRPr="004959F1">
        <w:rPr>
          <w:rFonts w:ascii="Times New Roman" w:hAnsi="Times New Roman" w:cs="Times New Roman"/>
          <w:b/>
          <w:bCs/>
          <w:sz w:val="22"/>
          <w:szCs w:val="22"/>
        </w:rPr>
        <w:t xml:space="preserve">I really appreciate the author teams’ succinct presentation of their findings (less than 20 pages excluding references makes for a much easier lift!); </w:t>
      </w:r>
      <w:proofErr w:type="gramStart"/>
      <w:r w:rsidRPr="004959F1">
        <w:rPr>
          <w:rFonts w:ascii="Times New Roman" w:hAnsi="Times New Roman" w:cs="Times New Roman"/>
          <w:b/>
          <w:bCs/>
          <w:sz w:val="22"/>
          <w:szCs w:val="22"/>
        </w:rPr>
        <w:t>however</w:t>
      </w:r>
      <w:proofErr w:type="gramEnd"/>
      <w:r w:rsidRPr="004959F1">
        <w:rPr>
          <w:rFonts w:ascii="Times New Roman" w:hAnsi="Times New Roman" w:cs="Times New Roman"/>
          <w:b/>
          <w:bCs/>
          <w:sz w:val="22"/>
          <w:szCs w:val="22"/>
        </w:rPr>
        <w:t xml:space="preserve"> in this case I think it would be helpful to briefly expand on several points. The introduction provides some, but not a great deal, of information on characteristics of Kuskokwim Chinook salmon and the relevant fishery. A few sentences describing what is known about the relative abundance of upper/middle/lower river spawning populations, as well as the relative proportion of communities on the </w:t>
      </w:r>
      <w:proofErr w:type="gramStart"/>
      <w:r w:rsidRPr="004959F1">
        <w:rPr>
          <w:rFonts w:ascii="Times New Roman" w:hAnsi="Times New Roman" w:cs="Times New Roman"/>
          <w:b/>
          <w:bCs/>
          <w:sz w:val="22"/>
          <w:szCs w:val="22"/>
        </w:rPr>
        <w:t>basin</w:t>
      </w:r>
      <w:proofErr w:type="gramEnd"/>
      <w:r w:rsidRPr="004959F1">
        <w:rPr>
          <w:rFonts w:ascii="Times New Roman" w:hAnsi="Times New Roman" w:cs="Times New Roman"/>
          <w:b/>
          <w:bCs/>
          <w:sz w:val="22"/>
          <w:szCs w:val="22"/>
        </w:rPr>
        <w:t xml:space="preserve"> that rely on access to upper river populations exclusively would provide important context. The introduction also packs several important points (objective, problem statement, data acquisition, and analytical approach) into the final paragraph. Adding a penultimate paragraph that describes why typical approaches (i.e. GSI) can’t be used here and how otolith microchemistry can be used as an alternative would likely improve readability.</w:t>
      </w:r>
    </w:p>
    <w:p w14:paraId="70DE0E0C" w14:textId="5FAE380F" w:rsidR="001267A1" w:rsidRPr="004959F1" w:rsidRDefault="001267A1" w:rsidP="00A6390C">
      <w:pPr>
        <w:ind w:left="720"/>
        <w:rPr>
          <w:rFonts w:ascii="Times New Roman" w:hAnsi="Times New Roman" w:cs="Times New Roman"/>
          <w:sz w:val="22"/>
          <w:szCs w:val="22"/>
        </w:rPr>
      </w:pPr>
      <w:r w:rsidRPr="004959F1">
        <w:rPr>
          <w:rFonts w:ascii="Times New Roman" w:hAnsi="Times New Roman" w:cs="Times New Roman"/>
          <w:sz w:val="22"/>
          <w:szCs w:val="22"/>
        </w:rPr>
        <w:t xml:space="preserve">To improve </w:t>
      </w:r>
      <w:proofErr w:type="gramStart"/>
      <w:r w:rsidRPr="004959F1">
        <w:rPr>
          <w:rFonts w:ascii="Times New Roman" w:hAnsi="Times New Roman" w:cs="Times New Roman"/>
          <w:sz w:val="22"/>
          <w:szCs w:val="22"/>
        </w:rPr>
        <w:t>readability</w:t>
      </w:r>
      <w:proofErr w:type="gramEnd"/>
      <w:r w:rsidRPr="004959F1">
        <w:rPr>
          <w:rFonts w:ascii="Times New Roman" w:hAnsi="Times New Roman" w:cs="Times New Roman"/>
          <w:sz w:val="22"/>
          <w:szCs w:val="22"/>
        </w:rPr>
        <w:t xml:space="preserve"> we added a penultimate paragraph per the reviewer’s suggestion expanding on the limitation for estimating basin-scale patterns currently as well as highlighting the unique ability of otolith microchemistry to address these limitations. In addition, we added a few sentences expanding on… </w:t>
      </w:r>
    </w:p>
    <w:p w14:paraId="4633C13B" w14:textId="47F8F467" w:rsidR="001267A1" w:rsidRPr="004959F1" w:rsidRDefault="001267A1" w:rsidP="007F5F83">
      <w:pPr>
        <w:rPr>
          <w:rFonts w:ascii="Times New Roman" w:hAnsi="Times New Roman" w:cs="Times New Roman"/>
          <w:sz w:val="22"/>
          <w:szCs w:val="22"/>
        </w:rPr>
      </w:pPr>
      <w:r w:rsidRPr="004959F1">
        <w:rPr>
          <w:rFonts w:ascii="Times New Roman" w:hAnsi="Times New Roman" w:cs="Times New Roman"/>
          <w:sz w:val="22"/>
          <w:szCs w:val="22"/>
          <w:highlight w:val="yellow"/>
        </w:rPr>
        <w:t>** Add a few more sentences on Chinook salmon distribution etc. **</w:t>
      </w:r>
      <w:r w:rsidRPr="004959F1">
        <w:rPr>
          <w:rFonts w:ascii="Times New Roman" w:hAnsi="Times New Roman" w:cs="Times New Roman"/>
          <w:sz w:val="22"/>
          <w:szCs w:val="22"/>
        </w:rPr>
        <w:t xml:space="preserve"> </w:t>
      </w:r>
    </w:p>
    <w:p w14:paraId="38BBC3E5" w14:textId="77777777" w:rsidR="00A6390C" w:rsidRPr="004959F1" w:rsidRDefault="007F5F83" w:rsidP="007F5F83">
      <w:pPr>
        <w:rPr>
          <w:rFonts w:ascii="Times New Roman" w:hAnsi="Times New Roman" w:cs="Times New Roman"/>
          <w:b/>
          <w:bCs/>
          <w:sz w:val="22"/>
          <w:szCs w:val="22"/>
        </w:rPr>
      </w:pPr>
      <w:r w:rsidRPr="00531BBB">
        <w:br/>
      </w:r>
      <w:r w:rsidRPr="00531BBB">
        <w:br/>
      </w:r>
      <w:proofErr w:type="gramStart"/>
      <w:r w:rsidRPr="004959F1">
        <w:rPr>
          <w:rFonts w:ascii="Times New Roman" w:hAnsi="Times New Roman" w:cs="Times New Roman"/>
          <w:b/>
          <w:bCs/>
          <w:sz w:val="22"/>
          <w:szCs w:val="22"/>
        </w:rPr>
        <w:t>Similarly</w:t>
      </w:r>
      <w:proofErr w:type="gramEnd"/>
      <w:r w:rsidRPr="004959F1">
        <w:rPr>
          <w:rFonts w:ascii="Times New Roman" w:hAnsi="Times New Roman" w:cs="Times New Roman"/>
          <w:b/>
          <w:bCs/>
          <w:sz w:val="22"/>
          <w:szCs w:val="22"/>
        </w:rPr>
        <w:t xml:space="preserve"> a large portion of the methods </w:t>
      </w:r>
      <w:proofErr w:type="gramStart"/>
      <w:r w:rsidRPr="004959F1">
        <w:rPr>
          <w:rFonts w:ascii="Times New Roman" w:hAnsi="Times New Roman" w:cs="Times New Roman"/>
          <w:b/>
          <w:bCs/>
          <w:sz w:val="22"/>
          <w:szCs w:val="22"/>
        </w:rPr>
        <w:t>focuses</w:t>
      </w:r>
      <w:proofErr w:type="gramEnd"/>
      <w:r w:rsidRPr="004959F1">
        <w:rPr>
          <w:rFonts w:ascii="Times New Roman" w:hAnsi="Times New Roman" w:cs="Times New Roman"/>
          <w:b/>
          <w:bCs/>
          <w:sz w:val="22"/>
          <w:szCs w:val="22"/>
        </w:rPr>
        <w:t xml:space="preserve"> on assigning samples to isotopic groupings. I feel that some of this material would be better placed in the results, which would facilitate a more detailed presentation of variability in isotopic signatures among the groups and individual-level assignment probability. While I trust the authors’ analysis, right now it is not possible to evaluate how cleanly natal origin could be assigned. </w:t>
      </w:r>
      <w:proofErr w:type="gramStart"/>
      <w:r w:rsidRPr="004959F1">
        <w:rPr>
          <w:rFonts w:ascii="Times New Roman" w:hAnsi="Times New Roman" w:cs="Times New Roman"/>
          <w:b/>
          <w:bCs/>
          <w:sz w:val="22"/>
          <w:szCs w:val="22"/>
        </w:rPr>
        <w:t>Similarly</w:t>
      </w:r>
      <w:proofErr w:type="gramEnd"/>
      <w:r w:rsidRPr="004959F1">
        <w:rPr>
          <w:rFonts w:ascii="Times New Roman" w:hAnsi="Times New Roman" w:cs="Times New Roman"/>
          <w:b/>
          <w:bCs/>
          <w:sz w:val="22"/>
          <w:szCs w:val="22"/>
        </w:rPr>
        <w:t xml:space="preserve"> I think some material in the discussion about how well the regional groupings conform to </w:t>
      </w:r>
      <w:proofErr w:type="gramStart"/>
      <w:r w:rsidRPr="004959F1">
        <w:rPr>
          <w:rFonts w:ascii="Times New Roman" w:hAnsi="Times New Roman" w:cs="Times New Roman"/>
          <w:b/>
          <w:bCs/>
          <w:sz w:val="22"/>
          <w:szCs w:val="22"/>
        </w:rPr>
        <w:t>any a</w:t>
      </w:r>
      <w:proofErr w:type="gramEnd"/>
      <w:r w:rsidRPr="004959F1">
        <w:rPr>
          <w:rFonts w:ascii="Times New Roman" w:hAnsi="Times New Roman" w:cs="Times New Roman"/>
          <w:b/>
          <w:bCs/>
          <w:sz w:val="22"/>
          <w:szCs w:val="22"/>
        </w:rPr>
        <w:t xml:space="preserve"> priori predictions about population structure that were derived from traditional ecological knowledge would be of interest to readers.</w:t>
      </w:r>
      <w:r w:rsidRPr="004959F1">
        <w:rPr>
          <w:rFonts w:ascii="Times New Roman" w:hAnsi="Times New Roman" w:cs="Times New Roman"/>
          <w:b/>
          <w:bCs/>
          <w:sz w:val="22"/>
          <w:szCs w:val="22"/>
        </w:rPr>
        <w:br/>
      </w:r>
    </w:p>
    <w:p w14:paraId="6F781A4F" w14:textId="617E1307" w:rsidR="00A6390C" w:rsidRPr="00A6390C" w:rsidRDefault="00A6390C" w:rsidP="007F5F83">
      <w:pPr>
        <w:rPr>
          <w:rFonts w:ascii="Garamond" w:hAnsi="Garamond"/>
          <w:b/>
          <w:bCs/>
        </w:rPr>
      </w:pPr>
      <w:r w:rsidRPr="00A6390C">
        <w:rPr>
          <w:rFonts w:ascii="Garamond" w:hAnsi="Garamond"/>
          <w:b/>
          <w:bCs/>
        </w:rPr>
        <w:t xml:space="preserve">** Move some description of the clustering, including histogram of the isotopic composition per group** </w:t>
      </w:r>
    </w:p>
    <w:p w14:paraId="5129C267" w14:textId="77777777" w:rsidR="00A6390C" w:rsidRPr="00A6390C" w:rsidRDefault="00A6390C" w:rsidP="007F5F83">
      <w:pPr>
        <w:rPr>
          <w:rFonts w:ascii="Garamond" w:hAnsi="Garamond"/>
          <w:b/>
          <w:bCs/>
        </w:rPr>
      </w:pPr>
    </w:p>
    <w:p w14:paraId="768F261B" w14:textId="77777777" w:rsidR="00A6390C" w:rsidRPr="00A6390C" w:rsidRDefault="00A6390C" w:rsidP="007F5F83">
      <w:pPr>
        <w:rPr>
          <w:rFonts w:ascii="Garamond" w:hAnsi="Garamond"/>
          <w:b/>
          <w:bCs/>
        </w:rPr>
      </w:pPr>
    </w:p>
    <w:p w14:paraId="233B5CFD" w14:textId="2402C238" w:rsidR="00A6390C" w:rsidRPr="00A6390C" w:rsidRDefault="007F5F83" w:rsidP="007F5F83">
      <w:pPr>
        <w:rPr>
          <w:rFonts w:ascii="Garamond" w:hAnsi="Garamond"/>
          <w:b/>
          <w:bCs/>
        </w:rPr>
      </w:pPr>
      <w:r w:rsidRPr="00A6390C">
        <w:rPr>
          <w:rFonts w:ascii="Garamond" w:hAnsi="Garamond"/>
          <w:b/>
          <w:bCs/>
        </w:rPr>
        <w:lastRenderedPageBreak/>
        <w:br/>
        <w:t xml:space="preserve">I appreciated the </w:t>
      </w:r>
      <w:proofErr w:type="gramStart"/>
      <w:r w:rsidRPr="00A6390C">
        <w:rPr>
          <w:rFonts w:ascii="Garamond" w:hAnsi="Garamond"/>
          <w:b/>
          <w:bCs/>
        </w:rPr>
        <w:t>authors’</w:t>
      </w:r>
      <w:proofErr w:type="gramEnd"/>
      <w:r w:rsidRPr="00A6390C">
        <w:rPr>
          <w:rFonts w:ascii="Garamond" w:hAnsi="Garamond"/>
          <w:b/>
          <w:bCs/>
        </w:rPr>
        <w:t xml:space="preserve"> attempt to account for multiple sources of </w:t>
      </w:r>
      <w:proofErr w:type="gramStart"/>
      <w:r w:rsidRPr="00A6390C">
        <w:rPr>
          <w:rFonts w:ascii="Garamond" w:hAnsi="Garamond"/>
          <w:b/>
          <w:bCs/>
        </w:rPr>
        <w:t>uncertainty, but</w:t>
      </w:r>
      <w:proofErr w:type="gramEnd"/>
      <w:r w:rsidRPr="00A6390C">
        <w:rPr>
          <w:rFonts w:ascii="Garamond" w:hAnsi="Garamond"/>
          <w:b/>
          <w:bCs/>
        </w:rPr>
        <w:t xml:space="preserve"> found the section on natal origin estimation difficult to parse. What does within-population error represent in this case? Would it be informative to present the relative magnitude of each of these variance parameters? </w:t>
      </w:r>
    </w:p>
    <w:p w14:paraId="24F9850B" w14:textId="77777777" w:rsidR="00A6390C" w:rsidRPr="00A6390C" w:rsidRDefault="00A6390C" w:rsidP="007F5F83">
      <w:pPr>
        <w:rPr>
          <w:rFonts w:ascii="Garamond" w:hAnsi="Garamond"/>
          <w:b/>
          <w:bCs/>
        </w:rPr>
      </w:pPr>
    </w:p>
    <w:p w14:paraId="0DA812F9" w14:textId="77777777" w:rsidR="00A6390C" w:rsidRPr="00A6390C" w:rsidRDefault="007F5F83" w:rsidP="007F5F83">
      <w:pPr>
        <w:rPr>
          <w:rFonts w:ascii="Garamond" w:hAnsi="Garamond"/>
          <w:b/>
          <w:bCs/>
        </w:rPr>
      </w:pPr>
      <w:proofErr w:type="gramStart"/>
      <w:r w:rsidRPr="00A6390C">
        <w:rPr>
          <w:rFonts w:ascii="Garamond" w:hAnsi="Garamond"/>
          <w:b/>
          <w:bCs/>
        </w:rPr>
        <w:t>Similarly</w:t>
      </w:r>
      <w:proofErr w:type="gramEnd"/>
      <w:r w:rsidRPr="00A6390C">
        <w:rPr>
          <w:rFonts w:ascii="Garamond" w:hAnsi="Garamond"/>
          <w:b/>
          <w:bCs/>
        </w:rPr>
        <w:t xml:space="preserve"> it was not possible to evaluate how well the assignment model performed. Were 100% of individuals assignable? Presumably there was some among individual variability in assignment probability? Were assignments to specific regional groups more certain? I’m not sure exactly how these results would be best presented, but I think it would be helpful to summarize posterior probability assignment values somehow.</w:t>
      </w:r>
    </w:p>
    <w:p w14:paraId="26330E4F" w14:textId="77777777" w:rsidR="00A6390C" w:rsidRPr="00A6390C" w:rsidRDefault="007F5F83" w:rsidP="007F5F83">
      <w:pPr>
        <w:rPr>
          <w:rFonts w:ascii="Garamond" w:hAnsi="Garamond"/>
          <w:b/>
          <w:bCs/>
        </w:rPr>
      </w:pPr>
      <w:r w:rsidRPr="00A6390C">
        <w:rPr>
          <w:rFonts w:ascii="Garamond" w:hAnsi="Garamond"/>
          <w:b/>
          <w:bCs/>
        </w:rPr>
        <w:br/>
      </w:r>
      <w:r w:rsidRPr="00A6390C">
        <w:rPr>
          <w:rFonts w:ascii="Garamond" w:hAnsi="Garamond"/>
          <w:b/>
          <w:bCs/>
        </w:rPr>
        <w:br/>
        <w:t>Finally, I couldn’t determine how uncertainty was propagated to the final assignments and downstream summary statistics. The authors note that only the top 30% of posterior values were retained, but I couldn’t tell whether they were restricting the assignment to a single region or truncating the distribution some other way, and more generally why this was done. This is particularly concerning because no uncertainty appears to be propagated to the cumulative distributions or the proportion of the regional grouping impacted by a fishery. If individual level assignments are highly certain, this seems reasonable, but if they’re highly uncertain then ideally that would be propagated to the assessment of management performance. Conversely, summing the posterior estimates among all groups makes sense and I think would propagate this assignment uncertainty, but not if only a subset of (i.e. top 30%) of posterior estimate was used.</w:t>
      </w:r>
      <w:r w:rsidRPr="00A6390C">
        <w:rPr>
          <w:rFonts w:ascii="Garamond" w:hAnsi="Garamond"/>
          <w:b/>
          <w:bCs/>
        </w:rPr>
        <w:br/>
      </w:r>
    </w:p>
    <w:p w14:paraId="74F1A412" w14:textId="77777777" w:rsidR="00491217" w:rsidRDefault="007F5F83" w:rsidP="007F5F83">
      <w:pPr>
        <w:rPr>
          <w:rFonts w:ascii="Garamond" w:hAnsi="Garamond"/>
          <w:b/>
          <w:bCs/>
        </w:rPr>
      </w:pPr>
      <w:r w:rsidRPr="00A6390C">
        <w:rPr>
          <w:rFonts w:ascii="Garamond" w:hAnsi="Garamond"/>
          <w:b/>
          <w:bCs/>
        </w:rPr>
        <w:br/>
        <w:t>Interannual Variability in Migration Phenology of Upstream Components</w:t>
      </w:r>
      <w:r w:rsidRPr="00A6390C">
        <w:rPr>
          <w:rFonts w:ascii="Garamond" w:hAnsi="Garamond"/>
          <w:b/>
          <w:bCs/>
        </w:rPr>
        <w:br/>
        <w:t xml:space="preserve">At least to my eye from Fig 4, it seems as though groups 1 and 2 have much greater interannual variability in run timing. I would recommend testing for this quantitatively (e.g. the CV of 50% passage date among years by group). It’s not only of ecological </w:t>
      </w:r>
      <w:proofErr w:type="gramStart"/>
      <w:r w:rsidRPr="00A6390C">
        <w:rPr>
          <w:rFonts w:ascii="Garamond" w:hAnsi="Garamond"/>
          <w:b/>
          <w:bCs/>
        </w:rPr>
        <w:t>interest, but</w:t>
      </w:r>
      <w:proofErr w:type="gramEnd"/>
      <w:r w:rsidRPr="00A6390C">
        <w:rPr>
          <w:rFonts w:ascii="Garamond" w:hAnsi="Garamond"/>
          <w:b/>
          <w:bCs/>
        </w:rPr>
        <w:t xml:space="preserve"> presumably is driving the effects seen in Fig 5 and strongly constrains the performance of a harvest control rule based on a fixed temporal window.</w:t>
      </w:r>
    </w:p>
    <w:p w14:paraId="542B85FB" w14:textId="77777777" w:rsidR="00491217" w:rsidRDefault="00491217" w:rsidP="007F5F83">
      <w:pPr>
        <w:rPr>
          <w:rFonts w:ascii="Garamond" w:hAnsi="Garamond"/>
          <w:b/>
          <w:bCs/>
        </w:rPr>
      </w:pPr>
    </w:p>
    <w:p w14:paraId="29EA81DF" w14:textId="77777777" w:rsidR="00491217" w:rsidRPr="001B29D5" w:rsidRDefault="00491217" w:rsidP="007F5F83">
      <w:pPr>
        <w:rPr>
          <w:rFonts w:ascii="Garamond" w:hAnsi="Garamond"/>
          <w:b/>
          <w:bCs/>
        </w:rPr>
      </w:pPr>
      <w:r w:rsidRPr="001B29D5">
        <w:rPr>
          <w:rFonts w:ascii="Garamond" w:hAnsi="Garamond"/>
          <w:b/>
          <w:bCs/>
        </w:rPr>
        <w:t xml:space="preserve">Lines 12-14: I think spatiotemporal dynamics of migrating Chinook are relatively well understood in some systems (e.g. Fraser, Columbia, Central Valley), especially compared to most other commercially exploited species. Perhaps </w:t>
      </w:r>
      <w:proofErr w:type="gramStart"/>
      <w:r w:rsidRPr="001B29D5">
        <w:rPr>
          <w:rFonts w:ascii="Garamond" w:hAnsi="Garamond"/>
          <w:b/>
          <w:bCs/>
        </w:rPr>
        <w:t>best</w:t>
      </w:r>
      <w:proofErr w:type="gramEnd"/>
      <w:r w:rsidRPr="001B29D5">
        <w:rPr>
          <w:rFonts w:ascii="Garamond" w:hAnsi="Garamond"/>
          <w:b/>
          <w:bCs/>
        </w:rPr>
        <w:t xml:space="preserve"> to qualify?</w:t>
      </w:r>
    </w:p>
    <w:p w14:paraId="25B0BB1B" w14:textId="69A2022D" w:rsidR="001B29D5" w:rsidRPr="001B29D5" w:rsidRDefault="001B29D5" w:rsidP="007F5F83">
      <w:pPr>
        <w:rPr>
          <w:rFonts w:ascii="Garamond" w:hAnsi="Garamond"/>
          <w:sz w:val="22"/>
          <w:szCs w:val="22"/>
        </w:rPr>
      </w:pPr>
      <w:r>
        <w:tab/>
      </w:r>
      <w:r w:rsidRPr="001B29D5">
        <w:rPr>
          <w:rFonts w:ascii="Garamond" w:hAnsi="Garamond"/>
          <w:sz w:val="22"/>
          <w:szCs w:val="22"/>
        </w:rPr>
        <w:t xml:space="preserve">We added to this sentence to clarify that this is only true in some larger watersheds. </w:t>
      </w:r>
    </w:p>
    <w:p w14:paraId="65F3B023" w14:textId="6D6F2412" w:rsidR="001B29D5" w:rsidRPr="001B29D5" w:rsidRDefault="001B29D5" w:rsidP="001B29D5">
      <w:pPr>
        <w:ind w:left="720"/>
        <w:rPr>
          <w:rFonts w:ascii="Garamond" w:hAnsi="Garamond"/>
          <w:sz w:val="22"/>
          <w:szCs w:val="22"/>
        </w:rPr>
      </w:pPr>
      <w:r w:rsidRPr="001B29D5">
        <w:rPr>
          <w:rFonts w:ascii="Garamond" w:hAnsi="Garamond"/>
          <w:sz w:val="22"/>
          <w:szCs w:val="22"/>
        </w:rPr>
        <w:lastRenderedPageBreak/>
        <w:t xml:space="preserve">“ </w:t>
      </w:r>
      <w:r w:rsidRPr="001B29D5">
        <w:rPr>
          <w:rFonts w:ascii="Garamond" w:hAnsi="Garamond"/>
          <w:sz w:val="22"/>
          <w:szCs w:val="22"/>
        </w:rPr>
        <w:t>. In Pacific salmon, biodiversity among populations contributes to basin-wide resilience, yet spatiotemporal dynamics of adult migrating Chinook salmon remain poorly understood in many large salmon producing watersheds, creating uncertainty about management impacts.</w:t>
      </w:r>
      <w:r w:rsidRPr="001B29D5">
        <w:rPr>
          <w:rFonts w:ascii="Garamond" w:hAnsi="Garamond"/>
          <w:sz w:val="22"/>
          <w:szCs w:val="22"/>
        </w:rPr>
        <w:t>”</w:t>
      </w:r>
    </w:p>
    <w:p w14:paraId="1709BC43" w14:textId="77777777" w:rsidR="001B29D5" w:rsidRDefault="001B29D5" w:rsidP="001B29D5">
      <w:pPr>
        <w:ind w:left="720"/>
        <w:rPr>
          <w:rFonts w:ascii="Garamond" w:hAnsi="Garamond"/>
          <w:sz w:val="22"/>
          <w:szCs w:val="22"/>
        </w:rPr>
      </w:pPr>
    </w:p>
    <w:p w14:paraId="53395093" w14:textId="77777777" w:rsidR="00491217" w:rsidRPr="001B29D5" w:rsidRDefault="00491217" w:rsidP="007F5F83">
      <w:pPr>
        <w:rPr>
          <w:rFonts w:ascii="Garamond" w:hAnsi="Garamond"/>
          <w:b/>
          <w:bCs/>
        </w:rPr>
      </w:pPr>
      <w:r w:rsidRPr="001B29D5">
        <w:rPr>
          <w:rFonts w:ascii="Garamond" w:hAnsi="Garamond"/>
          <w:b/>
          <w:bCs/>
        </w:rPr>
        <w:t>Line 45-47: May also be worth highlighting that interior populations are often more likely to at low abundance (e.g. Atlas et al. 2023)</w:t>
      </w:r>
    </w:p>
    <w:p w14:paraId="09CC0F6E" w14:textId="6A630A58" w:rsidR="001B29D5" w:rsidRPr="001B29D5" w:rsidRDefault="001B29D5" w:rsidP="001B29D5">
      <w:pPr>
        <w:rPr>
          <w:rFonts w:ascii="Garamond" w:hAnsi="Garamond"/>
        </w:rPr>
      </w:pPr>
      <w:r w:rsidRPr="001B29D5">
        <w:rPr>
          <w:rFonts w:ascii="Garamond" w:hAnsi="Garamond"/>
        </w:rPr>
        <w:tab/>
        <w:t xml:space="preserve">** consider adding interior populations are more likely to be at low abundance** </w:t>
      </w:r>
    </w:p>
    <w:p w14:paraId="7B7F32FE" w14:textId="77777777" w:rsidR="000C72EC" w:rsidRDefault="000C72EC" w:rsidP="007F5F83"/>
    <w:p w14:paraId="7D00E024" w14:textId="16C0BF7F" w:rsidR="00491217" w:rsidRPr="000C72EC" w:rsidRDefault="00491217" w:rsidP="007F5F83">
      <w:pPr>
        <w:rPr>
          <w:rFonts w:ascii="Garamond" w:hAnsi="Garamond"/>
          <w:b/>
          <w:bCs/>
        </w:rPr>
      </w:pPr>
      <w:r w:rsidRPr="00531BBB">
        <w:br/>
      </w:r>
      <w:r w:rsidRPr="000C72EC">
        <w:rPr>
          <w:rFonts w:ascii="Garamond" w:hAnsi="Garamond"/>
          <w:b/>
          <w:bCs/>
        </w:rPr>
        <w:t xml:space="preserve">Line 47-49: This sentence is unclear to me. Is the point simply that because downstream fisheries harvest upstream components their performance is linked to upstream dynamics? This seems </w:t>
      </w:r>
      <w:proofErr w:type="spellStart"/>
      <w:proofErr w:type="gramStart"/>
      <w:r w:rsidRPr="000C72EC">
        <w:rPr>
          <w:rFonts w:ascii="Garamond" w:hAnsi="Garamond"/>
          <w:b/>
          <w:bCs/>
        </w:rPr>
        <w:t>self evident</w:t>
      </w:r>
      <w:proofErr w:type="spellEnd"/>
      <w:proofErr w:type="gramEnd"/>
      <w:r w:rsidRPr="000C72EC">
        <w:rPr>
          <w:rFonts w:ascii="Garamond" w:hAnsi="Garamond"/>
          <w:b/>
          <w:bCs/>
        </w:rPr>
        <w:t>. I think it might be better to emphasize that because these fisheries are often mixed stock, there are socioeconomic benefits associated with maintaining diversity (</w:t>
      </w:r>
      <w:proofErr w:type="gramStart"/>
      <w:r w:rsidRPr="000C72EC">
        <w:rPr>
          <w:rFonts w:ascii="Garamond" w:hAnsi="Garamond"/>
          <w:b/>
          <w:bCs/>
        </w:rPr>
        <w:t>most commonly reduced</w:t>
      </w:r>
      <w:proofErr w:type="gramEnd"/>
      <w:r w:rsidRPr="000C72EC">
        <w:rPr>
          <w:rFonts w:ascii="Garamond" w:hAnsi="Garamond"/>
          <w:b/>
          <w:bCs/>
        </w:rPr>
        <w:t xml:space="preserve"> interannual variability in catch).</w:t>
      </w:r>
    </w:p>
    <w:p w14:paraId="2F69E81E" w14:textId="7CA9B3F0" w:rsidR="000C72EC" w:rsidRDefault="000C72EC" w:rsidP="000C72EC">
      <w:pPr>
        <w:ind w:left="720"/>
        <w:rPr>
          <w:rFonts w:ascii="Garamond" w:hAnsi="Garamond"/>
        </w:rPr>
      </w:pPr>
      <w:r w:rsidRPr="000C72EC">
        <w:rPr>
          <w:rFonts w:ascii="Garamond" w:hAnsi="Garamond"/>
        </w:rPr>
        <w:t xml:space="preserve">This statement is meant to highlight that the characteristics of the downstream fishery are the combined characteristics of individuals subpopulations from upstream components. For example, variable run timing among subpopulations results in a longer duration of harvest opportunity for downstream fisheries. To clarify this point we added this </w:t>
      </w:r>
      <w:proofErr w:type="gramStart"/>
      <w:r w:rsidRPr="000C72EC">
        <w:rPr>
          <w:rFonts w:ascii="Garamond" w:hAnsi="Garamond"/>
        </w:rPr>
        <w:t>example, and</w:t>
      </w:r>
      <w:proofErr w:type="gramEnd"/>
      <w:r w:rsidRPr="000C72EC">
        <w:rPr>
          <w:rFonts w:ascii="Garamond" w:hAnsi="Garamond"/>
        </w:rPr>
        <w:t xml:space="preserve"> also highlighted the reduced interannual variability in catch</w:t>
      </w:r>
      <w:r>
        <w:rPr>
          <w:rFonts w:ascii="Garamond" w:hAnsi="Garamond"/>
        </w:rPr>
        <w:t xml:space="preserve"> per the suggestion. </w:t>
      </w:r>
    </w:p>
    <w:p w14:paraId="62695A4F" w14:textId="0B9F7C9C" w:rsidR="001B29D5" w:rsidRPr="000C72EC" w:rsidRDefault="000C72EC" w:rsidP="000C72EC">
      <w:pPr>
        <w:ind w:left="720"/>
        <w:rPr>
          <w:rFonts w:ascii="Garamond" w:hAnsi="Garamond"/>
        </w:rPr>
      </w:pPr>
      <w:r>
        <w:rPr>
          <w:rFonts w:ascii="Garamond" w:hAnsi="Garamond"/>
        </w:rPr>
        <w:t xml:space="preserve">“ </w:t>
      </w:r>
      <w:r w:rsidRPr="00171E1A">
        <w:rPr>
          <w:rFonts w:ascii="Garamond" w:hAnsi="Garamond" w:cs="Times New Roman"/>
        </w:rPr>
        <w:t xml:space="preserve">However, the timing, yield, and duration of downstream fisheries are shaped by the combined dynamics of the multiple upstream </w:t>
      </w:r>
      <w:r>
        <w:rPr>
          <w:rFonts w:ascii="Garamond" w:hAnsi="Garamond" w:cs="Times New Roman"/>
        </w:rPr>
        <w:t>sub-</w:t>
      </w:r>
      <w:r w:rsidRPr="00171E1A">
        <w:rPr>
          <w:rFonts w:ascii="Garamond" w:hAnsi="Garamond" w:cs="Times New Roman"/>
        </w:rPr>
        <w:t>populations that contribute fish to those fisheries</w:t>
      </w:r>
      <w:r>
        <w:rPr>
          <w:rFonts w:ascii="Garamond" w:hAnsi="Garamond" w:cs="Times New Roman"/>
        </w:rPr>
        <w:t xml:space="preserve">. </w:t>
      </w:r>
      <w:r>
        <w:rPr>
          <w:rFonts w:ascii="Garamond" w:hAnsi="Garamond" w:cs="Times New Roman"/>
        </w:rPr>
        <w:fldChar w:fldCharType="begin"/>
      </w:r>
      <w:r>
        <w:rPr>
          <w:rFonts w:ascii="Garamond" w:hAnsi="Garamond" w:cs="Times New Roman"/>
        </w:rPr>
        <w:instrText xml:space="preserve"> ADDIN ZOTERO_ITEM CSL_CITATION {"citationID":"8jsHSzDF","properties":{"formattedCitation":"(Nesbitt &amp; Moore, 2016)","plainCitation":"(Nesbitt &amp; Moore, 2016)","noteIndex":0},"citationItems":[{"id":3361,"uris":["http://zotero.org/users/8421274/items/U6M4JZTI"],"itemData":{"id":3361,"type":"article-journal","abstract":"Indigenous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W."}],"issued":{"date-parts":[["2016"]]}}}],"schema":"https://github.com/citation-style-language/schema/raw/master/csl-citation.json"} </w:instrText>
      </w:r>
      <w:r>
        <w:rPr>
          <w:rFonts w:ascii="Garamond" w:hAnsi="Garamond" w:cs="Times New Roman"/>
        </w:rPr>
        <w:fldChar w:fldCharType="separate"/>
      </w:r>
      <w:r>
        <w:rPr>
          <w:rFonts w:ascii="Garamond" w:hAnsi="Garamond" w:cs="Times New Roman"/>
          <w:noProof/>
        </w:rPr>
        <w:t>(Nesbitt &amp; Moore, 2016)</w:t>
      </w:r>
      <w:r>
        <w:rPr>
          <w:rFonts w:ascii="Garamond" w:hAnsi="Garamond" w:cs="Times New Roman"/>
        </w:rPr>
        <w:fldChar w:fldCharType="end"/>
      </w:r>
      <w:r>
        <w:rPr>
          <w:rFonts w:ascii="Garamond" w:hAnsi="Garamond" w:cs="Times New Roman"/>
        </w:rPr>
        <w:t xml:space="preserve">. </w:t>
      </w:r>
      <w:r w:rsidRPr="00171E1A">
        <w:rPr>
          <w:rFonts w:ascii="Garamond" w:hAnsi="Garamond" w:cs="Times New Roman"/>
        </w:rPr>
        <w:t>For example, diversity in return timing among upstream populations may extend the duration of downstream fishing opportunities relative to a more homogenized stock complex in which fish return simultaneously.</w:t>
      </w:r>
      <w:r>
        <w:rPr>
          <w:rFonts w:ascii="Garamond" w:hAnsi="Garamond" w:cs="Times New Roman"/>
        </w:rPr>
        <w:t xml:space="preserve"> </w:t>
      </w:r>
      <w:r w:rsidRPr="00171E1A">
        <w:rPr>
          <w:rFonts w:ascii="Garamond" w:hAnsi="Garamond" w:cs="Times New Roman"/>
        </w:rPr>
        <w:t>Further, maintaining life-history diversity across the full stock complex enhances ecosystem resilience by spreading risk across space and time. This</w:t>
      </w:r>
      <w:r>
        <w:rPr>
          <w:rFonts w:ascii="Garamond" w:hAnsi="Garamond" w:cs="Times New Roman"/>
        </w:rPr>
        <w:t>, in turn,</w:t>
      </w:r>
      <w:r w:rsidRPr="00171E1A">
        <w:rPr>
          <w:rFonts w:ascii="Garamond" w:hAnsi="Garamond" w:cs="Times New Roman"/>
        </w:rPr>
        <w:t xml:space="preserve"> result</w:t>
      </w:r>
      <w:r>
        <w:rPr>
          <w:rFonts w:ascii="Garamond" w:hAnsi="Garamond" w:cs="Times New Roman"/>
        </w:rPr>
        <w:t>s</w:t>
      </w:r>
      <w:r w:rsidRPr="00171E1A">
        <w:rPr>
          <w:rFonts w:ascii="Garamond" w:hAnsi="Garamond" w:cs="Times New Roman"/>
        </w:rPr>
        <w:t xml:space="preserve"> in more reliable delivery of ecosystem services by reducing interannual variability in the abundance of returning fish at the watershed scale</w:t>
      </w:r>
      <w:r>
        <w:rPr>
          <w:rFonts w:ascii="Garamond" w:hAnsi="Garamond" w:cs="Times New Roman"/>
        </w:rPr>
        <w:t xml:space="preserve"> </w:t>
      </w:r>
      <w:r>
        <w:rPr>
          <w:rFonts w:ascii="Garamond" w:hAnsi="Garamond" w:cs="Times New Roman"/>
        </w:rPr>
        <w:fldChar w:fldCharType="begin"/>
      </w:r>
      <w:r>
        <w:rPr>
          <w:rFonts w:ascii="Garamond" w:hAnsi="Garamond" w:cs="Times New Roman"/>
        </w:rPr>
        <w:instrText xml:space="preserve"> ADDIN ZOTERO_ITEM CSL_CITATION {"citationID":"5lxSSTQb","properties":{"formattedCitation":"(Schindler et al., 2010)","plainCitation":"(Schindler et al., 2010)","noteIndex":0},"citationItems":[{"id":272,"uris":["http://zotero.org/users/8421274/items/24NDGS7V"],"itemData":{"id":272,"type":"article-journal","abstract":"One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Pr>
          <w:rFonts w:ascii="Garamond" w:hAnsi="Garamond" w:cs="Times New Roman"/>
        </w:rPr>
        <w:fldChar w:fldCharType="separate"/>
      </w:r>
      <w:r>
        <w:rPr>
          <w:rFonts w:ascii="Garamond" w:hAnsi="Garamond" w:cs="Times New Roman"/>
          <w:noProof/>
        </w:rPr>
        <w:t>(Schindler et al., 2010)</w:t>
      </w:r>
      <w:r>
        <w:rPr>
          <w:rFonts w:ascii="Garamond" w:hAnsi="Garamond" w:cs="Times New Roman"/>
        </w:rPr>
        <w:fldChar w:fldCharType="end"/>
      </w:r>
      <w:r>
        <w:rPr>
          <w:rFonts w:ascii="Garamond" w:hAnsi="Garamond" w:cs="Times New Roman"/>
        </w:rPr>
        <w:t>. Designing strategies which explicitly consider and protect this biodiversity, including vulnerable upstream populations, therefore contributes to stabilizing downstream fishery resources both within and among years.</w:t>
      </w:r>
      <w:r>
        <w:rPr>
          <w:rFonts w:ascii="Garamond" w:hAnsi="Garamond" w:cs="Times New Roman"/>
        </w:rPr>
        <w:t>”</w:t>
      </w:r>
    </w:p>
    <w:p w14:paraId="13C65015" w14:textId="77777777" w:rsidR="00491217" w:rsidRPr="00437304" w:rsidRDefault="00491217" w:rsidP="007F5F83">
      <w:pPr>
        <w:rPr>
          <w:rFonts w:ascii="Garamond" w:hAnsi="Garamond"/>
          <w:b/>
          <w:bCs/>
        </w:rPr>
      </w:pPr>
      <w:r w:rsidRPr="00531BBB">
        <w:br/>
      </w:r>
      <w:r w:rsidRPr="00437304">
        <w:rPr>
          <w:rFonts w:ascii="Garamond" w:hAnsi="Garamond"/>
          <w:b/>
          <w:bCs/>
        </w:rPr>
        <w:t xml:space="preserve">Lines 77-81: This para quickly pivots to upstream Kuskokwim, which implies to me these stocks are more imperiled. </w:t>
      </w:r>
      <w:proofErr w:type="gramStart"/>
      <w:r w:rsidRPr="00437304">
        <w:rPr>
          <w:rFonts w:ascii="Garamond" w:hAnsi="Garamond"/>
          <w:b/>
          <w:bCs/>
        </w:rPr>
        <w:t>However</w:t>
      </w:r>
      <w:proofErr w:type="gramEnd"/>
      <w:r w:rsidRPr="00437304">
        <w:rPr>
          <w:rFonts w:ascii="Garamond" w:hAnsi="Garamond"/>
          <w:b/>
          <w:bCs/>
        </w:rPr>
        <w:t xml:space="preserve"> the previous para didn’t really suggest within basin variability in status. These lines instead suggest the goal is to shift harvest dynamics from more to less mixed stock to allow better control and ensure equitable access. I would move this sentence earlier in paragraph to justify the focus on upstream populations as early as possible.</w:t>
      </w:r>
    </w:p>
    <w:p w14:paraId="36209583" w14:textId="5D329AE8" w:rsidR="000C72EC" w:rsidRPr="00437304" w:rsidRDefault="00437304" w:rsidP="00437304">
      <w:pPr>
        <w:ind w:left="720"/>
        <w:rPr>
          <w:rFonts w:ascii="Garamond" w:hAnsi="Garamond"/>
        </w:rPr>
      </w:pPr>
      <w:r w:rsidRPr="00437304">
        <w:rPr>
          <w:rFonts w:ascii="Garamond" w:hAnsi="Garamond"/>
        </w:rPr>
        <w:lastRenderedPageBreak/>
        <w:t xml:space="preserve">We moved the sentence motivating the additional attention for upper watershed stocks to earlier in the paragraph immediately following the introduction of the front-end closure. Although there is conservation concern for some upper watershed stocks, the main motivation is to preeminently protect them from overharvest due to their additional exposure and the need to provide equitable harvest opportunities for upstream communities. </w:t>
      </w:r>
    </w:p>
    <w:p w14:paraId="6C0988BE" w14:textId="77777777" w:rsidR="00491217" w:rsidRPr="002E2582" w:rsidRDefault="00491217" w:rsidP="007F5F83">
      <w:pPr>
        <w:rPr>
          <w:b/>
          <w:bCs/>
        </w:rPr>
      </w:pPr>
      <w:r w:rsidRPr="00531BBB">
        <w:br/>
      </w:r>
      <w:r w:rsidRPr="002E2582">
        <w:rPr>
          <w:b/>
          <w:bCs/>
        </w:rPr>
        <w:t>Line 82-84: I think this could be simplified by removing “the interaction between population-specific migration patterns and”</w:t>
      </w:r>
    </w:p>
    <w:p w14:paraId="4D7A5F6A" w14:textId="189FCF66" w:rsidR="002E2582" w:rsidRDefault="002E2582" w:rsidP="007F5F83">
      <w:r>
        <w:tab/>
        <w:t xml:space="preserve">We agree that this </w:t>
      </w:r>
      <w:proofErr w:type="gramStart"/>
      <w:r>
        <w:t>edit</w:t>
      </w:r>
      <w:proofErr w:type="gramEnd"/>
      <w:r>
        <w:t xml:space="preserve"> improved readability significantly and removed the section</w:t>
      </w:r>
    </w:p>
    <w:p w14:paraId="398E339F" w14:textId="77777777" w:rsidR="002E2582" w:rsidRDefault="00491217" w:rsidP="007F5F83">
      <w:pPr>
        <w:rPr>
          <w:b/>
          <w:bCs/>
        </w:rPr>
      </w:pPr>
      <w:r w:rsidRPr="00531BBB">
        <w:br/>
      </w:r>
    </w:p>
    <w:p w14:paraId="73C4397A" w14:textId="4B5C935D" w:rsidR="00491217" w:rsidRPr="002E2582" w:rsidRDefault="00491217" w:rsidP="007F5F83">
      <w:pPr>
        <w:rPr>
          <w:b/>
          <w:bCs/>
        </w:rPr>
      </w:pPr>
      <w:r w:rsidRPr="002E2582">
        <w:rPr>
          <w:b/>
          <w:bCs/>
        </w:rPr>
        <w:t>Line 85: Recommend adding a paragraph about stock ID and its limitations in this context with bridge to novel approach of using isotope markers to identify spawning locations</w:t>
      </w:r>
    </w:p>
    <w:p w14:paraId="75A8F662" w14:textId="07A47657" w:rsidR="002E2582" w:rsidRDefault="002E2582" w:rsidP="002E2582">
      <w:pPr>
        <w:ind w:left="720"/>
      </w:pPr>
      <w:r>
        <w:t xml:space="preserve">We added to the final paragraph to include mention of the limitations of genetics for reconstructing spatial ecology as well as the unique benefits of isotopes for this approach. </w:t>
      </w:r>
    </w:p>
    <w:p w14:paraId="3A5E7F71" w14:textId="1AB2DCCB" w:rsidR="002E2582" w:rsidRDefault="002E2582" w:rsidP="002E2582">
      <w:pPr>
        <w:ind w:left="720"/>
      </w:pPr>
      <w:r>
        <w:t xml:space="preserve">“ </w:t>
      </w:r>
      <w:r w:rsidRPr="002B1F16">
        <w:rPr>
          <w:rFonts w:ascii="Garamond" w:hAnsi="Garamond" w:cs="Times New Roman"/>
        </w:rPr>
        <w:t>Genetic approaches, which have been widely used to investigate population structure and provenance in other Pacific salmon species, cannot be used to estimate provenance in the Kuskokwim because Chinook salmon exhibit low genetic differentiation across the basin, while ongoing telemetry studies are logistically constrained in their ability to characterize migration dynamics across such a large and remote watershed.</w:t>
      </w:r>
      <w:r>
        <w:rPr>
          <w:rFonts w:ascii="Garamond" w:hAnsi="Garamond" w:cs="Times New Roman"/>
        </w:rPr>
        <w:t xml:space="preserve"> </w:t>
      </w:r>
      <w:r w:rsidRPr="002B1F16">
        <w:rPr>
          <w:rFonts w:ascii="Garamond" w:hAnsi="Garamond" w:cs="Times New Roman"/>
        </w:rPr>
        <w:t xml:space="preserve">Otolith microchemical approaches have emerged as an alternative tool capable of estimating sub-watershed provenance without the need for extensive field-based monitoring. </w:t>
      </w:r>
      <w:r w:rsidRPr="00990A53">
        <w:rPr>
          <w:rFonts w:ascii="Garamond" w:hAnsi="Garamond"/>
        </w:rPr>
        <w:t>Otolith microchemical approaches have emerged as an alternative tool for reconstructing spatial patterns of salmon movement and provenance.</w:t>
      </w:r>
      <w:r>
        <w:rPr>
          <w:rFonts w:ascii="Garamond" w:hAnsi="Garamond"/>
        </w:rPr>
        <w:t xml:space="preserve"> </w:t>
      </w:r>
      <w:r w:rsidRPr="002B1F16">
        <w:rPr>
          <w:rFonts w:ascii="Garamond" w:hAnsi="Garamond"/>
        </w:rPr>
        <w:t>By leveraging predictable relationships between chemical signatures recorded in</w:t>
      </w:r>
      <w:r>
        <w:rPr>
          <w:rFonts w:ascii="Garamond" w:hAnsi="Garamond"/>
        </w:rPr>
        <w:t xml:space="preserve"> the</w:t>
      </w:r>
      <w:r w:rsidRPr="002B1F16">
        <w:rPr>
          <w:rFonts w:ascii="Garamond" w:hAnsi="Garamond"/>
        </w:rPr>
        <w:t xml:space="preserve"> otolith and those measured or modeled across the landscape, </w:t>
      </w:r>
      <w:r>
        <w:rPr>
          <w:rFonts w:ascii="Garamond" w:hAnsi="Garamond"/>
        </w:rPr>
        <w:t>otolith-based</w:t>
      </w:r>
      <w:r w:rsidRPr="002B1F16">
        <w:rPr>
          <w:rFonts w:ascii="Garamond" w:hAnsi="Garamond"/>
        </w:rPr>
        <w:t xml:space="preserve"> approaches enable </w:t>
      </w:r>
      <w:r>
        <w:rPr>
          <w:rFonts w:ascii="Garamond" w:hAnsi="Garamond"/>
        </w:rPr>
        <w:t xml:space="preserve">the </w:t>
      </w:r>
      <w:r w:rsidRPr="002B1F16">
        <w:rPr>
          <w:rFonts w:ascii="Garamond" w:hAnsi="Garamond"/>
        </w:rPr>
        <w:t xml:space="preserve">reconstruction of </w:t>
      </w:r>
      <w:r>
        <w:rPr>
          <w:rFonts w:ascii="Garamond" w:hAnsi="Garamond"/>
        </w:rPr>
        <w:t xml:space="preserve">life history characteristics throughout the lifetime of the individual inferred from samples easily collected from adult fish. </w:t>
      </w:r>
      <w:r w:rsidRPr="00990A53">
        <w:rPr>
          <w:rFonts w:ascii="Garamond" w:hAnsi="Garamond"/>
        </w:rPr>
        <w:t>As such, these methods provide an approach for estimating fine-scale patterns in salmon spatial ecology across entire watersheds without requiring extensive manual monitoring.</w:t>
      </w:r>
      <w:r>
        <w:rPr>
          <w:rFonts w:ascii="Garamond" w:hAnsi="Garamond"/>
        </w:rPr>
        <w:t>”</w:t>
      </w:r>
    </w:p>
    <w:p w14:paraId="0955FC0D" w14:textId="20093B5B" w:rsidR="00491217" w:rsidRPr="002E2582" w:rsidRDefault="00491217" w:rsidP="007F5F83">
      <w:pPr>
        <w:rPr>
          <w:b/>
          <w:bCs/>
        </w:rPr>
      </w:pPr>
      <w:r w:rsidRPr="00531BBB">
        <w:br/>
      </w:r>
      <w:r w:rsidRPr="002E2582">
        <w:rPr>
          <w:b/>
          <w:bCs/>
        </w:rPr>
        <w:t xml:space="preserve">Lines 87-89: Is it a lack of genetic structure or a lack of a comprehensive genetic baseline? If the former, then this would suggest that there is significant straying or the populations have recolonized so recently that there has not been sufficient time for </w:t>
      </w:r>
      <w:r w:rsidRPr="002E2582">
        <w:rPr>
          <w:b/>
          <w:bCs/>
        </w:rPr>
        <w:lastRenderedPageBreak/>
        <w:t>drift to occur, correct? I ask because generally Chinook salmon show significant structure in large river basins (though I’m also not a geneticist…)</w:t>
      </w:r>
    </w:p>
    <w:p w14:paraId="113193F7" w14:textId="48B69E0C" w:rsidR="002E2582" w:rsidRDefault="002E2582" w:rsidP="007F5F83">
      <w:r>
        <w:tab/>
        <w:t xml:space="preserve">From my understanding (I am also not a geneticist), there is a lack of genetic structure in the population. There have been several ongoing efforts to produce more refined baselines but there has not been any significant progress on breaking up the coastal western Alaska genetic reporting group which includes nearly the entire Kuskokwim. </w:t>
      </w:r>
    </w:p>
    <w:p w14:paraId="63AF65BE" w14:textId="77777777" w:rsidR="007D21BA" w:rsidRDefault="007D21BA" w:rsidP="007F5F83"/>
    <w:p w14:paraId="38AF8671" w14:textId="40C565F5" w:rsidR="007D21BA" w:rsidRPr="00D57024" w:rsidRDefault="007D21BA" w:rsidP="007F5F83">
      <w:pPr>
        <w:rPr>
          <w:rFonts w:ascii="Garamond" w:hAnsi="Garamond"/>
          <w:b/>
          <w:bCs/>
        </w:rPr>
      </w:pPr>
      <w:r w:rsidRPr="00D57024">
        <w:rPr>
          <w:rFonts w:ascii="Garamond" w:hAnsi="Garamond"/>
          <w:b/>
          <w:bCs/>
        </w:rPr>
        <w:t xml:space="preserve">Lines 100-101: Nitpicky, but how can we be sure it’s a representative sample if stock resolution is unknown? Does this simply mean that the gear is selective for all size classes, which might vary among populations? Might also be worth stating explicitly that test fishery operations do, or are assumed to, capture the full migration window (or not if that’s the case). On that note I assumed this was a gillnet </w:t>
      </w:r>
      <w:proofErr w:type="gramStart"/>
      <w:r w:rsidRPr="00D57024">
        <w:rPr>
          <w:rFonts w:ascii="Garamond" w:hAnsi="Garamond"/>
          <w:b/>
          <w:bCs/>
        </w:rPr>
        <w:t>fishery, but</w:t>
      </w:r>
      <w:proofErr w:type="gramEnd"/>
      <w:r w:rsidRPr="00D57024">
        <w:rPr>
          <w:rFonts w:ascii="Garamond" w:hAnsi="Garamond"/>
          <w:b/>
          <w:bCs/>
        </w:rPr>
        <w:t xml:space="preserve"> might be worth specifying the gear type.</w:t>
      </w:r>
    </w:p>
    <w:p w14:paraId="0A0B7627" w14:textId="2BE0245E" w:rsidR="00D57024" w:rsidRPr="00D57024" w:rsidRDefault="00D57024" w:rsidP="00D57024">
      <w:pPr>
        <w:ind w:left="720"/>
        <w:rPr>
          <w:rFonts w:ascii="Garamond" w:hAnsi="Garamond"/>
        </w:rPr>
      </w:pPr>
      <w:r w:rsidRPr="00D57024">
        <w:rPr>
          <w:rFonts w:ascii="Garamond" w:hAnsi="Garamond"/>
        </w:rPr>
        <w:t xml:space="preserve">By "representative sample," we intended to refer to the test fishery's sampling design rather than verified stock composition. The test fishery operates continuously throughout the migration period and is therefore assumed to sample fish from all populations as they enter the river. In addition, sampling effort is adjusted according to overall CPUE, resulting in greater sampling intensity during periods of higher fish abundance. We agree that representativeness of stock composition cannot be directly evaluated without </w:t>
      </w:r>
      <w:proofErr w:type="gramStart"/>
      <w:r w:rsidRPr="00D57024">
        <w:rPr>
          <w:rFonts w:ascii="Garamond" w:hAnsi="Garamond"/>
        </w:rPr>
        <w:t>stock</w:t>
      </w:r>
      <w:r w:rsidRPr="00D57024">
        <w:rPr>
          <w:rFonts w:ascii="Garamond" w:hAnsi="Garamond"/>
        </w:rPr>
        <w:t>, and</w:t>
      </w:r>
      <w:proofErr w:type="gramEnd"/>
      <w:r w:rsidRPr="00D57024">
        <w:rPr>
          <w:rFonts w:ascii="Garamond" w:hAnsi="Garamond"/>
        </w:rPr>
        <w:t xml:space="preserve"> changed the language slightly to indicate that this is an assumption. </w:t>
      </w:r>
    </w:p>
    <w:p w14:paraId="723357D8" w14:textId="0FB814F0" w:rsidR="00446B65" w:rsidRDefault="00D57024" w:rsidP="00D57024">
      <w:pPr>
        <w:ind w:left="720"/>
        <w:rPr>
          <w:rFonts w:ascii="Garamond" w:hAnsi="Garamond"/>
        </w:rPr>
      </w:pPr>
      <w:r w:rsidRPr="00D57024">
        <w:rPr>
          <w:rFonts w:ascii="Garamond" w:hAnsi="Garamond" w:cs="Times New Roman"/>
        </w:rPr>
        <w:t xml:space="preserve">Fish are sampled throughout the full return migration window, and are assumed to be a representative sample of returning stocks throughout the basin above the test fishery location </w:t>
      </w:r>
      <w:r w:rsidRPr="00D57024">
        <w:rPr>
          <w:rFonts w:ascii="Garamond" w:eastAsia="Times New Roman" w:hAnsi="Garamond" w:cs="Times New Roman"/>
          <w:kern w:val="0"/>
          <w14:ligatures w14:val="none"/>
        </w:rPr>
        <w:fldChar w:fldCharType="begin"/>
      </w:r>
      <w:r w:rsidRPr="00D57024">
        <w:rPr>
          <w:rFonts w:ascii="Garamond" w:eastAsia="Times New Roman" w:hAnsi="Garamond" w:cs="Times New Roman"/>
          <w:kern w:val="0"/>
          <w14:ligatures w14:val="none"/>
        </w:rPr>
        <w:instrText xml:space="preserve"> ADDIN ZOTERO_ITEM CSL_CITATION {"citationID":"oT8qdcVg","properties":{"formattedCitation":"(Lipka &amp; Elison, 2015)","plainCitation":"(Lipka &amp; Elison, 2015)","noteIndex":0},"citationItems":[{"id":5567,"uris":["http://zotero.org/users/8421274/items/PMPCYQ6E"],"itemData":{"id":5567,"type":"report","abstract":"OBJECTIVES................................................................................................................................................................ 3 Tasks .............................................................................................................................................................................. 4\nMETHODS .................................................................................................................................................................... 4 Field Operations ............................................................................................................................................................ 4 Test Fishing Index .........................................................................................................................................................5 Age, Sex and Length Composition ................................................................................................................................6 Climatological and Stream Observations ......................................................................................................................7\nRESULTS ...................................................................................................................................................................... 7 Operations...................................................................................................................................................................... 7 Abundance Indices and Run Timing .............................................................................................................................8 Chinook Salmon .......................................................................................................................................................8 Sockeye Salmon........................................................................................................................................................8 Chum Salmon ...........................................................................................................................................................9 Coho Salmon ............................................................................................................................................................9 Climatological and Stream Observations .................................................................................................................... 10 DISCUSSION.............................................................................................................................................................. 10 Abundance Index ......................................................................................................................................................... 10 Chinook Salmon ..................................................................................................................................................... 10 Sockeye Salmon...................................................................................................................................................... 11 Chum Salmon ......................................................................................................................................................... 11 Coho Salmon .......................................................................................................................................................... 11\nCONCLUSION ........................................................................................................................................................... 11 ACKNOWLEDGEMENTS......................................................................................................................................... 12 REFERENCES CITED ............................................................................................................................................... 13 TABLES AND FIGURES ........................................................................................................................................... 15 APPENDIX A: BETHEL TEST FISHERY DRIFT SCHEDUALE ........................................................................... 37 APPENDIX B: HISTORICAL CHINOOK SALMON DATA ................................................................................... 39 APPENDIX C: HISTORICAL SOCKEYE SALMON DATA ................................................................................... 43 APPENDIX D: HISTORICAL CHUM SALMON DATA ......................................................................................... 51 APPENDIX E: HISTORICAL COHO SALMON DATA .......................................................................................... 57 APPENDIX F: HISTORICAL CLIMATOLOGICAL DATA .................................................................................... 63","collection-title":"Fishery Data Series No. 16-06 Anchorage","language":"en","publisher":"Alaska Department of Fish and Game","source":"Zotero","title":"Characterization of the 2012 and 2013 salmon runs in the Kuskokwim River based on the test fishery at Bethel.","author":[{"family":"Lipka","given":"C"},{"family":"Elison","given":"T"}],"issued":{"date-parts":[["2015"]]}}}],"schema":"https://github.com/citation-style-language/schema/raw/master/csl-citation.json"} </w:instrText>
      </w:r>
      <w:r w:rsidRPr="00D57024">
        <w:rPr>
          <w:rFonts w:ascii="Garamond" w:eastAsia="Times New Roman" w:hAnsi="Garamond" w:cs="Times New Roman"/>
          <w:kern w:val="0"/>
          <w14:ligatures w14:val="none"/>
        </w:rPr>
        <w:fldChar w:fldCharType="separate"/>
      </w:r>
      <w:r w:rsidRPr="00D57024">
        <w:rPr>
          <w:rFonts w:ascii="Garamond" w:eastAsia="Times New Roman" w:hAnsi="Garamond" w:cs="Times New Roman"/>
          <w:noProof/>
          <w:kern w:val="0"/>
          <w14:ligatures w14:val="none"/>
        </w:rPr>
        <w:t>(Lipka &amp; Elison, 2015)</w:t>
      </w:r>
      <w:r w:rsidRPr="00D57024">
        <w:rPr>
          <w:rFonts w:ascii="Garamond" w:eastAsia="Times New Roman" w:hAnsi="Garamond" w:cs="Times New Roman"/>
          <w:kern w:val="0"/>
          <w14:ligatures w14:val="none"/>
        </w:rPr>
        <w:fldChar w:fldCharType="end"/>
      </w:r>
      <w:r w:rsidRPr="00D57024">
        <w:rPr>
          <w:rFonts w:ascii="Garamond" w:eastAsia="Times New Roman" w:hAnsi="Garamond" w:cs="Times New Roman"/>
          <w:kern w:val="0"/>
          <w14:ligatures w14:val="none"/>
        </w:rPr>
        <w:t>.</w:t>
      </w:r>
    </w:p>
    <w:p w14:paraId="608993D9" w14:textId="77777777" w:rsidR="00D57024" w:rsidRPr="00D57024" w:rsidRDefault="00D57024" w:rsidP="00D57024">
      <w:pPr>
        <w:ind w:left="720"/>
        <w:rPr>
          <w:rFonts w:ascii="Garamond" w:hAnsi="Garamond"/>
        </w:rPr>
      </w:pPr>
    </w:p>
    <w:p w14:paraId="2BA4E6B5" w14:textId="77777777" w:rsidR="00BF7BCB" w:rsidRDefault="007D21BA" w:rsidP="007F5F83">
      <w:r w:rsidRPr="00531BBB">
        <w:t>Line 105: Presumably 250 per year?</w:t>
      </w:r>
    </w:p>
    <w:p w14:paraId="2CD8DA3F" w14:textId="77777777" w:rsidR="00BF7BCB" w:rsidRDefault="00BF7BCB" w:rsidP="00BF7BCB">
      <w:pPr>
        <w:ind w:firstLine="720"/>
      </w:pPr>
      <w:r>
        <w:t xml:space="preserve">Yes, clarified by adding “per year” </w:t>
      </w:r>
    </w:p>
    <w:p w14:paraId="3602A249" w14:textId="77777777" w:rsidR="00BF7BCB" w:rsidRPr="00BF7BCB" w:rsidRDefault="007D21BA" w:rsidP="00BF7BCB">
      <w:pPr>
        <w:ind w:firstLine="720"/>
        <w:rPr>
          <w:b/>
          <w:bCs/>
        </w:rPr>
      </w:pPr>
      <w:r w:rsidRPr="00531BBB">
        <w:br/>
      </w:r>
      <w:r w:rsidRPr="00BF7BCB">
        <w:rPr>
          <w:b/>
          <w:bCs/>
        </w:rPr>
        <w:t>Line 127-131: This is a little unclear to me, does it mean that fish could only be assigned to river portions with uncertainty values greater than 0.0006?</w:t>
      </w:r>
    </w:p>
    <w:p w14:paraId="336BC353" w14:textId="6126A3FD" w:rsidR="00BF7BCB" w:rsidRDefault="00BF7BCB" w:rsidP="00BF7BCB">
      <w:pPr>
        <w:ind w:left="720"/>
      </w:pPr>
      <w:r>
        <w:t xml:space="preserve">No, this means that for the sites with exceedingly low </w:t>
      </w:r>
      <w:proofErr w:type="spellStart"/>
      <w:r>
        <w:t>isoscape</w:t>
      </w:r>
      <w:proofErr w:type="spellEnd"/>
      <w:r>
        <w:t xml:space="preserve"> prediction error (i.e. sites with lots of </w:t>
      </w:r>
      <w:proofErr w:type="gramStart"/>
      <w:r>
        <w:t>sampling )</w:t>
      </w:r>
      <w:proofErr w:type="gramEnd"/>
      <w:r>
        <w:t xml:space="preserve"> , we artificially increased the error value to be 0.0006. This was done because these few, exceedingly low error sites resulted in a </w:t>
      </w:r>
      <w:r>
        <w:lastRenderedPageBreak/>
        <w:t xml:space="preserve">disproportionate amount of posterior assignment value due to this low value. </w:t>
      </w:r>
      <w:r>
        <w:br/>
      </w:r>
    </w:p>
    <w:p w14:paraId="723BF245" w14:textId="77777777" w:rsidR="00BF7BCB" w:rsidRDefault="007D21BA" w:rsidP="00BF7BCB">
      <w:pPr>
        <w:ind w:firstLine="720"/>
      </w:pPr>
      <w:r w:rsidRPr="00531BBB">
        <w:br/>
        <w:t xml:space="preserve">Line 135: Analytical (presumably measurement error?) and </w:t>
      </w:r>
      <w:proofErr w:type="spellStart"/>
      <w:r w:rsidRPr="00531BBB">
        <w:t>isoscape</w:t>
      </w:r>
      <w:proofErr w:type="spellEnd"/>
      <w:r w:rsidRPr="00531BBB">
        <w:t xml:space="preserve"> prediction errors are </w:t>
      </w:r>
      <w:proofErr w:type="gramStart"/>
      <w:r w:rsidRPr="00531BBB">
        <w:t>fairly intuitive</w:t>
      </w:r>
      <w:proofErr w:type="gramEnd"/>
      <w:r w:rsidRPr="00531BBB">
        <w:t>, but what does the within-population variance estimate represent and where does it originate from? Might be helpful to add a few sentences defining each of these in the context of the Brennan et al. analysis.</w:t>
      </w:r>
    </w:p>
    <w:p w14:paraId="68D535A5" w14:textId="77777777" w:rsidR="00BF7BCB" w:rsidRDefault="007D21BA" w:rsidP="00BF7BCB">
      <w:pPr>
        <w:ind w:firstLine="720"/>
      </w:pPr>
      <w:r w:rsidRPr="00531BBB">
        <w:br/>
        <w:t>Line 157-159: elegant approach</w:t>
      </w:r>
    </w:p>
    <w:p w14:paraId="4F52EC79" w14:textId="77777777" w:rsidR="00BF7BCB" w:rsidRDefault="007D21BA" w:rsidP="00BF7BCB">
      <w:pPr>
        <w:ind w:firstLine="720"/>
      </w:pPr>
      <w:r w:rsidRPr="00531BBB">
        <w:br/>
        <w:t xml:space="preserve">Line 160: does subset refer to </w:t>
      </w:r>
      <w:proofErr w:type="spellStart"/>
      <w:r w:rsidRPr="00531BBB">
        <w:t>substocks</w:t>
      </w:r>
      <w:proofErr w:type="spellEnd"/>
      <w:r w:rsidRPr="00531BBB">
        <w:t>, temporal quartiles, sampling events, or something else?</w:t>
      </w:r>
    </w:p>
    <w:p w14:paraId="216231AA" w14:textId="77777777" w:rsidR="00BF7BCB" w:rsidRDefault="007D21BA" w:rsidP="00BF7BCB">
      <w:pPr>
        <w:ind w:firstLine="720"/>
      </w:pPr>
      <w:r w:rsidRPr="00531BBB">
        <w:br/>
        <w:t xml:space="preserve">Line 161-163: </w:t>
      </w:r>
      <w:proofErr w:type="gramStart"/>
      <w:r w:rsidRPr="00531BBB">
        <w:t>So</w:t>
      </w:r>
      <w:proofErr w:type="gramEnd"/>
      <w:r w:rsidRPr="00531BBB">
        <w:t xml:space="preserve"> this results in </w:t>
      </w:r>
      <w:proofErr w:type="gramStart"/>
      <w:r w:rsidRPr="00531BBB">
        <w:t>each individual</w:t>
      </w:r>
      <w:proofErr w:type="gramEnd"/>
      <w:r w:rsidRPr="00531BBB">
        <w:t xml:space="preserve"> being assigned to a single regional group with 100% certainty? This seems like an important assumption. Why couldn’t the entire assignment probability vector for </w:t>
      </w:r>
      <w:proofErr w:type="gramStart"/>
      <w:r w:rsidRPr="00531BBB">
        <w:t>each individual</w:t>
      </w:r>
      <w:proofErr w:type="gramEnd"/>
      <w:r w:rsidRPr="00531BBB">
        <w:t xml:space="preserve"> be incorporated into the analysis, propagating this uncertainty to summary statistics presented in Fig 3-5? If it is, it would be helpful for the authors to articulate what the result is (e.g., if the assignments in the bottom 70% highly implausible because they predict extremely variable locations or they represent a diffuse, but not substantially different distribution) and what the downstream implications are</w:t>
      </w:r>
    </w:p>
    <w:p w14:paraId="34D27CBB" w14:textId="77777777" w:rsidR="00584E8C" w:rsidRDefault="007D21BA" w:rsidP="00BF7BCB">
      <w:pPr>
        <w:ind w:firstLine="720"/>
      </w:pPr>
      <w:r w:rsidRPr="00531BBB">
        <w:br/>
        <w:t xml:space="preserve">Lines 170-186: This seems better suited to the results than the methods, but I </w:t>
      </w:r>
      <w:proofErr w:type="gramStart"/>
      <w:r w:rsidRPr="00531BBB">
        <w:t>defer to</w:t>
      </w:r>
      <w:proofErr w:type="gramEnd"/>
      <w:r w:rsidRPr="00531BBB">
        <w:t xml:space="preserve"> the authors and editorial team. It would also be beneficial to summarize how these groups cross walk to management objectives. For example, does group 1 represent “the furthest upstream region of the Kuskokwim River” or is this group 1, 2 and 3? </w:t>
      </w:r>
      <w:proofErr w:type="gramStart"/>
      <w:r w:rsidRPr="00531BBB">
        <w:t>Basically</w:t>
      </w:r>
      <w:proofErr w:type="gramEnd"/>
      <w:r w:rsidRPr="00531BBB">
        <w:t xml:space="preserve"> I’m wondering how these groups relate to upstream communities that seem to be most at-risk of compromised food security.</w:t>
      </w:r>
    </w:p>
    <w:p w14:paraId="57176507" w14:textId="77777777" w:rsidR="00584E8C" w:rsidRDefault="007D21BA" w:rsidP="00BF7BCB">
      <w:pPr>
        <w:ind w:firstLine="720"/>
      </w:pPr>
      <w:r w:rsidRPr="00531BBB">
        <w:br/>
        <w:t>Line 184-186: does this mean that there’s a risk that fish with that isotopic signature will be misassigned to lower watershed?</w:t>
      </w:r>
    </w:p>
    <w:p w14:paraId="5295F192" w14:textId="65CBD0D5" w:rsidR="007D21BA" w:rsidRDefault="007D21BA" w:rsidP="00BF7BCB">
      <w:pPr>
        <w:ind w:firstLine="720"/>
      </w:pPr>
      <w:r w:rsidRPr="00531BBB">
        <w:br/>
        <w:t>Line 194-196: Is this based on the sum of daily CPUE data or something more nuanced?</w:t>
      </w:r>
    </w:p>
    <w:p w14:paraId="01E214C7" w14:textId="77777777" w:rsidR="00584E8C" w:rsidRDefault="007D21BA" w:rsidP="007F5F83">
      <w:r w:rsidRPr="00531BBB">
        <w:lastRenderedPageBreak/>
        <w:t xml:space="preserve">Lines 216-255: In my opinion it’s tough to resolve the claim from lines 216-218 using Figure 3 due to strong differences among stocks in the proportional contribution, which minimizes contrast among the quartiles. Would it be better to </w:t>
      </w:r>
      <w:proofErr w:type="gramStart"/>
      <w:r w:rsidRPr="00531BBB">
        <w:t>facet by</w:t>
      </w:r>
      <w:proofErr w:type="gramEnd"/>
      <w:r w:rsidRPr="00531BBB">
        <w:t xml:space="preserve"> group with the x axis representing seasonal quartiles and free y axes? That would presumably better illustrate temporal trends within a stock and still be useful for the text in Lines 219-225, though these are to some extent captured by Figure 4. I think a separate figure (e.g. stacked bar chart), perhaps integrating over all quartiles, would be better for showing the relative contribution of each stock. Ultimately it may be beneficial to present multiple figures for this section of the results.</w:t>
      </w:r>
    </w:p>
    <w:p w14:paraId="173BEC48" w14:textId="77777777" w:rsidR="00584E8C" w:rsidRDefault="007D21BA" w:rsidP="007F5F83">
      <w:r w:rsidRPr="00531BBB">
        <w:br/>
      </w:r>
      <w:proofErr w:type="spellStart"/>
      <w:r w:rsidRPr="00531BBB">
        <w:t>LIne</w:t>
      </w:r>
      <w:proofErr w:type="spellEnd"/>
      <w:r w:rsidRPr="00531BBB">
        <w:t xml:space="preserve"> 230: Suggest specifying interannual variation</w:t>
      </w:r>
    </w:p>
    <w:p w14:paraId="7DFCB399" w14:textId="77777777" w:rsidR="00584E8C" w:rsidRDefault="007D21BA" w:rsidP="007F5F83">
      <w:r w:rsidRPr="00531BBB">
        <w:br/>
        <w:t xml:space="preserve">Lines 233-234: Might be worth defining parenthetically which </w:t>
      </w:r>
      <w:proofErr w:type="spellStart"/>
      <w:r w:rsidRPr="00531BBB">
        <w:t>numerics</w:t>
      </w:r>
      <w:proofErr w:type="spellEnd"/>
      <w:r w:rsidRPr="00531BBB">
        <w:t xml:space="preserve"> represent middle/lower (i.e. is it 1-5, 2-4?)</w:t>
      </w:r>
    </w:p>
    <w:p w14:paraId="552F122E" w14:textId="77777777" w:rsidR="00584E8C" w:rsidRDefault="007D21BA" w:rsidP="007F5F83">
      <w:r w:rsidRPr="00531BBB">
        <w:br/>
        <w:t xml:space="preserve">Line 239: There also seems to be much greater variability among groups 1 and 2 in their timing relative to the closure which has downstream impacts on interannual variation in the proportion of the group that is protected (Figure 5). Tough to determine based on visuals alone, but a simple calculation of the among year variation in timing (e.g. date at which 50% of the run occurs) for each group may be informative for understanding variability in migratory </w:t>
      </w:r>
      <w:proofErr w:type="spellStart"/>
      <w:r w:rsidRPr="00531BBB">
        <w:t>behaviour</w:t>
      </w:r>
      <w:proofErr w:type="spellEnd"/>
      <w:r w:rsidRPr="00531BBB">
        <w:t xml:space="preserve"> among groups.</w:t>
      </w:r>
    </w:p>
    <w:p w14:paraId="6FE0B978" w14:textId="77777777" w:rsidR="00584E8C" w:rsidRDefault="007D21BA" w:rsidP="007F5F83">
      <w:r w:rsidRPr="00531BBB">
        <w:br/>
        <w:t>Line 261: By minimum protection values I’m assuming the authors are referring to the year with the observed lowest proportion protected?</w:t>
      </w:r>
    </w:p>
    <w:p w14:paraId="6D59EC96" w14:textId="77777777" w:rsidR="00584E8C" w:rsidRDefault="007D21BA" w:rsidP="007F5F83">
      <w:r w:rsidRPr="00531BBB">
        <w:br/>
        <w:t xml:space="preserve">Line 266-268: This is a really important component of the work and I’m glad it was included. Did the authors consider inverting the x-axis </w:t>
      </w:r>
      <w:proofErr w:type="gramStart"/>
      <w:r w:rsidRPr="00531BBB">
        <w:t>on</w:t>
      </w:r>
      <w:proofErr w:type="gramEnd"/>
      <w:r w:rsidRPr="00531BBB">
        <w:t xml:space="preserve"> Figure 6? I was thinking of this in terms of more traditional trade off plots where the goal is to maximize conservation and catch outcomes simultaneously. In that case you commonly want to be in the top right panel, whereas here, because large x axis values are “bad”, you want to be in the top left. Minor point but perhaps it would be more intuitive for a fisheries audience if large values on both axes were the goal?</w:t>
      </w:r>
      <w:r w:rsidRPr="00531BBB">
        <w:br/>
      </w:r>
      <w:r w:rsidRPr="00531BBB">
        <w:br/>
        <w:t xml:space="preserve">Line 277-279: Nitpicky but this sentence refers to multiple smaller upstream watersheds </w:t>
      </w:r>
      <w:r w:rsidRPr="00531BBB">
        <w:lastRenderedPageBreak/>
        <w:t>but then uses “watershed” to also refer to the entire basin.</w:t>
      </w:r>
      <w:r w:rsidRPr="00531BBB">
        <w:br/>
        <w:t>Lines 279-281: Wording’s a little clunky.</w:t>
      </w:r>
    </w:p>
    <w:p w14:paraId="0E33BA08" w14:textId="77777777" w:rsidR="00584E8C" w:rsidRDefault="007D21BA" w:rsidP="007F5F83">
      <w:r w:rsidRPr="00531BBB">
        <w:br/>
        <w:t xml:space="preserve">Line 282: Here would be a good place to insert a paragraph describing how regional stock groupings correspond, or not, to a priori </w:t>
      </w:r>
      <w:proofErr w:type="gramStart"/>
      <w:r w:rsidRPr="00531BBB">
        <w:t>assumptions</w:t>
      </w:r>
      <w:proofErr w:type="gramEnd"/>
      <w:r w:rsidRPr="00531BBB">
        <w:t xml:space="preserve"> about stock structure, as well as summarizing any existing knowledge on ecological differences (besides migration timing) between upper/middle/lower populations. Then pivot to management implications and efficacy.</w:t>
      </w:r>
    </w:p>
    <w:p w14:paraId="1E0424B7" w14:textId="77777777" w:rsidR="00584E8C" w:rsidRDefault="007D21BA" w:rsidP="007F5F83">
      <w:r w:rsidRPr="00531BBB">
        <w:br/>
        <w:t>Line 298: Is proportional protection driven by relative abundance or variability in timing?</w:t>
      </w:r>
      <w:r w:rsidRPr="00531BBB">
        <w:br/>
      </w:r>
    </w:p>
    <w:p w14:paraId="68AED59F" w14:textId="77777777" w:rsidR="00584E8C" w:rsidRDefault="007D21BA" w:rsidP="007F5F83">
      <w:r w:rsidRPr="00531BBB">
        <w:t xml:space="preserve">Lines 303-310: The authors explicitly state that this is a function of the timing and duration of the overall migration, but I think this is where a discussion on differences in the degree of variability among regional groups could be interesting. Fundamentally it’s easier to design static closures for stocks with more consistent timing than for those with variable timing. </w:t>
      </w:r>
      <w:proofErr w:type="gramStart"/>
      <w:r w:rsidRPr="00531BBB">
        <w:t>Unfortunately</w:t>
      </w:r>
      <w:proofErr w:type="gramEnd"/>
      <w:r w:rsidRPr="00531BBB">
        <w:t xml:space="preserve"> the upper Kuskokwim populations seem to fall in the latter category.</w:t>
      </w:r>
      <w:r w:rsidRPr="00531BBB">
        <w:br/>
      </w:r>
    </w:p>
    <w:p w14:paraId="1E033E0F" w14:textId="77777777" w:rsidR="00584E8C" w:rsidRDefault="007D21BA" w:rsidP="007F5F83">
      <w:r w:rsidRPr="00531BBB">
        <w:t>Lines 307-308: Can the authors comment on how representative the study years were in times of the timing and duration of the migration? Is there evidence that migration timing is shifting with this stock? If so, could that exacerbate challenges associated with a fixed window?</w:t>
      </w:r>
      <w:r w:rsidRPr="00531BBB">
        <w:br/>
      </w:r>
    </w:p>
    <w:p w14:paraId="57EDA75E" w14:textId="62B6A411" w:rsidR="00491217" w:rsidRDefault="007D21BA" w:rsidP="00584E8C">
      <w:r w:rsidRPr="00531BBB">
        <w:t>Lines 347-348: Somewhat vague. See previous comment requesting additional detail on information on within basin dynamics.</w:t>
      </w:r>
      <w:r w:rsidRPr="00531BBB">
        <w:br/>
      </w:r>
    </w:p>
    <w:p w14:paraId="6D1EDECE" w14:textId="77777777" w:rsidR="00584E8C" w:rsidRDefault="00584E8C" w:rsidP="00584E8C"/>
    <w:p w14:paraId="12B12B0C" w14:textId="77777777" w:rsidR="00584E8C" w:rsidRDefault="00584E8C" w:rsidP="00584E8C"/>
    <w:p w14:paraId="2424F4ED" w14:textId="77777777" w:rsidR="00584E8C" w:rsidRDefault="00584E8C" w:rsidP="00584E8C"/>
    <w:p w14:paraId="5C2023BB" w14:textId="77777777" w:rsidR="00584E8C" w:rsidRDefault="00584E8C" w:rsidP="00584E8C"/>
    <w:p w14:paraId="3ACD6673" w14:textId="77777777" w:rsidR="00584E8C" w:rsidRPr="00584E8C" w:rsidRDefault="00584E8C" w:rsidP="00584E8C"/>
    <w:p w14:paraId="0ADFC782" w14:textId="77777777" w:rsidR="00491217" w:rsidRDefault="00491217" w:rsidP="00A6390C">
      <w:pPr>
        <w:pStyle w:val="Title"/>
        <w:rPr>
          <w:rFonts w:ascii="Garamond" w:hAnsi="Garamond"/>
        </w:rPr>
      </w:pPr>
    </w:p>
    <w:p w14:paraId="03C141F6" w14:textId="533A9E82" w:rsidR="00A6390C" w:rsidRDefault="00A6390C" w:rsidP="00A6390C">
      <w:pPr>
        <w:pStyle w:val="Title"/>
        <w:rPr>
          <w:rFonts w:ascii="Garamond" w:hAnsi="Garamond"/>
        </w:rPr>
      </w:pPr>
      <w:r w:rsidRPr="00A6390C">
        <w:rPr>
          <w:rFonts w:ascii="Garamond" w:hAnsi="Garamond"/>
        </w:rPr>
        <w:lastRenderedPageBreak/>
        <w:t xml:space="preserve">Reviewer </w:t>
      </w:r>
      <w:r>
        <w:rPr>
          <w:rFonts w:ascii="Garamond" w:hAnsi="Garamond"/>
        </w:rPr>
        <w:t>2</w:t>
      </w:r>
      <w:r w:rsidRPr="00A6390C">
        <w:rPr>
          <w:rFonts w:ascii="Garamond" w:hAnsi="Garamond"/>
        </w:rPr>
        <w:t xml:space="preserve">: </w:t>
      </w:r>
    </w:p>
    <w:p w14:paraId="1AF50157" w14:textId="1F542DB0" w:rsidR="00A6390C" w:rsidRDefault="00A6390C" w:rsidP="00A6390C">
      <w:r>
        <w:t xml:space="preserve">General Comments </w:t>
      </w:r>
    </w:p>
    <w:p w14:paraId="58AA414B" w14:textId="597DB26E" w:rsidR="00A6390C" w:rsidRPr="00733A9B" w:rsidRDefault="005052B4" w:rsidP="00A6390C">
      <w:pPr>
        <w:rPr>
          <w:rFonts w:ascii="Garamond" w:hAnsi="Garamond"/>
          <w:b/>
          <w:bCs/>
        </w:rPr>
      </w:pPr>
      <w:r w:rsidRPr="00733A9B">
        <w:rPr>
          <w:rFonts w:ascii="Garamond" w:hAnsi="Garamond"/>
          <w:b/>
          <w:bCs/>
        </w:rPr>
        <w:t>From the title I didn’t think “multi-year otolith isotope study”. I am also not sure “balance” is the right word and a more pointed title about the upper-watershed fish may be more appropriate.</w:t>
      </w:r>
    </w:p>
    <w:p w14:paraId="5959770B" w14:textId="041BEF7C" w:rsidR="005052B4" w:rsidRPr="00733A9B" w:rsidRDefault="005052B4" w:rsidP="00733A9B">
      <w:pPr>
        <w:ind w:left="720"/>
        <w:rPr>
          <w:rFonts w:ascii="Garamond" w:hAnsi="Garamond"/>
        </w:rPr>
      </w:pPr>
      <w:r w:rsidRPr="00733A9B">
        <w:rPr>
          <w:rFonts w:ascii="Garamond" w:hAnsi="Garamond"/>
        </w:rPr>
        <w:t xml:space="preserve">Although we agree that the title does not lead the reader to the conclusion that this is an otolith-based study, we believe that the key take home message here is assessing how the strategic closure can balance the dual goals of opportunity and stock diversity when provided with sufficient spatial resolution (achieved via the otolith chemistry). For this </w:t>
      </w:r>
      <w:proofErr w:type="gramStart"/>
      <w:r w:rsidRPr="00733A9B">
        <w:rPr>
          <w:rFonts w:ascii="Garamond" w:hAnsi="Garamond"/>
        </w:rPr>
        <w:t>reason</w:t>
      </w:r>
      <w:proofErr w:type="gramEnd"/>
      <w:r w:rsidRPr="00733A9B">
        <w:rPr>
          <w:rFonts w:ascii="Garamond" w:hAnsi="Garamond"/>
        </w:rPr>
        <w:t xml:space="preserve"> we have opted to keep the title the same. </w:t>
      </w:r>
    </w:p>
    <w:p w14:paraId="3D8A9FEC" w14:textId="77777777" w:rsidR="005052B4" w:rsidRPr="00A6390C" w:rsidRDefault="005052B4" w:rsidP="00A6390C"/>
    <w:p w14:paraId="0A8E7970" w14:textId="4176A926" w:rsidR="007F5F83" w:rsidRDefault="005052B4">
      <w:pPr>
        <w:rPr>
          <w:b/>
          <w:bCs/>
        </w:rPr>
      </w:pPr>
      <w:r w:rsidRPr="005052B4">
        <w:rPr>
          <w:b/>
          <w:bCs/>
        </w:rPr>
        <w:t>Throughout the entire manuscript text and figures change Sr87/Sr86 to 87Sr/86Sr.</w:t>
      </w:r>
    </w:p>
    <w:p w14:paraId="23FAEEFF" w14:textId="6ABCF2B7" w:rsidR="005052B4" w:rsidRDefault="005052B4">
      <w:pPr>
        <w:rPr>
          <w:b/>
          <w:bCs/>
        </w:rPr>
      </w:pPr>
      <w:r w:rsidRPr="005052B4">
        <w:rPr>
          <w:b/>
          <w:bCs/>
          <w:highlight w:val="yellow"/>
        </w:rPr>
        <w:t>** Change throughout **</w:t>
      </w:r>
      <w:r>
        <w:rPr>
          <w:b/>
          <w:bCs/>
        </w:rPr>
        <w:t xml:space="preserve"> </w:t>
      </w:r>
    </w:p>
    <w:p w14:paraId="4F4D7E03" w14:textId="77777777" w:rsidR="005052B4" w:rsidRDefault="005052B4"/>
    <w:p w14:paraId="63229207" w14:textId="77777777" w:rsidR="005052B4" w:rsidRDefault="005052B4"/>
    <w:p w14:paraId="23317A3B" w14:textId="6AE80C08" w:rsidR="005052B4" w:rsidRPr="00733A9B" w:rsidRDefault="005052B4">
      <w:pPr>
        <w:rPr>
          <w:b/>
          <w:bCs/>
        </w:rPr>
      </w:pPr>
      <w:r w:rsidRPr="00733A9B">
        <w:rPr>
          <w:b/>
          <w:bCs/>
        </w:rPr>
        <w:t xml:space="preserve">The abstract does a good job of introducing the problem and research objectives. However, without reading the rest of the paper the last two sentences don’t make a lot of sense to me. What are magnitudes of run-timing? And </w:t>
      </w:r>
      <w:proofErr w:type="gramStart"/>
      <w:r w:rsidRPr="00733A9B">
        <w:rPr>
          <w:b/>
          <w:bCs/>
        </w:rPr>
        <w:t>efficacy</w:t>
      </w:r>
      <w:proofErr w:type="gramEnd"/>
      <w:r w:rsidRPr="00733A9B">
        <w:rPr>
          <w:b/>
          <w:bCs/>
        </w:rPr>
        <w:t xml:space="preserve"> of what? (I assume the closure-dates?) Finally, how are simulated closure end dates providing greater protection (I assume </w:t>
      </w:r>
      <w:proofErr w:type="gramStart"/>
      <w:r w:rsidRPr="00733A9B">
        <w:rPr>
          <w:b/>
          <w:bCs/>
        </w:rPr>
        <w:t>its</w:t>
      </w:r>
      <w:proofErr w:type="gramEnd"/>
      <w:r w:rsidRPr="00733A9B">
        <w:rPr>
          <w:b/>
          <w:bCs/>
        </w:rPr>
        <w:t xml:space="preserve"> specific for simulated later closure end dates). I am sure this will become clear when reading the rest of the manuscript but ideally the abstract stands by itself. Maybe strategic rewording of these sentences will make this </w:t>
      </w:r>
      <w:proofErr w:type="gramStart"/>
      <w:r w:rsidRPr="00733A9B">
        <w:rPr>
          <w:b/>
          <w:bCs/>
        </w:rPr>
        <w:t>more clear</w:t>
      </w:r>
      <w:proofErr w:type="gramEnd"/>
      <w:r w:rsidRPr="00733A9B">
        <w:rPr>
          <w:b/>
          <w:bCs/>
        </w:rPr>
        <w:t>.</w:t>
      </w:r>
    </w:p>
    <w:p w14:paraId="31594003" w14:textId="77777777" w:rsidR="00733A9B" w:rsidRDefault="00733A9B"/>
    <w:p w14:paraId="43E47D48" w14:textId="47F98BBB" w:rsidR="005052B4" w:rsidRPr="00733A9B" w:rsidRDefault="005052B4" w:rsidP="00733A9B">
      <w:pPr>
        <w:ind w:firstLine="720"/>
        <w:rPr>
          <w:rFonts w:ascii="Garamond" w:hAnsi="Garamond"/>
        </w:rPr>
      </w:pPr>
      <w:r w:rsidRPr="00733A9B">
        <w:rPr>
          <w:rFonts w:ascii="Garamond" w:hAnsi="Garamond"/>
        </w:rPr>
        <w:t xml:space="preserve">To </w:t>
      </w:r>
      <w:r w:rsidR="00733A9B" w:rsidRPr="00733A9B">
        <w:rPr>
          <w:rFonts w:ascii="Garamond" w:hAnsi="Garamond"/>
        </w:rPr>
        <w:t xml:space="preserve">clarify the abstract for the reader we re-worded to read: </w:t>
      </w:r>
    </w:p>
    <w:p w14:paraId="22DF3D39" w14:textId="7FEB4058" w:rsidR="005052B4" w:rsidRDefault="00A32532" w:rsidP="00733A9B">
      <w:pPr>
        <w:ind w:left="720"/>
        <w:rPr>
          <w:rFonts w:ascii="Garamond" w:hAnsi="Garamond"/>
        </w:rPr>
      </w:pPr>
      <w:proofErr w:type="gramStart"/>
      <w:r w:rsidRPr="00733A9B">
        <w:rPr>
          <w:rFonts w:ascii="Garamond" w:hAnsi="Garamond"/>
        </w:rPr>
        <w:t xml:space="preserve">“ </w:t>
      </w:r>
      <w:r w:rsidR="00733A9B" w:rsidRPr="00733A9B">
        <w:rPr>
          <w:rFonts w:ascii="Garamond" w:hAnsi="Garamond"/>
          <w:sz w:val="22"/>
          <w:szCs w:val="22"/>
        </w:rPr>
        <w:t>A</w:t>
      </w:r>
      <w:proofErr w:type="gramEnd"/>
      <w:r w:rsidR="00733A9B" w:rsidRPr="00733A9B">
        <w:rPr>
          <w:rFonts w:ascii="Garamond" w:hAnsi="Garamond"/>
          <w:sz w:val="22"/>
          <w:szCs w:val="22"/>
        </w:rPr>
        <w:t xml:space="preserve"> longer simulated closure </w:t>
      </w:r>
      <w:r w:rsidR="00733A9B" w:rsidRPr="00733A9B">
        <w:rPr>
          <w:rFonts w:ascii="Garamond" w:hAnsi="Garamond"/>
          <w:sz w:val="22"/>
          <w:szCs w:val="22"/>
        </w:rPr>
        <w:t>provided greater protection for upper watershed stock</w:t>
      </w:r>
      <w:r w:rsidR="00733A9B" w:rsidRPr="00733A9B">
        <w:rPr>
          <w:rFonts w:ascii="Garamond" w:hAnsi="Garamond"/>
          <w:sz w:val="22"/>
          <w:szCs w:val="22"/>
        </w:rPr>
        <w:t>s but with an associated tradeoff of lost harvest opportunity. The protection afforded to upper</w:t>
      </w:r>
      <w:r w:rsidR="00733A9B" w:rsidRPr="00733A9B">
        <w:rPr>
          <w:rFonts w:ascii="Garamond" w:hAnsi="Garamond"/>
          <w:sz w:val="22"/>
          <w:szCs w:val="22"/>
        </w:rPr>
        <w:t xml:space="preserve"> watershed stocks varied substantially among years due to variable overall return migration timing, highlighting the interaction between a fixed closure strategy and dynamic ecological processes that impact </w:t>
      </w:r>
      <w:proofErr w:type="gramStart"/>
      <w:r w:rsidR="00733A9B" w:rsidRPr="00733A9B">
        <w:rPr>
          <w:rFonts w:ascii="Garamond" w:hAnsi="Garamond"/>
          <w:sz w:val="22"/>
          <w:szCs w:val="22"/>
        </w:rPr>
        <w:t>it’s</w:t>
      </w:r>
      <w:proofErr w:type="gramEnd"/>
      <w:r w:rsidR="00733A9B" w:rsidRPr="00733A9B">
        <w:rPr>
          <w:rFonts w:ascii="Garamond" w:hAnsi="Garamond"/>
          <w:sz w:val="22"/>
          <w:szCs w:val="22"/>
        </w:rPr>
        <w:t xml:space="preserve"> overall efficacy.</w:t>
      </w:r>
      <w:r w:rsidR="00733A9B" w:rsidRPr="00733A9B">
        <w:rPr>
          <w:rFonts w:ascii="Garamond" w:hAnsi="Garamond"/>
        </w:rPr>
        <w:t xml:space="preserve">” </w:t>
      </w:r>
    </w:p>
    <w:p w14:paraId="6847D43C" w14:textId="77777777" w:rsidR="00733A9B" w:rsidRDefault="00733A9B" w:rsidP="00733A9B">
      <w:pPr>
        <w:rPr>
          <w:rFonts w:ascii="Garamond" w:hAnsi="Garamond"/>
        </w:rPr>
      </w:pPr>
    </w:p>
    <w:p w14:paraId="47C79846" w14:textId="4F29836E" w:rsidR="00733A9B" w:rsidRPr="00733A9B" w:rsidRDefault="00733A9B" w:rsidP="00733A9B">
      <w:pPr>
        <w:rPr>
          <w:rFonts w:ascii="Garamond" w:hAnsi="Garamond"/>
          <w:b/>
          <w:bCs/>
        </w:rPr>
      </w:pPr>
      <w:r w:rsidRPr="00733A9B">
        <w:rPr>
          <w:rFonts w:ascii="Garamond" w:hAnsi="Garamond"/>
          <w:b/>
          <w:bCs/>
        </w:rPr>
        <w:lastRenderedPageBreak/>
        <w:t xml:space="preserve">Most CJFAS readers are likely familiar with the importance of the </w:t>
      </w:r>
      <w:proofErr w:type="gramStart"/>
      <w:r w:rsidRPr="00733A9B">
        <w:rPr>
          <w:rFonts w:ascii="Garamond" w:hAnsi="Garamond"/>
          <w:b/>
          <w:bCs/>
        </w:rPr>
        <w:t>Kuskokwim river</w:t>
      </w:r>
      <w:proofErr w:type="gramEnd"/>
      <w:r w:rsidRPr="00733A9B">
        <w:rPr>
          <w:rFonts w:ascii="Garamond" w:hAnsi="Garamond"/>
          <w:b/>
          <w:bCs/>
        </w:rPr>
        <w:t xml:space="preserve"> but for international readers it would be beneficial to add a qualifier like “major Pacific salmon producing river” or “</w:t>
      </w:r>
      <w:proofErr w:type="gramStart"/>
      <w:r w:rsidRPr="00733A9B">
        <w:rPr>
          <w:rFonts w:ascii="Garamond" w:hAnsi="Garamond"/>
          <w:b/>
          <w:bCs/>
        </w:rPr>
        <w:t>a  large</w:t>
      </w:r>
      <w:proofErr w:type="gramEnd"/>
      <w:r w:rsidRPr="00733A9B">
        <w:rPr>
          <w:rFonts w:ascii="Garamond" w:hAnsi="Garamond"/>
          <w:b/>
          <w:bCs/>
        </w:rPr>
        <w:t xml:space="preserve"> and remote Chinook salmon watershed” or something similar.</w:t>
      </w:r>
    </w:p>
    <w:p w14:paraId="086EFF69" w14:textId="67FF9780" w:rsidR="00733A9B" w:rsidRDefault="00733A9B" w:rsidP="00733A9B">
      <w:pPr>
        <w:ind w:left="720"/>
        <w:rPr>
          <w:rFonts w:ascii="Garamond" w:hAnsi="Garamond"/>
        </w:rPr>
      </w:pPr>
      <w:r w:rsidRPr="00733A9B">
        <w:rPr>
          <w:rFonts w:ascii="Garamond" w:hAnsi="Garamond"/>
        </w:rPr>
        <w:t xml:space="preserve">We added a clearer introduction of the Kuskokwim as a salmon producing river in western Alaska. </w:t>
      </w:r>
    </w:p>
    <w:p w14:paraId="65632E51" w14:textId="77777777" w:rsidR="00733A9B" w:rsidRDefault="00733A9B" w:rsidP="00733A9B">
      <w:pPr>
        <w:rPr>
          <w:rFonts w:ascii="Garamond" w:hAnsi="Garamond"/>
        </w:rPr>
      </w:pPr>
    </w:p>
    <w:p w14:paraId="77288623" w14:textId="68AEEE44" w:rsidR="00733A9B" w:rsidRPr="00733A9B" w:rsidRDefault="00733A9B" w:rsidP="00733A9B">
      <w:pPr>
        <w:rPr>
          <w:b/>
          <w:bCs/>
        </w:rPr>
      </w:pPr>
      <w:r w:rsidRPr="00733A9B">
        <w:rPr>
          <w:b/>
          <w:bCs/>
        </w:rPr>
        <w:t xml:space="preserve">Line 47-49 “However, the timing, yield, and duration of downstream fisheries are the result of the aggregate dynamics of these upstream components (Nesbitt &amp; Moore, 2016).” I am not sure I fully understand what </w:t>
      </w:r>
      <w:proofErr w:type="gramStart"/>
      <w:r w:rsidRPr="00733A9B">
        <w:rPr>
          <w:b/>
          <w:bCs/>
        </w:rPr>
        <w:t>is</w:t>
      </w:r>
      <w:proofErr w:type="gramEnd"/>
      <w:r w:rsidRPr="00733A9B">
        <w:rPr>
          <w:b/>
          <w:bCs/>
        </w:rPr>
        <w:t xml:space="preserve"> </w:t>
      </w:r>
      <w:proofErr w:type="gramStart"/>
      <w:r w:rsidRPr="00733A9B">
        <w:rPr>
          <w:b/>
          <w:bCs/>
        </w:rPr>
        <w:t>meant</w:t>
      </w:r>
      <w:proofErr w:type="gramEnd"/>
      <w:r w:rsidRPr="00733A9B">
        <w:rPr>
          <w:b/>
          <w:bCs/>
        </w:rPr>
        <w:t xml:space="preserve"> here. </w:t>
      </w:r>
      <w:proofErr w:type="gramStart"/>
      <w:r w:rsidRPr="00733A9B">
        <w:rPr>
          <w:b/>
          <w:bCs/>
        </w:rPr>
        <w:t>So</w:t>
      </w:r>
      <w:proofErr w:type="gramEnd"/>
      <w:r w:rsidRPr="00733A9B">
        <w:rPr>
          <w:b/>
          <w:bCs/>
        </w:rPr>
        <w:t xml:space="preserve"> the duration and yield of downstream fisheries are impacted by the dynamics of the salmon in the upper watersheds?</w:t>
      </w:r>
    </w:p>
    <w:p w14:paraId="617E69E1" w14:textId="77777777" w:rsidR="00733A9B" w:rsidRDefault="00733A9B" w:rsidP="00733A9B"/>
    <w:p w14:paraId="1C86EFDC" w14:textId="4D472ECB" w:rsidR="00733A9B" w:rsidRDefault="00733A9B" w:rsidP="00733A9B">
      <w:pPr>
        <w:ind w:left="720"/>
      </w:pPr>
      <w:r>
        <w:t>Yes, the duration and yield of the downstream fishery is a direct result of the dynamics of salmon in the upper watershed. Because the sub-populations that make up the watershed are characterized by variable run timing/abundance/</w:t>
      </w:r>
      <w:proofErr w:type="gramStart"/>
      <w:r>
        <w:t>etc. ,</w:t>
      </w:r>
      <w:proofErr w:type="gramEnd"/>
      <w:r>
        <w:t xml:space="preserve"> what is observed in the downstream fishery is the aggregate of these patterns among stocks. For example, several upper watershed stocks with variable and non-overlapping run timing would extend the duration of the available harvest time for downstream fisheries as demonstrated in Nesbitt and Moore, 2016.  </w:t>
      </w:r>
    </w:p>
    <w:p w14:paraId="717480BC" w14:textId="77777777" w:rsidR="00733A9B" w:rsidRDefault="00733A9B" w:rsidP="00733A9B"/>
    <w:p w14:paraId="28512D64" w14:textId="2AA1491F" w:rsidR="00733A9B" w:rsidRDefault="00974EB1" w:rsidP="00733A9B">
      <w:pPr>
        <w:rPr>
          <w:b/>
          <w:bCs/>
        </w:rPr>
      </w:pPr>
      <w:r w:rsidRPr="00974EB1">
        <w:rPr>
          <w:b/>
          <w:bCs/>
        </w:rPr>
        <w:t>Line 54. “western” should be “Western”.</w:t>
      </w:r>
    </w:p>
    <w:p w14:paraId="52161DA6" w14:textId="768EC7FE" w:rsidR="00974EB1" w:rsidRDefault="00974EB1" w:rsidP="00733A9B">
      <w:r>
        <w:tab/>
        <w:t xml:space="preserve">Corrected error. </w:t>
      </w:r>
    </w:p>
    <w:p w14:paraId="09DA6005" w14:textId="77777777" w:rsidR="00974EB1" w:rsidRDefault="00974EB1" w:rsidP="00733A9B"/>
    <w:p w14:paraId="786EF20D" w14:textId="44833B5A" w:rsidR="00974EB1" w:rsidRDefault="00974EB1" w:rsidP="00733A9B">
      <w:pPr>
        <w:rPr>
          <w:b/>
          <w:bCs/>
        </w:rPr>
      </w:pPr>
      <w:r w:rsidRPr="00974EB1">
        <w:rPr>
          <w:b/>
          <w:bCs/>
        </w:rPr>
        <w:t xml:space="preserve">Line 77. If available add a reference for the local/tribal knowledge. </w:t>
      </w:r>
      <w:proofErr w:type="spellStart"/>
      <w:proofErr w:type="gramStart"/>
      <w:r w:rsidRPr="00974EB1">
        <w:rPr>
          <w:b/>
          <w:bCs/>
        </w:rPr>
        <w:t>Its</w:t>
      </w:r>
      <w:proofErr w:type="spellEnd"/>
      <w:proofErr w:type="gramEnd"/>
      <w:r w:rsidRPr="00974EB1">
        <w:rPr>
          <w:b/>
          <w:bCs/>
        </w:rPr>
        <w:t xml:space="preserve"> interesting that this front-end closure mimics some of the traditional management practices along the Pacific where early migrating fish were allowed to pass before salmon fishing started. Might be worth exploring that here further with 1-2 sentences.</w:t>
      </w:r>
    </w:p>
    <w:p w14:paraId="2DE2DB53" w14:textId="051CFF85" w:rsidR="00974EB1" w:rsidRDefault="00974EB1" w:rsidP="00974EB1">
      <w:pPr>
        <w:ind w:firstLine="720"/>
      </w:pPr>
      <w:r w:rsidRPr="00974EB1">
        <w:t xml:space="preserve">** Ask Janessa** </w:t>
      </w:r>
    </w:p>
    <w:p w14:paraId="3B649B0F" w14:textId="77777777" w:rsidR="00974EB1" w:rsidRDefault="00974EB1" w:rsidP="00974EB1"/>
    <w:p w14:paraId="3ADEEEBF" w14:textId="1579DB73" w:rsidR="00974EB1" w:rsidRDefault="00974EB1" w:rsidP="00974EB1">
      <w:pPr>
        <w:rPr>
          <w:b/>
          <w:bCs/>
        </w:rPr>
      </w:pPr>
      <w:r w:rsidRPr="00974EB1">
        <w:rPr>
          <w:b/>
          <w:bCs/>
        </w:rPr>
        <w:t>Line 106. This should be a supplement table with year, CPUE, and available and selected samples. How were samples within a year subsampled?</w:t>
      </w:r>
    </w:p>
    <w:p w14:paraId="1B5AD1AC" w14:textId="1A88E402" w:rsidR="00974EB1" w:rsidRDefault="00974EB1" w:rsidP="00974EB1">
      <w:pPr>
        <w:ind w:left="720"/>
      </w:pPr>
      <w:r w:rsidRPr="00974EB1">
        <w:rPr>
          <w:highlight w:val="yellow"/>
        </w:rPr>
        <w:lastRenderedPageBreak/>
        <w:t>** WE don’t have available vs sampled, but we do the other information, make a table**</w:t>
      </w:r>
      <w:r>
        <w:t xml:space="preserve"> </w:t>
      </w:r>
    </w:p>
    <w:p w14:paraId="47ACF5B8" w14:textId="77777777" w:rsidR="00974EB1" w:rsidRDefault="00974EB1" w:rsidP="00974EB1"/>
    <w:p w14:paraId="3A21748B" w14:textId="265DF688" w:rsidR="00974EB1" w:rsidRPr="00974EB1" w:rsidRDefault="00974EB1" w:rsidP="00974EB1">
      <w:pPr>
        <w:rPr>
          <w:b/>
          <w:bCs/>
        </w:rPr>
      </w:pPr>
      <w:r w:rsidRPr="00974EB1">
        <w:rPr>
          <w:b/>
          <w:bCs/>
        </w:rPr>
        <w:t>Line 111. Provide a supplement table with the laser and MC-ICP-MS parameters (gas flows, types of cones used) and any data reduction steps and reference materials run. I agree that level of detail doesn’t need to be in the main text here but is required to evaluate the quality of the data.</w:t>
      </w:r>
    </w:p>
    <w:p w14:paraId="0918E139" w14:textId="6E24BAF7" w:rsidR="00974EB1" w:rsidRDefault="00974EB1" w:rsidP="00974EB1">
      <w:r>
        <w:tab/>
        <w:t xml:space="preserve">** Add supplemental from Diego** </w:t>
      </w:r>
    </w:p>
    <w:p w14:paraId="4335AEC4" w14:textId="77777777" w:rsidR="00974EB1" w:rsidRDefault="00974EB1" w:rsidP="00974EB1"/>
    <w:p w14:paraId="5DA4D83A" w14:textId="77777777" w:rsidR="00DF1FA4" w:rsidRDefault="00DF1FA4" w:rsidP="00DF1FA4">
      <w:r w:rsidRPr="00531BBB">
        <w:br/>
        <w:t>Line 115. I don’t think Capo et al is the correct reference here</w:t>
      </w:r>
    </w:p>
    <w:p w14:paraId="136A166D" w14:textId="77777777" w:rsidR="00DF1FA4" w:rsidRDefault="00DF1FA4" w:rsidP="00DF1FA4">
      <w:r>
        <w:tab/>
        <w:t xml:space="preserve">** Find more appropriate citations or remove Capo ** </w:t>
      </w:r>
    </w:p>
    <w:p w14:paraId="6AF2D687" w14:textId="77777777" w:rsidR="00DF1FA4" w:rsidRDefault="00DF1FA4" w:rsidP="00DF1FA4"/>
    <w:p w14:paraId="6FA1DDA8" w14:textId="77777777" w:rsidR="00DF1FA4" w:rsidRPr="00DF1FA4" w:rsidRDefault="00DF1FA4" w:rsidP="00DF1FA4">
      <w:pPr>
        <w:rPr>
          <w:b/>
          <w:bCs/>
        </w:rPr>
      </w:pPr>
      <w:r w:rsidRPr="00DF1FA4">
        <w:rPr>
          <w:b/>
          <w:bCs/>
        </w:rPr>
        <w:t>Line 119. Since this step directly affects how fish are being assigned it would be beneficial to report at what distance from the core and for what length the natal region was defined. Maybe just some ranges in () in the text or another supplement table with min, max, range, etc. The use of Sr88 needs to be explained (as a proxy of Sr concentration)</w:t>
      </w:r>
    </w:p>
    <w:p w14:paraId="7015CFAF" w14:textId="77777777" w:rsidR="00DF1FA4" w:rsidRDefault="00DF1FA4" w:rsidP="00DF1FA4">
      <w:pPr>
        <w:ind w:firstLine="720"/>
      </w:pPr>
      <w:r>
        <w:t xml:space="preserve">** Add range of </w:t>
      </w:r>
      <w:proofErr w:type="spellStart"/>
      <w:r>
        <w:t>Chittaro</w:t>
      </w:r>
      <w:proofErr w:type="spellEnd"/>
      <w:r>
        <w:t xml:space="preserve"> et al * </w:t>
      </w:r>
    </w:p>
    <w:p w14:paraId="64E8B60D" w14:textId="77777777" w:rsidR="00DF1FA4" w:rsidRDefault="00DF1FA4" w:rsidP="00DF1FA4">
      <w:pPr>
        <w:ind w:left="720"/>
      </w:pPr>
      <w:r>
        <w:t xml:space="preserve">Added a brief description of how Sr88 was used as a proxy for Sr concentration to indicate full depletion of the maternal signature. </w:t>
      </w:r>
    </w:p>
    <w:p w14:paraId="0C4387A5" w14:textId="77777777" w:rsidR="00DF1FA4" w:rsidRDefault="00DF1FA4" w:rsidP="00DF1FA4"/>
    <w:p w14:paraId="30F8E2A6" w14:textId="008061D5" w:rsidR="00DF1FA4" w:rsidRDefault="00DF1FA4" w:rsidP="00DF1FA4">
      <w:r w:rsidRPr="00531BBB">
        <w:br/>
      </w:r>
      <w:r w:rsidR="001A7F85" w:rsidRPr="00531BBB">
        <w:t>Line 129. Is that histogram shown somewhere?</w:t>
      </w:r>
    </w:p>
    <w:p w14:paraId="66E0947E" w14:textId="11A4E972" w:rsidR="001A7F85" w:rsidRDefault="001A7F85" w:rsidP="00DF1FA4">
      <w:r>
        <w:tab/>
        <w:t xml:space="preserve">Add histogram (better yet, boxplot) </w:t>
      </w:r>
    </w:p>
    <w:p w14:paraId="519B1C39" w14:textId="77777777" w:rsidR="001A7F85" w:rsidRDefault="001A7F85" w:rsidP="00DF1FA4"/>
    <w:p w14:paraId="1C86F641" w14:textId="164854F6" w:rsidR="001A7F85" w:rsidRPr="001A7F85" w:rsidRDefault="001A7F85" w:rsidP="00DF1FA4">
      <w:pPr>
        <w:rPr>
          <w:b/>
          <w:bCs/>
        </w:rPr>
      </w:pPr>
      <w:r w:rsidRPr="001A7F85">
        <w:rPr>
          <w:b/>
          <w:bCs/>
        </w:rPr>
        <w:t xml:space="preserve">Line 163-169. </w:t>
      </w:r>
      <w:proofErr w:type="gramStart"/>
      <w:r w:rsidRPr="001A7F85">
        <w:rPr>
          <w:b/>
          <w:bCs/>
        </w:rPr>
        <w:t>So</w:t>
      </w:r>
      <w:proofErr w:type="gramEnd"/>
      <w:r w:rsidRPr="001A7F85">
        <w:rPr>
          <w:b/>
          <w:bCs/>
        </w:rPr>
        <w:t xml:space="preserve"> </w:t>
      </w:r>
      <w:proofErr w:type="gramStart"/>
      <w:r w:rsidRPr="001A7F85">
        <w:rPr>
          <w:b/>
          <w:bCs/>
        </w:rPr>
        <w:t>is</w:t>
      </w:r>
      <w:proofErr w:type="gramEnd"/>
      <w:r w:rsidRPr="001A7F85">
        <w:rPr>
          <w:b/>
          <w:bCs/>
        </w:rPr>
        <w:t xml:space="preserve"> </w:t>
      </w:r>
      <w:proofErr w:type="gramStart"/>
      <w:r w:rsidRPr="001A7F85">
        <w:rPr>
          <w:b/>
          <w:bCs/>
        </w:rPr>
        <w:t>it</w:t>
      </w:r>
      <w:proofErr w:type="gramEnd"/>
      <w:r w:rsidRPr="001A7F85">
        <w:rPr>
          <w:b/>
          <w:bCs/>
        </w:rPr>
        <w:t xml:space="preserve"> quartiles or </w:t>
      </w:r>
      <w:proofErr w:type="gramStart"/>
      <w:r w:rsidRPr="001A7F85">
        <w:rPr>
          <w:b/>
          <w:bCs/>
        </w:rPr>
        <w:t>is</w:t>
      </w:r>
      <w:proofErr w:type="gramEnd"/>
      <w:r w:rsidRPr="001A7F85">
        <w:rPr>
          <w:b/>
          <w:bCs/>
        </w:rPr>
        <w:t xml:space="preserve"> </w:t>
      </w:r>
      <w:proofErr w:type="gramStart"/>
      <w:r w:rsidRPr="001A7F85">
        <w:rPr>
          <w:b/>
          <w:bCs/>
        </w:rPr>
        <w:t>it</w:t>
      </w:r>
      <w:proofErr w:type="gramEnd"/>
      <w:r w:rsidRPr="001A7F85">
        <w:rPr>
          <w:b/>
          <w:bCs/>
        </w:rPr>
        <w:t xml:space="preserve"> predefined ranges? I assume start and end of run vary among years?</w:t>
      </w:r>
    </w:p>
    <w:p w14:paraId="19E0BB40" w14:textId="54BB6DE6" w:rsidR="001A7F85" w:rsidRDefault="001A7F85" w:rsidP="001A7F85">
      <w:pPr>
        <w:ind w:left="720"/>
      </w:pPr>
      <w:r>
        <w:t xml:space="preserve">These are predefined ranges that are meant to represent a close representation of even quartiles through the run among all years. The start and end </w:t>
      </w:r>
      <w:proofErr w:type="gramStart"/>
      <w:r>
        <w:t>date</w:t>
      </w:r>
      <w:proofErr w:type="gramEnd"/>
      <w:r>
        <w:t xml:space="preserve"> do vary, so </w:t>
      </w:r>
      <w:r>
        <w:lastRenderedPageBreak/>
        <w:t xml:space="preserve">they are not even. We mention this later in the </w:t>
      </w:r>
      <w:proofErr w:type="gramStart"/>
      <w:r>
        <w:t>manuscript</w:t>
      </w:r>
      <w:proofErr w:type="gramEnd"/>
      <w:r>
        <w:t xml:space="preserve"> but we added brief language in this section to clarify this point. </w:t>
      </w:r>
    </w:p>
    <w:p w14:paraId="2910F50C" w14:textId="4BF6C39E" w:rsidR="001A7F85" w:rsidRDefault="001A7F85" w:rsidP="001A7F85">
      <w:pPr>
        <w:ind w:left="720"/>
      </w:pPr>
      <w:proofErr w:type="gramStart"/>
      <w:r>
        <w:t xml:space="preserve">“ </w:t>
      </w:r>
      <w:r>
        <w:rPr>
          <w:rFonts w:ascii="Garamond" w:hAnsi="Garamond" w:cs="Times New Roman"/>
        </w:rPr>
        <w:t>These</w:t>
      </w:r>
      <w:proofErr w:type="gramEnd"/>
      <w:r>
        <w:rPr>
          <w:rFonts w:ascii="Garamond" w:hAnsi="Garamond" w:cs="Times New Roman"/>
        </w:rPr>
        <w:t xml:space="preserve"> dates were chosen to roughly split the full run evenly into equal </w:t>
      </w:r>
      <w:proofErr w:type="spellStart"/>
      <w:r>
        <w:rPr>
          <w:rFonts w:ascii="Garamond" w:hAnsi="Garamond" w:cs="Times New Roman"/>
        </w:rPr>
        <w:t>quartileswhile</w:t>
      </w:r>
      <w:proofErr w:type="spellEnd"/>
      <w:r>
        <w:rPr>
          <w:rFonts w:ascii="Garamond" w:hAnsi="Garamond" w:cs="Times New Roman"/>
        </w:rPr>
        <w:t xml:space="preserve"> allowing for direct comparison among years. However, because the start and end date of the return migration varied among years, the duration of Q1 and Q4 varied.</w:t>
      </w:r>
      <w:r>
        <w:rPr>
          <w:rFonts w:ascii="Garamond" w:hAnsi="Garamond" w:cs="Times New Roman"/>
        </w:rPr>
        <w:t>”</w:t>
      </w:r>
    </w:p>
    <w:p w14:paraId="76BEA76F" w14:textId="77777777" w:rsidR="00974EB1" w:rsidRDefault="00974EB1" w:rsidP="00974EB1">
      <w:pPr>
        <w:rPr>
          <w:rFonts w:ascii="Garamond" w:hAnsi="Garamond"/>
        </w:rPr>
      </w:pPr>
    </w:p>
    <w:p w14:paraId="139E060F" w14:textId="305B1C35" w:rsidR="00EB0B96" w:rsidRPr="00FB7854" w:rsidRDefault="00EB0B96" w:rsidP="00974EB1">
      <w:pPr>
        <w:rPr>
          <w:rFonts w:ascii="Garamond" w:hAnsi="Garamond"/>
          <w:b/>
          <w:bCs/>
        </w:rPr>
      </w:pPr>
      <w:r w:rsidRPr="00FB7854">
        <w:rPr>
          <w:rFonts w:ascii="Garamond" w:hAnsi="Garamond"/>
          <w:b/>
          <w:bCs/>
        </w:rPr>
        <w:t>Line 170. What do you mean by “identified”?</w:t>
      </w:r>
    </w:p>
    <w:p w14:paraId="5C3F04CD" w14:textId="60CF366F" w:rsidR="00FB7854" w:rsidRPr="00FB7854" w:rsidRDefault="00FB7854" w:rsidP="00FB7854">
      <w:pPr>
        <w:ind w:left="720"/>
        <w:rPr>
          <w:rFonts w:ascii="Garamond" w:hAnsi="Garamond"/>
        </w:rPr>
      </w:pPr>
      <w:r w:rsidRPr="00FB7854">
        <w:rPr>
          <w:rFonts w:ascii="Garamond" w:hAnsi="Garamond"/>
        </w:rPr>
        <w:t xml:space="preserve">These tributaries were identified as relevant to management based on a combination of expert knowledge and conversation with regional collaborators. I </w:t>
      </w:r>
      <w:proofErr w:type="gramStart"/>
      <w:r w:rsidRPr="00FB7854">
        <w:rPr>
          <w:rFonts w:ascii="Garamond" w:hAnsi="Garamond"/>
        </w:rPr>
        <w:t>added to</w:t>
      </w:r>
      <w:proofErr w:type="gramEnd"/>
      <w:r w:rsidRPr="00FB7854">
        <w:rPr>
          <w:rFonts w:ascii="Garamond" w:hAnsi="Garamond"/>
        </w:rPr>
        <w:t xml:space="preserve"> this sentence to clarify this point </w:t>
      </w:r>
    </w:p>
    <w:p w14:paraId="3FEF0C9A" w14:textId="2F235684" w:rsidR="00FB7854" w:rsidRDefault="00FB7854" w:rsidP="00FB7854">
      <w:pPr>
        <w:ind w:left="720"/>
        <w:rPr>
          <w:rFonts w:ascii="Garamond" w:hAnsi="Garamond"/>
        </w:rPr>
      </w:pPr>
      <w:proofErr w:type="gramStart"/>
      <w:r w:rsidRPr="00FB7854">
        <w:rPr>
          <w:rFonts w:ascii="Garamond" w:hAnsi="Garamond"/>
        </w:rPr>
        <w:t xml:space="preserve">“ </w:t>
      </w:r>
      <w:r w:rsidRPr="00FB7854">
        <w:rPr>
          <w:rFonts w:ascii="Garamond" w:hAnsi="Garamond" w:cs="Times New Roman"/>
        </w:rPr>
        <w:t>Several</w:t>
      </w:r>
      <w:proofErr w:type="gramEnd"/>
      <w:r w:rsidRPr="00FB7854">
        <w:rPr>
          <w:rFonts w:ascii="Garamond" w:hAnsi="Garamond" w:cs="Times New Roman"/>
        </w:rPr>
        <w:t xml:space="preserve"> major tributaries were identified as focal management areas or important Chinook salmon-producing systems within the Kuskokwim River basin based on expert knowledge and consultation with regional collaborators.</w:t>
      </w:r>
      <w:r w:rsidRPr="00FB7854">
        <w:rPr>
          <w:rFonts w:ascii="Garamond" w:hAnsi="Garamond" w:cs="Times New Roman"/>
        </w:rPr>
        <w:t xml:space="preserve">” </w:t>
      </w:r>
      <w:r w:rsidRPr="00FB7854">
        <w:rPr>
          <w:rFonts w:ascii="Garamond" w:hAnsi="Garamond"/>
        </w:rPr>
        <w:t xml:space="preserve"> </w:t>
      </w:r>
    </w:p>
    <w:p w14:paraId="530C7BE9" w14:textId="77777777" w:rsidR="000C6C3C" w:rsidRDefault="000C6C3C" w:rsidP="000C6C3C">
      <w:pPr>
        <w:rPr>
          <w:rFonts w:ascii="Garamond" w:hAnsi="Garamond"/>
        </w:rPr>
      </w:pPr>
    </w:p>
    <w:p w14:paraId="666DF57D" w14:textId="77777777" w:rsidR="00073931" w:rsidRDefault="000C6C3C" w:rsidP="000C6C3C">
      <w:r w:rsidRPr="000C6C3C">
        <w:t xml:space="preserve">Line 178. </w:t>
      </w:r>
      <w:proofErr w:type="gramStart"/>
      <w:r w:rsidRPr="000C6C3C">
        <w:t>So</w:t>
      </w:r>
      <w:proofErr w:type="gramEnd"/>
      <w:r w:rsidRPr="000C6C3C">
        <w:t xml:space="preserve"> you tested 2-6 and then chose 6. Did you check if higher numbers of k would have produced better silhouette results?</w:t>
      </w:r>
    </w:p>
    <w:p w14:paraId="0CF4CF21" w14:textId="51F6D0EA" w:rsidR="00073931" w:rsidRDefault="00073931" w:rsidP="000C6C3C">
      <w:r>
        <w:rPr>
          <w:rFonts w:ascii="Garamond" w:hAnsi="Garamond" w:cs="Times New Roman"/>
        </w:rPr>
        <w:t>We briefly assessed a more refined clustering (higher k</w:t>
      </w:r>
      <w:proofErr w:type="gramStart"/>
      <w:r>
        <w:rPr>
          <w:rFonts w:ascii="Garamond" w:hAnsi="Garamond" w:cs="Times New Roman"/>
        </w:rPr>
        <w:t>), but</w:t>
      </w:r>
      <w:proofErr w:type="gramEnd"/>
      <w:r>
        <w:rPr>
          <w:rFonts w:ascii="Garamond" w:hAnsi="Garamond" w:cs="Times New Roman"/>
        </w:rPr>
        <w:t xml:space="preserve"> saw a notable increase in the amount of overlap among groups in the histogram/boxplot distribution of isotope values per cluster as well as a decrease in the silhouette score &gt;6.</w:t>
      </w:r>
    </w:p>
    <w:p w14:paraId="6A56D028" w14:textId="77777777" w:rsidR="00073931" w:rsidRDefault="00073931" w:rsidP="000C6C3C"/>
    <w:p w14:paraId="4349EC6D" w14:textId="26BAE102" w:rsidR="000C6C3C" w:rsidRPr="00235B19" w:rsidRDefault="000C6C3C" w:rsidP="000C6C3C">
      <w:pPr>
        <w:rPr>
          <w:rFonts w:ascii="Garamond" w:hAnsi="Garamond"/>
          <w:b/>
          <w:bCs/>
        </w:rPr>
      </w:pPr>
      <w:r w:rsidRPr="000C6C3C">
        <w:t xml:space="preserve"> </w:t>
      </w:r>
      <w:r w:rsidRPr="00235B19">
        <w:rPr>
          <w:rFonts w:ascii="Garamond" w:hAnsi="Garamond"/>
          <w:b/>
          <w:bCs/>
        </w:rPr>
        <w:t xml:space="preserve">The clustering approach seems a bit at odds with the Bayesian assignment carried out before (and a bit awkward since you then </w:t>
      </w:r>
      <w:proofErr w:type="gramStart"/>
      <w:r w:rsidRPr="00235B19">
        <w:rPr>
          <w:rFonts w:ascii="Garamond" w:hAnsi="Garamond"/>
          <w:b/>
          <w:bCs/>
        </w:rPr>
        <w:t>have to</w:t>
      </w:r>
      <w:proofErr w:type="gramEnd"/>
      <w:r w:rsidRPr="00235B19">
        <w:rPr>
          <w:rFonts w:ascii="Garamond" w:hAnsi="Garamond"/>
          <w:b/>
          <w:bCs/>
        </w:rPr>
        <w:t xml:space="preserve"> manually move one of the tributaries at which </w:t>
      </w:r>
      <w:proofErr w:type="gramStart"/>
      <w:r w:rsidRPr="00235B19">
        <w:rPr>
          <w:rFonts w:ascii="Garamond" w:hAnsi="Garamond"/>
          <w:b/>
          <w:bCs/>
        </w:rPr>
        <w:t>point</w:t>
      </w:r>
      <w:proofErr w:type="gramEnd"/>
      <w:r w:rsidRPr="00235B19">
        <w:rPr>
          <w:rFonts w:ascii="Garamond" w:hAnsi="Garamond"/>
          <w:b/>
          <w:bCs/>
        </w:rPr>
        <w:t xml:space="preserve"> why not just make groups based on your expert knowledge). How closely do these clusters align with management units or other groupings people commonly </w:t>
      </w:r>
      <w:proofErr w:type="spellStart"/>
      <w:r w:rsidRPr="00235B19">
        <w:rPr>
          <w:rFonts w:ascii="Garamond" w:hAnsi="Garamond"/>
          <w:b/>
          <w:bCs/>
        </w:rPr>
        <w:t>use</w:t>
      </w:r>
      <w:proofErr w:type="spellEnd"/>
      <w:r w:rsidRPr="00235B19">
        <w:rPr>
          <w:rFonts w:ascii="Garamond" w:hAnsi="Garamond"/>
          <w:b/>
          <w:bCs/>
        </w:rPr>
        <w:t xml:space="preserve"> for this watershed? If k means clustering is really the best </w:t>
      </w:r>
      <w:proofErr w:type="gramStart"/>
      <w:r w:rsidRPr="00235B19">
        <w:rPr>
          <w:rFonts w:ascii="Garamond" w:hAnsi="Garamond"/>
          <w:b/>
          <w:bCs/>
        </w:rPr>
        <w:t>approach</w:t>
      </w:r>
      <w:proofErr w:type="gramEnd"/>
      <w:r w:rsidRPr="00235B19">
        <w:rPr>
          <w:rFonts w:ascii="Garamond" w:hAnsi="Garamond"/>
          <w:b/>
          <w:bCs/>
        </w:rPr>
        <w:t xml:space="preserve"> explain that a bit more here in the methods (why not just use the tributary level for your analysis or if grouping is needed maybe tree-based approaches can separate out groups more consistently).</w:t>
      </w:r>
    </w:p>
    <w:p w14:paraId="3140AB37" w14:textId="30BE77AD" w:rsidR="000C6C3C" w:rsidRDefault="000C6C3C" w:rsidP="000C6C3C">
      <w:pPr>
        <w:rPr>
          <w:rFonts w:ascii="Garamond" w:hAnsi="Garamond" w:cs="Times New Roman"/>
        </w:rPr>
      </w:pPr>
    </w:p>
    <w:p w14:paraId="106E37B9" w14:textId="2AE313A6" w:rsidR="00073931" w:rsidRDefault="00235B19" w:rsidP="00235B19">
      <w:pPr>
        <w:ind w:left="720"/>
        <w:rPr>
          <w:rFonts w:ascii="Garamond" w:hAnsi="Garamond" w:cs="Times New Roman"/>
        </w:rPr>
      </w:pPr>
      <w:r w:rsidRPr="00235B19">
        <w:rPr>
          <w:rFonts w:ascii="Garamond" w:hAnsi="Garamond" w:cs="Times New Roman"/>
        </w:rPr>
        <w:t xml:space="preserve">The purpose of the clustering is to identify which of the tributaries and regions previously flagged as relevant in the basin can be reliably distinguished using isotope values. Relying on tributary-level assignments alone would instead force comparisons among tributaries that cannot </w:t>
      </w:r>
      <w:proofErr w:type="gramStart"/>
      <w:r w:rsidRPr="00235B19">
        <w:rPr>
          <w:rFonts w:ascii="Garamond" w:hAnsi="Garamond" w:cs="Times New Roman"/>
        </w:rPr>
        <w:t>actually be</w:t>
      </w:r>
      <w:proofErr w:type="gramEnd"/>
      <w:r w:rsidRPr="00235B19">
        <w:rPr>
          <w:rFonts w:ascii="Garamond" w:hAnsi="Garamond" w:cs="Times New Roman"/>
        </w:rPr>
        <w:t xml:space="preserve"> told apart. Because we retained only the</w:t>
      </w:r>
      <w:r>
        <w:rPr>
          <w:rFonts w:ascii="Garamond" w:hAnsi="Garamond" w:cs="Times New Roman"/>
        </w:rPr>
        <w:t xml:space="preserve"> highest posterior values, we believe this method </w:t>
      </w:r>
      <w:r w:rsidRPr="00235B19">
        <w:rPr>
          <w:rFonts w:ascii="Garamond" w:hAnsi="Garamond" w:cs="Times New Roman"/>
        </w:rPr>
        <w:t>leverage</w:t>
      </w:r>
      <w:r>
        <w:rPr>
          <w:rFonts w:ascii="Garamond" w:hAnsi="Garamond" w:cs="Times New Roman"/>
        </w:rPr>
        <w:t>d</w:t>
      </w:r>
      <w:r w:rsidRPr="00235B19">
        <w:rPr>
          <w:rFonts w:ascii="Garamond" w:hAnsi="Garamond" w:cs="Times New Roman"/>
        </w:rPr>
        <w:t xml:space="preserve"> the probabilistic Bayesian assignment</w:t>
      </w:r>
      <w:r>
        <w:rPr>
          <w:rFonts w:ascii="Garamond" w:hAnsi="Garamond" w:cs="Times New Roman"/>
        </w:rPr>
        <w:t xml:space="preserve"> for the initial assignment </w:t>
      </w:r>
      <w:r w:rsidRPr="00235B19">
        <w:rPr>
          <w:rFonts w:ascii="Garamond" w:hAnsi="Garamond" w:cs="Times New Roman"/>
        </w:rPr>
        <w:t xml:space="preserve"> while restricting </w:t>
      </w:r>
      <w:r>
        <w:rPr>
          <w:rFonts w:ascii="Garamond" w:hAnsi="Garamond" w:cs="Times New Roman"/>
        </w:rPr>
        <w:t xml:space="preserve">results </w:t>
      </w:r>
      <w:r w:rsidRPr="00235B19">
        <w:rPr>
          <w:rFonts w:ascii="Garamond" w:hAnsi="Garamond" w:cs="Times New Roman"/>
        </w:rPr>
        <w:t xml:space="preserve">comparisons to groups that can actually be </w:t>
      </w:r>
      <w:proofErr w:type="spellStart"/>
      <w:r w:rsidRPr="00235B19">
        <w:rPr>
          <w:rFonts w:ascii="Garamond" w:hAnsi="Garamond" w:cs="Times New Roman"/>
        </w:rPr>
        <w:t>distinguished.Clustering</w:t>
      </w:r>
      <w:proofErr w:type="spellEnd"/>
      <w:r w:rsidRPr="00235B19">
        <w:rPr>
          <w:rFonts w:ascii="Garamond" w:hAnsi="Garamond" w:cs="Times New Roman"/>
        </w:rPr>
        <w:t xml:space="preserve"> </w:t>
      </w:r>
      <w:r w:rsidRPr="00235B19">
        <w:rPr>
          <w:rFonts w:ascii="Garamond" w:hAnsi="Garamond" w:cs="Times New Roman"/>
        </w:rPr>
        <w:lastRenderedPageBreak/>
        <w:t>these pre-defined tributaries, rather than applying unsupervised clustering across all tributaries in the basin, comes at the cost of some overlap among groups, but it allows the results to be interpreted within management-relevant spatial extents. We believe this approach is appropriate for identifying meaningful groups, though we did not attempt a tree-based method.</w:t>
      </w:r>
    </w:p>
    <w:p w14:paraId="6B3BFE04" w14:textId="77777777" w:rsidR="004A310F" w:rsidRDefault="004A310F" w:rsidP="000C6C3C">
      <w:pPr>
        <w:rPr>
          <w:rFonts w:ascii="Garamond" w:hAnsi="Garamond" w:cs="Times New Roman"/>
        </w:rPr>
      </w:pPr>
    </w:p>
    <w:p w14:paraId="121F96C2" w14:textId="60E73E55" w:rsidR="00891F16" w:rsidRPr="00891F16" w:rsidRDefault="00891F16" w:rsidP="000C6C3C">
      <w:pPr>
        <w:rPr>
          <w:rFonts w:ascii="Garamond" w:hAnsi="Garamond" w:cs="Times New Roman"/>
          <w:b/>
          <w:bCs/>
        </w:rPr>
      </w:pPr>
      <w:r w:rsidRPr="00891F16">
        <w:rPr>
          <w:rFonts w:ascii="Garamond" w:hAnsi="Garamond"/>
          <w:b/>
          <w:bCs/>
        </w:rPr>
        <w:t>Line 206-209. Why are the simulated time frames constrained to a shift of only a few days.</w:t>
      </w:r>
      <w:r w:rsidRPr="00891F16">
        <w:rPr>
          <w:rFonts w:ascii="Garamond" w:hAnsi="Garamond"/>
          <w:b/>
          <w:bCs/>
        </w:rPr>
        <w:br/>
      </w:r>
    </w:p>
    <w:p w14:paraId="22E3D099" w14:textId="4BE48893" w:rsidR="00891F16" w:rsidRDefault="00891F16" w:rsidP="00891F16">
      <w:pPr>
        <w:ind w:left="720"/>
        <w:rPr>
          <w:rFonts w:ascii="Garamond" w:hAnsi="Garamond" w:cs="Times New Roman"/>
        </w:rPr>
      </w:pPr>
      <w:r>
        <w:rPr>
          <w:rFonts w:ascii="Garamond" w:hAnsi="Garamond" w:cs="Times New Roman"/>
        </w:rPr>
        <w:t xml:space="preserve">Given the short total return migration timing, a shift in the closure end date by only a few days represents a significant change to the closure duration, and a six-day closure extension would be extremely significant.  We chose these values to represent relatively realistic scenarios to simulate. </w:t>
      </w:r>
    </w:p>
    <w:p w14:paraId="62055CC7" w14:textId="647599E0" w:rsidR="000C6C3C" w:rsidRDefault="004A310F" w:rsidP="000C6C3C">
      <w:pPr>
        <w:rPr>
          <w:rFonts w:ascii="Garamond" w:hAnsi="Garamond" w:cs="Times New Roman"/>
        </w:rPr>
      </w:pPr>
      <w:r>
        <w:rPr>
          <w:rFonts w:ascii="Garamond" w:hAnsi="Garamond" w:cs="Times New Roman"/>
        </w:rPr>
        <w:t xml:space="preserve"> </w:t>
      </w:r>
    </w:p>
    <w:p w14:paraId="466872A6" w14:textId="30031289" w:rsidR="00CF167E" w:rsidRPr="00727743" w:rsidRDefault="00CF167E" w:rsidP="000C6C3C">
      <w:pPr>
        <w:rPr>
          <w:rFonts w:ascii="Garamond" w:hAnsi="Garamond"/>
          <w:b/>
          <w:bCs/>
        </w:rPr>
      </w:pPr>
      <w:r w:rsidRPr="00727743">
        <w:rPr>
          <w:rFonts w:ascii="Garamond" w:hAnsi="Garamond"/>
          <w:b/>
          <w:bCs/>
        </w:rPr>
        <w:t xml:space="preserve">Line 216-218. This shift in seasonal contribution from upstream to downstream is very hard to see given how Fig. 3 is organized. Have you tried what this looks like when </w:t>
      </w:r>
      <w:proofErr w:type="gramStart"/>
      <w:r w:rsidRPr="00727743">
        <w:rPr>
          <w:rFonts w:ascii="Garamond" w:hAnsi="Garamond"/>
          <w:b/>
          <w:bCs/>
        </w:rPr>
        <w:t>facetted</w:t>
      </w:r>
      <w:proofErr w:type="gramEnd"/>
      <w:r w:rsidRPr="00727743">
        <w:rPr>
          <w:rFonts w:ascii="Garamond" w:hAnsi="Garamond"/>
          <w:b/>
          <w:bCs/>
        </w:rPr>
        <w:t xml:space="preserve"> by group and with Quantile as x axis and % contribution as y?</w:t>
      </w:r>
    </w:p>
    <w:p w14:paraId="425B8156" w14:textId="6DC54D20" w:rsidR="00CF167E" w:rsidRDefault="00CF167E" w:rsidP="000C6C3C">
      <w:r w:rsidRPr="00727743">
        <w:rPr>
          <w:highlight w:val="yellow"/>
        </w:rPr>
        <w:t>** Re do the figure this way **</w:t>
      </w:r>
      <w:r>
        <w:t xml:space="preserve"> </w:t>
      </w:r>
    </w:p>
    <w:p w14:paraId="3325A843" w14:textId="77777777" w:rsidR="00345F9C" w:rsidRDefault="00345F9C" w:rsidP="000C6C3C"/>
    <w:p w14:paraId="23712DEE" w14:textId="47FBD848" w:rsidR="00345F9C" w:rsidRPr="00345F9C" w:rsidRDefault="00345F9C" w:rsidP="000C6C3C">
      <w:pPr>
        <w:rPr>
          <w:rFonts w:ascii="Garamond" w:hAnsi="Garamond"/>
          <w:b/>
          <w:bCs/>
        </w:rPr>
      </w:pPr>
      <w:r w:rsidRPr="00345F9C">
        <w:rPr>
          <w:rFonts w:ascii="Garamond" w:hAnsi="Garamond"/>
          <w:b/>
          <w:bCs/>
        </w:rPr>
        <w:t>Since this is a study about return timing and spatial patterns within a large watershed the discussion could have been broader and incorporated findings from other Chinook salmon watersheds (e.g. Central Valley where lots of otolith work about tributary specific use of runs has been carried out).</w:t>
      </w:r>
    </w:p>
    <w:p w14:paraId="59F4C5C3" w14:textId="4B8ACEEF" w:rsidR="00345F9C" w:rsidRDefault="00345F9C" w:rsidP="000C6C3C">
      <w:r w:rsidRPr="00345F9C">
        <w:t xml:space="preserve"> </w:t>
      </w:r>
      <w:r w:rsidRPr="00345F9C">
        <w:rPr>
          <w:highlight w:val="yellow"/>
        </w:rPr>
        <w:t>** Add a mention of other cases**</w:t>
      </w:r>
      <w:r w:rsidRPr="00345F9C">
        <w:t xml:space="preserve"> </w:t>
      </w:r>
    </w:p>
    <w:p w14:paraId="063793A7" w14:textId="77777777" w:rsidR="00345F9C" w:rsidRDefault="00345F9C" w:rsidP="000C6C3C"/>
    <w:p w14:paraId="2766FBCC" w14:textId="34D68359" w:rsidR="00345F9C" w:rsidRDefault="00345F9C" w:rsidP="000C6C3C">
      <w:r w:rsidRPr="00531BBB">
        <w:t xml:space="preserve">The tradeoff between protection and harvest is well illustrated but could be expanded further by exploring the effects of protecting species across multiple years. </w:t>
      </w:r>
      <w:proofErr w:type="gramStart"/>
      <w:r w:rsidRPr="00531BBB">
        <w:t>So</w:t>
      </w:r>
      <w:proofErr w:type="gramEnd"/>
      <w:r w:rsidRPr="00531BBB">
        <w:t xml:space="preserve"> by increasing protection in yr1 how much more harvest could be expected in the next return year (3 years later?). Over what time frame do </w:t>
      </w:r>
      <w:proofErr w:type="gramStart"/>
      <w:r w:rsidRPr="00531BBB">
        <w:t>these local harvest</w:t>
      </w:r>
      <w:proofErr w:type="gramEnd"/>
      <w:r w:rsidRPr="00531BBB">
        <w:t xml:space="preserve"> fisheries operate (could they </w:t>
      </w:r>
      <w:proofErr w:type="gramStart"/>
      <w:r w:rsidRPr="00531BBB">
        <w:t>compensate</w:t>
      </w:r>
      <w:proofErr w:type="gramEnd"/>
      <w:r w:rsidRPr="00531BBB">
        <w:t xml:space="preserve"> reduced harvest in a year with potentially higher harvest several years later). Lots of assumptions and beyond the scope of the study but it would be interesting to have a few sentences here that show that the tradeoff between protection and harvest doesn’t need to be so clear cut.</w:t>
      </w:r>
    </w:p>
    <w:p w14:paraId="0884D627" w14:textId="7BB46F6F" w:rsidR="00345F9C" w:rsidRDefault="00345F9C" w:rsidP="00345F9C">
      <w:r w:rsidRPr="00345F9C">
        <w:rPr>
          <w:highlight w:val="yellow"/>
        </w:rPr>
        <w:t xml:space="preserve">** This assessment is likely much more complicated and not quantifiable using </w:t>
      </w:r>
      <w:proofErr w:type="gramStart"/>
      <w:r w:rsidRPr="00345F9C">
        <w:rPr>
          <w:highlight w:val="yellow"/>
        </w:rPr>
        <w:t>these</w:t>
      </w:r>
      <w:proofErr w:type="gramEnd"/>
      <w:r w:rsidRPr="00345F9C">
        <w:rPr>
          <w:highlight w:val="yellow"/>
        </w:rPr>
        <w:t xml:space="preserve"> data.**</w:t>
      </w:r>
    </w:p>
    <w:p w14:paraId="1C88472A" w14:textId="77777777" w:rsidR="00345F9C" w:rsidRDefault="00345F9C" w:rsidP="00345F9C"/>
    <w:p w14:paraId="3F00050A" w14:textId="7ECE1F3B" w:rsidR="00345F9C" w:rsidRDefault="00345F9C" w:rsidP="00345F9C">
      <w:pPr>
        <w:rPr>
          <w:rFonts w:ascii="Garamond" w:hAnsi="Garamond"/>
          <w:b/>
          <w:bCs/>
        </w:rPr>
      </w:pPr>
      <w:r w:rsidRPr="00345F9C">
        <w:rPr>
          <w:rFonts w:ascii="Garamond" w:hAnsi="Garamond"/>
          <w:b/>
          <w:bCs/>
        </w:rPr>
        <w:t xml:space="preserve">Line 301-303. </w:t>
      </w:r>
      <w:proofErr w:type="gramStart"/>
      <w:r w:rsidRPr="00345F9C">
        <w:rPr>
          <w:rFonts w:ascii="Garamond" w:hAnsi="Garamond"/>
          <w:b/>
          <w:bCs/>
        </w:rPr>
        <w:t>Yes</w:t>
      </w:r>
      <w:proofErr w:type="gramEnd"/>
      <w:r w:rsidRPr="00345F9C">
        <w:rPr>
          <w:rFonts w:ascii="Garamond" w:hAnsi="Garamond"/>
          <w:b/>
          <w:bCs/>
        </w:rPr>
        <w:t xml:space="preserve"> I was wondering about this the entire time reading the manuscript. Given the run timing changes each year why is a fixed calendar cut-off used? I am assuming because it can </w:t>
      </w:r>
      <w:proofErr w:type="gramStart"/>
      <w:r w:rsidRPr="00345F9C">
        <w:rPr>
          <w:rFonts w:ascii="Garamond" w:hAnsi="Garamond"/>
          <w:b/>
          <w:bCs/>
        </w:rPr>
        <w:t>actually be</w:t>
      </w:r>
      <w:proofErr w:type="gramEnd"/>
      <w:r w:rsidRPr="00345F9C">
        <w:rPr>
          <w:rFonts w:ascii="Garamond" w:hAnsi="Garamond"/>
          <w:b/>
          <w:bCs/>
        </w:rPr>
        <w:t xml:space="preserve"> implemented and provides some type of certainty for the harvest fisheries. Any other reasons why a </w:t>
      </w:r>
      <w:proofErr w:type="gramStart"/>
      <w:r w:rsidRPr="00345F9C">
        <w:rPr>
          <w:rFonts w:ascii="Garamond" w:hAnsi="Garamond"/>
          <w:b/>
          <w:bCs/>
        </w:rPr>
        <w:t>fixed-cutoff</w:t>
      </w:r>
      <w:proofErr w:type="gramEnd"/>
      <w:r w:rsidRPr="00345F9C">
        <w:rPr>
          <w:rFonts w:ascii="Garamond" w:hAnsi="Garamond"/>
          <w:b/>
          <w:bCs/>
        </w:rPr>
        <w:t xml:space="preserve"> would be beneficial? Or in other </w:t>
      </w:r>
      <w:proofErr w:type="gramStart"/>
      <w:r w:rsidRPr="00345F9C">
        <w:rPr>
          <w:rFonts w:ascii="Garamond" w:hAnsi="Garamond"/>
          <w:b/>
          <w:bCs/>
        </w:rPr>
        <w:t>words</w:t>
      </w:r>
      <w:proofErr w:type="gramEnd"/>
      <w:r w:rsidRPr="00345F9C">
        <w:rPr>
          <w:rFonts w:ascii="Garamond" w:hAnsi="Garamond"/>
          <w:b/>
          <w:bCs/>
        </w:rPr>
        <w:t xml:space="preserve"> given how difficult a dynamic cut-off window might </w:t>
      </w:r>
      <w:proofErr w:type="gramStart"/>
      <w:r w:rsidRPr="00345F9C">
        <w:rPr>
          <w:rFonts w:ascii="Garamond" w:hAnsi="Garamond"/>
          <w:b/>
          <w:bCs/>
        </w:rPr>
        <w:t>be</w:t>
      </w:r>
      <w:proofErr w:type="gramEnd"/>
      <w:r w:rsidRPr="00345F9C">
        <w:rPr>
          <w:rFonts w:ascii="Garamond" w:hAnsi="Garamond"/>
          <w:b/>
          <w:bCs/>
        </w:rPr>
        <w:t xml:space="preserve"> what type of increased protection would warrant going down that road?</w:t>
      </w:r>
    </w:p>
    <w:p w14:paraId="015369E1" w14:textId="40853E5F" w:rsidR="00EB3BCD" w:rsidRPr="00491217" w:rsidRDefault="00EB3BCD" w:rsidP="00345F9C">
      <w:pPr>
        <w:rPr>
          <w:rFonts w:ascii="Garamond" w:hAnsi="Garamond"/>
        </w:rPr>
      </w:pPr>
      <w:r w:rsidRPr="00491217">
        <w:rPr>
          <w:rFonts w:ascii="Garamond" w:hAnsi="Garamond"/>
        </w:rPr>
        <w:t xml:space="preserve">** Add description of why a fixed-date management is used** </w:t>
      </w:r>
    </w:p>
    <w:p w14:paraId="43A16E78" w14:textId="77777777" w:rsidR="00EB3BCD" w:rsidRDefault="00EB3BCD" w:rsidP="00345F9C">
      <w:pPr>
        <w:rPr>
          <w:rFonts w:ascii="Garamond" w:hAnsi="Garamond"/>
          <w:b/>
          <w:bCs/>
        </w:rPr>
      </w:pPr>
    </w:p>
    <w:p w14:paraId="637F6C03" w14:textId="4CE87B3F" w:rsidR="00EB3BCD" w:rsidRPr="00491217" w:rsidRDefault="00EB3BCD" w:rsidP="00345F9C">
      <w:pPr>
        <w:rPr>
          <w:rFonts w:ascii="Garamond" w:hAnsi="Garamond"/>
          <w:b/>
          <w:bCs/>
        </w:rPr>
      </w:pPr>
      <w:r w:rsidRPr="00491217">
        <w:rPr>
          <w:rFonts w:ascii="Garamond" w:hAnsi="Garamond"/>
          <w:b/>
          <w:bCs/>
        </w:rPr>
        <w:t xml:space="preserve">Figure 3. Add more descriptive headings and text directly to the figure (so A-D are Quantiles and you can even give the date </w:t>
      </w:r>
      <w:proofErr w:type="gramStart"/>
      <w:r w:rsidRPr="00491217">
        <w:rPr>
          <w:rFonts w:ascii="Garamond" w:hAnsi="Garamond"/>
          <w:b/>
          <w:bCs/>
        </w:rPr>
        <w:t>ranges</w:t>
      </w:r>
      <w:proofErr w:type="gramEnd"/>
      <w:r w:rsidRPr="00491217">
        <w:rPr>
          <w:rFonts w:ascii="Garamond" w:hAnsi="Garamond"/>
          <w:b/>
          <w:bCs/>
        </w:rPr>
        <w:t xml:space="preserve">). Group1-Group6 </w:t>
      </w:r>
      <w:proofErr w:type="gramStart"/>
      <w:r w:rsidRPr="00491217">
        <w:rPr>
          <w:rFonts w:ascii="Garamond" w:hAnsi="Garamond"/>
          <w:b/>
          <w:bCs/>
        </w:rPr>
        <w:t>goes</w:t>
      </w:r>
      <w:proofErr w:type="gramEnd"/>
      <w:r w:rsidRPr="00491217">
        <w:rPr>
          <w:rFonts w:ascii="Garamond" w:hAnsi="Garamond"/>
          <w:b/>
          <w:bCs/>
        </w:rPr>
        <w:t xml:space="preserve"> upstream to downstream. Add sample n and add maybe light grey datapoints.</w:t>
      </w:r>
    </w:p>
    <w:p w14:paraId="042F1891" w14:textId="77777777" w:rsidR="00EB3BCD" w:rsidRDefault="00EB3BCD" w:rsidP="00345F9C"/>
    <w:p w14:paraId="0713896F" w14:textId="0F2B5A45" w:rsidR="00EB3BCD" w:rsidRPr="00345F9C" w:rsidRDefault="00EB3BCD" w:rsidP="00345F9C">
      <w:pPr>
        <w:rPr>
          <w:rFonts w:ascii="Garamond" w:hAnsi="Garamond" w:cs="Times New Roman"/>
          <w:b/>
          <w:bCs/>
        </w:rPr>
      </w:pPr>
      <w:r>
        <w:t xml:space="preserve">** Re do figure 3 as previously suggested. Add </w:t>
      </w:r>
      <w:proofErr w:type="gramStart"/>
      <w:r>
        <w:t>n?</w:t>
      </w:r>
      <w:r w:rsidR="00615537">
        <w:t>,</w:t>
      </w:r>
      <w:proofErr w:type="gramEnd"/>
      <w:r w:rsidR="00615537">
        <w:t xml:space="preserve"> Change order of Group 1-6 in Figure 4. </w:t>
      </w:r>
    </w:p>
    <w:sectPr w:rsidR="00EB3BCD" w:rsidRPr="00345F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93CA8"/>
    <w:multiLevelType w:val="hybridMultilevel"/>
    <w:tmpl w:val="069A989C"/>
    <w:lvl w:ilvl="0" w:tplc="9788A2F4">
      <w:start w:val="18"/>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C682C0D"/>
    <w:multiLevelType w:val="hybridMultilevel"/>
    <w:tmpl w:val="DF30F96E"/>
    <w:lvl w:ilvl="0" w:tplc="70F01618">
      <w:start w:val="1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E904E2"/>
    <w:multiLevelType w:val="hybridMultilevel"/>
    <w:tmpl w:val="2B7A510A"/>
    <w:lvl w:ilvl="0" w:tplc="6644A34C">
      <w:start w:val="3"/>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9981F7C"/>
    <w:multiLevelType w:val="hybridMultilevel"/>
    <w:tmpl w:val="DA3E3ACE"/>
    <w:lvl w:ilvl="0" w:tplc="FA8C6A7E">
      <w:start w:val="3"/>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39870649">
    <w:abstractNumId w:val="0"/>
  </w:num>
  <w:num w:numId="2" w16cid:durableId="1828788233">
    <w:abstractNumId w:val="1"/>
  </w:num>
  <w:num w:numId="3" w16cid:durableId="1127509125">
    <w:abstractNumId w:val="3"/>
  </w:num>
  <w:num w:numId="4" w16cid:durableId="11665544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126"/>
    <w:rsid w:val="00073931"/>
    <w:rsid w:val="000C6C3C"/>
    <w:rsid w:val="000C72EC"/>
    <w:rsid w:val="000E59B0"/>
    <w:rsid w:val="001267A1"/>
    <w:rsid w:val="00163126"/>
    <w:rsid w:val="001A7F85"/>
    <w:rsid w:val="001B29D5"/>
    <w:rsid w:val="00235B19"/>
    <w:rsid w:val="002E2582"/>
    <w:rsid w:val="00345F9C"/>
    <w:rsid w:val="003C353E"/>
    <w:rsid w:val="00437304"/>
    <w:rsid w:val="00446B65"/>
    <w:rsid w:val="00491217"/>
    <w:rsid w:val="004959F1"/>
    <w:rsid w:val="004A310F"/>
    <w:rsid w:val="004B2F94"/>
    <w:rsid w:val="005052B4"/>
    <w:rsid w:val="00584E8C"/>
    <w:rsid w:val="00615537"/>
    <w:rsid w:val="00727743"/>
    <w:rsid w:val="00733A9B"/>
    <w:rsid w:val="00754A39"/>
    <w:rsid w:val="007D21BA"/>
    <w:rsid w:val="007F5F83"/>
    <w:rsid w:val="00891F16"/>
    <w:rsid w:val="00974EB1"/>
    <w:rsid w:val="00A32532"/>
    <w:rsid w:val="00A6390C"/>
    <w:rsid w:val="00B974E8"/>
    <w:rsid w:val="00BF7BCB"/>
    <w:rsid w:val="00CF167E"/>
    <w:rsid w:val="00CF720A"/>
    <w:rsid w:val="00D57024"/>
    <w:rsid w:val="00DD7012"/>
    <w:rsid w:val="00DF1FA4"/>
    <w:rsid w:val="00EB0B96"/>
    <w:rsid w:val="00EB3BCD"/>
    <w:rsid w:val="00FB78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C2732"/>
  <w15:chartTrackingRefBased/>
  <w15:docId w15:val="{CA3D5EBC-D7D0-4C67-8193-CA4802544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1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31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1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1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1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1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1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1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1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1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31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1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1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1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1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1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1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126"/>
    <w:rPr>
      <w:rFonts w:eastAsiaTheme="majorEastAsia" w:cstheme="majorBidi"/>
      <w:color w:val="272727" w:themeColor="text1" w:themeTint="D8"/>
    </w:rPr>
  </w:style>
  <w:style w:type="paragraph" w:styleId="Title">
    <w:name w:val="Title"/>
    <w:basedOn w:val="Normal"/>
    <w:next w:val="Normal"/>
    <w:link w:val="TitleChar"/>
    <w:uiPriority w:val="10"/>
    <w:qFormat/>
    <w:rsid w:val="00163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1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1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1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126"/>
    <w:pPr>
      <w:spacing w:before="160"/>
      <w:jc w:val="center"/>
    </w:pPr>
    <w:rPr>
      <w:i/>
      <w:iCs/>
      <w:color w:val="404040" w:themeColor="text1" w:themeTint="BF"/>
    </w:rPr>
  </w:style>
  <w:style w:type="character" w:customStyle="1" w:styleId="QuoteChar">
    <w:name w:val="Quote Char"/>
    <w:basedOn w:val="DefaultParagraphFont"/>
    <w:link w:val="Quote"/>
    <w:uiPriority w:val="29"/>
    <w:rsid w:val="00163126"/>
    <w:rPr>
      <w:i/>
      <w:iCs/>
      <w:color w:val="404040" w:themeColor="text1" w:themeTint="BF"/>
    </w:rPr>
  </w:style>
  <w:style w:type="paragraph" w:styleId="ListParagraph">
    <w:name w:val="List Paragraph"/>
    <w:basedOn w:val="Normal"/>
    <w:uiPriority w:val="34"/>
    <w:qFormat/>
    <w:rsid w:val="00163126"/>
    <w:pPr>
      <w:ind w:left="720"/>
      <w:contextualSpacing/>
    </w:pPr>
  </w:style>
  <w:style w:type="character" w:styleId="IntenseEmphasis">
    <w:name w:val="Intense Emphasis"/>
    <w:basedOn w:val="DefaultParagraphFont"/>
    <w:uiPriority w:val="21"/>
    <w:qFormat/>
    <w:rsid w:val="00163126"/>
    <w:rPr>
      <w:i/>
      <w:iCs/>
      <w:color w:val="0F4761" w:themeColor="accent1" w:themeShade="BF"/>
    </w:rPr>
  </w:style>
  <w:style w:type="paragraph" w:styleId="IntenseQuote">
    <w:name w:val="Intense Quote"/>
    <w:basedOn w:val="Normal"/>
    <w:next w:val="Normal"/>
    <w:link w:val="IntenseQuoteChar"/>
    <w:uiPriority w:val="30"/>
    <w:qFormat/>
    <w:rsid w:val="001631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126"/>
    <w:rPr>
      <w:i/>
      <w:iCs/>
      <w:color w:val="0F4761" w:themeColor="accent1" w:themeShade="BF"/>
    </w:rPr>
  </w:style>
  <w:style w:type="character" w:styleId="IntenseReference">
    <w:name w:val="Intense Reference"/>
    <w:basedOn w:val="DefaultParagraphFont"/>
    <w:uiPriority w:val="32"/>
    <w:qFormat/>
    <w:rsid w:val="00163126"/>
    <w:rPr>
      <w:b/>
      <w:bCs/>
      <w:smallCaps/>
      <w:color w:val="0F4761" w:themeColor="accent1" w:themeShade="BF"/>
      <w:spacing w:val="5"/>
    </w:rPr>
  </w:style>
  <w:style w:type="paragraph" w:styleId="NormalWeb">
    <w:name w:val="Normal (Web)"/>
    <w:basedOn w:val="Normal"/>
    <w:uiPriority w:val="99"/>
    <w:semiHidden/>
    <w:unhideWhenUsed/>
    <w:rsid w:val="00D5702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TotalTime>
  <Pages>14</Pages>
  <Words>6071</Words>
  <Characters>34607</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Benjamin J. Makhlouf</cp:lastModifiedBy>
  <cp:revision>12</cp:revision>
  <dcterms:created xsi:type="dcterms:W3CDTF">2026-06-18T21:05:00Z</dcterms:created>
  <dcterms:modified xsi:type="dcterms:W3CDTF">2026-06-19T23:46:00Z</dcterms:modified>
</cp:coreProperties>
</file>