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7FA5AB9" w14:textId="2D73DAD1" w:rsidR="00135204" w:rsidRPr="00135204" w:rsidRDefault="001442DF" w:rsidP="00135204">
      <w:r>
        <w:rPr>
          <w:noProof/>
        </w:rPr>
        <mc:AlternateContent>
          <mc:Choice Requires="wps">
            <w:drawing>
              <wp:anchor distT="0" distB="0" distL="114300" distR="114300" simplePos="0" relativeHeight="251659264" behindDoc="0" locked="0" layoutInCell="1" allowOverlap="1" wp14:anchorId="509E4809" wp14:editId="714EEF09">
                <wp:simplePos x="0" y="0"/>
                <wp:positionH relativeFrom="column">
                  <wp:posOffset>447675</wp:posOffset>
                </wp:positionH>
                <wp:positionV relativeFrom="paragraph">
                  <wp:posOffset>7467600</wp:posOffset>
                </wp:positionV>
                <wp:extent cx="5019675" cy="942975"/>
                <wp:effectExtent l="0" t="0" r="0" b="0"/>
                <wp:wrapNone/>
                <wp:docPr id="361143531" name="Text Box 1"/>
                <wp:cNvGraphicFramePr/>
                <a:graphic xmlns:a="http://schemas.openxmlformats.org/drawingml/2006/main">
                  <a:graphicData uri="http://schemas.microsoft.com/office/word/2010/wordprocessingShape">
                    <wps:wsp>
                      <wps:cNvSpPr txBox="1"/>
                      <wps:spPr>
                        <a:xfrm>
                          <a:off x="0" y="0"/>
                          <a:ext cx="5019675" cy="942975"/>
                        </a:xfrm>
                        <a:prstGeom prst="rect">
                          <a:avLst/>
                        </a:prstGeom>
                        <a:solidFill>
                          <a:schemeClr val="lt1"/>
                        </a:solidFill>
                        <a:ln w="6350">
                          <a:noFill/>
                        </a:ln>
                      </wps:spPr>
                      <wps:txbx>
                        <w:txbxContent>
                          <w:p w14:paraId="21A4BEB5" w14:textId="297F11F7" w:rsidR="001442DF" w:rsidRDefault="001442DF">
                            <w:r>
                              <w:t xml:space="preserve">Supp. Fig. </w:t>
                            </w:r>
                            <w:proofErr w:type="gramStart"/>
                            <w:r>
                              <w:t>1 :</w:t>
                            </w:r>
                            <w:proofErr w:type="gramEnd"/>
                            <w:r>
                              <w:t xml:space="preserve"> Histogram of selected otolith samples retained for each DOY (Grey bars) compared to the relative CPUE throughout the season, calculated at the proportion of daily CPUE at each day.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509E4809" id="_x0000_t202" coordsize="21600,21600" o:spt="202" path="m,l,21600r21600,l21600,xe">
                <v:stroke joinstyle="miter"/>
                <v:path gradientshapeok="t" o:connecttype="rect"/>
              </v:shapetype>
              <v:shape id="Text Box 1" o:spid="_x0000_s1026" type="#_x0000_t202" style="position:absolute;margin-left:35.25pt;margin-top:588pt;width:395.25pt;height:74.2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" fillcolor="white [3201]" stroked="f" strokeweight=".5pt">
                <v:textbox>
                  <w:txbxContent>
                    <w:p w14:paraId="21A4BEB5" w14:textId="297F11F7" w:rsidR="001442DF" w:rsidRDefault="001442DF">
                      <w:r>
                        <w:t xml:space="preserve">Supp. Fig. </w:t>
                      </w:r>
                      <w:proofErr w:type="gramStart"/>
                      <w:r>
                        <w:t>1 :</w:t>
                      </w:r>
                      <w:proofErr w:type="gramEnd"/>
                      <w:r>
                        <w:t xml:space="preserve"> Histogram of selected otolith samples retained for each DOY (Grey bars) compared to the relative CPUE throughout the season, calculated at the proportion of daily CPUE at each day. </w:t>
                      </w:r>
                    </w:p>
                  </w:txbxContent>
                </v:textbox>
              </v:shape>
            </w:pict>
          </mc:Fallback>
        </mc:AlternateContent>
      </w:r>
      <w:r w:rsidR="00135204" w:rsidRPr="00135204">
        <w:rPr>
          <w:noProof/>
        </w:rPr>
        <w:drawing>
          <wp:inline distT="0" distB="0" distL="0" distR="0" wp14:anchorId="6A116270" wp14:editId="00F51B78">
            <wp:extent cx="5943600" cy="7401560"/>
            <wp:effectExtent l="0" t="0" r="0" b="8890"/>
            <wp:docPr id="55253095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5943600" cy="7401560"/>
                    </a:xfrm>
                    <a:prstGeom prst="rect">
                      <a:avLst/>
                    </a:prstGeom>
                    <a:noFill/>
                    <a:ln>
                      <a:noFill/>
                    </a:ln>
                  </pic:spPr>
                </pic:pic>
              </a:graphicData>
            </a:graphic>
          </wp:inline>
        </w:drawing>
      </w:r>
    </w:p>
    <w:p w14:paraId="35E1B932" w14:textId="648EBA47" w:rsidR="00754A39" w:rsidRDefault="00754A39"/>
    <w:p w14:paraId="7C578586" w14:textId="77777777" w:rsidR="001442DF" w:rsidRDefault="001442DF"/>
    <w:p w14:paraId="582D3F9C" w14:textId="77777777" w:rsidR="001442DF" w:rsidRDefault="001442DF"/>
    <w:p w14:paraId="7C0E9AD6" w14:textId="22D8DEC7" w:rsidR="001442DF" w:rsidRDefault="001442DF">
      <w:r>
        <w:rPr>
          <w:noProof/>
        </w:rPr>
        <w:drawing>
          <wp:inline distT="0" distB="0" distL="0" distR="0" wp14:anchorId="74E7337C" wp14:editId="60583B76">
            <wp:extent cx="6229350" cy="3114675"/>
            <wp:effectExtent l="0" t="0" r="6350" b="0"/>
            <wp:docPr id="160024317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0243177" name="Picture 1600243177"/>
                    <pic:cNvPicPr/>
                  </pic:nvPicPr>
                  <pic:blipFill>
                    <a:blip r:embed="rId5" cstate="print">
                      <a:extLst>
                        <a:ext uri="{28A0092B-C50C-407E-A947-70E740481C1C}">
                          <a14:useLocalDpi xmlns:a14="http://schemas.microsoft.com/office/drawing/2010/main" val="0"/>
                        </a:ext>
                      </a:extLst>
                    </a:blip>
                    <a:stretch>
                      <a:fillRect/>
                    </a:stretch>
                  </pic:blipFill>
                  <pic:spPr>
                    <a:xfrm>
                      <a:off x="0" y="0"/>
                      <a:ext cx="6229350" cy="3114675"/>
                    </a:xfrm>
                    <a:prstGeom prst="rect">
                      <a:avLst/>
                    </a:prstGeom>
                  </pic:spPr>
                </pic:pic>
              </a:graphicData>
            </a:graphic>
          </wp:inline>
        </w:drawing>
      </w:r>
    </w:p>
    <w:p w14:paraId="3F229964" w14:textId="2975E5A6" w:rsidR="001442DF" w:rsidRDefault="001442DF">
      <w:r>
        <w:rPr>
          <w:noProof/>
        </w:rPr>
        <mc:AlternateContent>
          <mc:Choice Requires="wps">
            <w:drawing>
              <wp:anchor distT="0" distB="0" distL="114300" distR="114300" simplePos="0" relativeHeight="251660288" behindDoc="0" locked="0" layoutInCell="1" allowOverlap="1" wp14:anchorId="2AF7DBDC" wp14:editId="678EC914">
                <wp:simplePos x="0" y="0"/>
                <wp:positionH relativeFrom="column">
                  <wp:posOffset>133350</wp:posOffset>
                </wp:positionH>
                <wp:positionV relativeFrom="paragraph">
                  <wp:posOffset>104140</wp:posOffset>
                </wp:positionV>
                <wp:extent cx="5857875" cy="1447800"/>
                <wp:effectExtent l="0" t="0" r="0" b="0"/>
                <wp:wrapNone/>
                <wp:docPr id="1378326111" name="Text Box 3"/>
                <wp:cNvGraphicFramePr/>
                <a:graphic xmlns:a="http://schemas.openxmlformats.org/drawingml/2006/main">
                  <a:graphicData uri="http://schemas.microsoft.com/office/word/2010/wordprocessingShape">
                    <wps:wsp>
                      <wps:cNvSpPr txBox="1"/>
                      <wps:spPr>
                        <a:xfrm>
                          <a:off x="0" y="0"/>
                          <a:ext cx="5857875" cy="1447800"/>
                        </a:xfrm>
                        <a:prstGeom prst="rect">
                          <a:avLst/>
                        </a:prstGeom>
                        <a:solidFill>
                          <a:schemeClr val="lt1"/>
                        </a:solidFill>
                        <a:ln w="6350">
                          <a:noFill/>
                        </a:ln>
                      </wps:spPr>
                      <wps:txbx>
                        <w:txbxContent>
                          <w:p w14:paraId="4768D1F6" w14:textId="0E711245" w:rsidR="001442DF" w:rsidRPr="001442DF" w:rsidRDefault="001442DF">
                            <w:pPr>
                              <w:rPr>
                                <w:rFonts w:ascii="Times New Roman" w:hAnsi="Times New Roman" w:cs="Times New Roman"/>
                              </w:rPr>
                            </w:pPr>
                            <w:r w:rsidRPr="001442DF">
                              <w:rPr>
                                <w:rFonts w:ascii="Times New Roman" w:hAnsi="Times New Roman" w:cs="Times New Roman"/>
                                <w:b/>
                                <w:bCs/>
                              </w:rPr>
                              <w:t xml:space="preserve">Supp. Fig. </w:t>
                            </w:r>
                            <w:proofErr w:type="gramStart"/>
                            <w:r w:rsidRPr="001442DF">
                              <w:rPr>
                                <w:rFonts w:ascii="Times New Roman" w:hAnsi="Times New Roman" w:cs="Times New Roman"/>
                                <w:b/>
                                <w:bCs/>
                              </w:rPr>
                              <w:t>2 :</w:t>
                            </w:r>
                            <w:proofErr w:type="gramEnd"/>
                            <w:r w:rsidRPr="001442DF">
                              <w:rPr>
                                <w:rFonts w:ascii="Times New Roman" w:hAnsi="Times New Roman" w:cs="Times New Roman"/>
                              </w:rPr>
                              <w:t xml:space="preserve"> Boxplots illustrating the range in </w:t>
                            </w:r>
                            <w:r w:rsidRPr="001442DF">
                              <w:rPr>
                                <w:rFonts w:ascii="Times New Roman" w:eastAsia="Times New Roman" w:hAnsi="Times New Roman" w:cs="Times New Roman"/>
                                <w:kern w:val="0"/>
                                <w:vertAlign w:val="superscript"/>
                                <w14:ligatures w14:val="none"/>
                              </w:rPr>
                              <w:t>87</w:t>
                            </w:r>
                            <w:r w:rsidRPr="001442DF">
                              <w:rPr>
                                <w:rFonts w:ascii="Times New Roman" w:eastAsia="Times New Roman" w:hAnsi="Times New Roman" w:cs="Times New Roman"/>
                                <w:kern w:val="0"/>
                                <w14:ligatures w14:val="none"/>
                              </w:rPr>
                              <w:t>Sr/</w:t>
                            </w:r>
                            <w:r w:rsidRPr="001442DF">
                              <w:rPr>
                                <w:rFonts w:ascii="Times New Roman" w:eastAsia="Times New Roman" w:hAnsi="Times New Roman" w:cs="Times New Roman"/>
                                <w:kern w:val="0"/>
                                <w:vertAlign w:val="superscript"/>
                                <w14:ligatures w14:val="none"/>
                              </w:rPr>
                              <w:t>86</w:t>
                            </w:r>
                            <w:r w:rsidRPr="001442DF">
                              <w:rPr>
                                <w:rFonts w:ascii="Times New Roman" w:eastAsia="Times New Roman" w:hAnsi="Times New Roman" w:cs="Times New Roman"/>
                                <w:kern w:val="0"/>
                                <w14:ligatures w14:val="none"/>
                              </w:rPr>
                              <w:t>Sr</w:t>
                            </w:r>
                            <w:r w:rsidRPr="001442DF">
                              <w:rPr>
                                <w:rFonts w:ascii="Times New Roman" w:eastAsia="Times New Roman" w:hAnsi="Times New Roman" w:cs="Times New Roman"/>
                                <w:kern w:val="0"/>
                                <w14:ligatures w14:val="none"/>
                              </w:rPr>
                              <w:t xml:space="preserve"> among regional groups after K-means clustering.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2AF7DBDC" id="Text Box 3" o:spid="_x0000_s1027" type="#_x0000_t202" style="position:absolute;margin-left:10.5pt;margin-top:8.2pt;width:461.25pt;height:114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" fillcolor="white [3201]" stroked="f" strokeweight=".5pt">
                <v:textbox>
                  <w:txbxContent>
                    <w:p w14:paraId="4768D1F6" w14:textId="0E711245" w:rsidR="001442DF" w:rsidRPr="001442DF" w:rsidRDefault="001442DF">
                      <w:pPr>
                        <w:rPr>
                          <w:rFonts w:ascii="Times New Roman" w:hAnsi="Times New Roman" w:cs="Times New Roman"/>
                        </w:rPr>
                      </w:pPr>
                      <w:r w:rsidRPr="001442DF">
                        <w:rPr>
                          <w:rFonts w:ascii="Times New Roman" w:hAnsi="Times New Roman" w:cs="Times New Roman"/>
                          <w:b/>
                          <w:bCs/>
                        </w:rPr>
                        <w:t xml:space="preserve">Supp. Fig. </w:t>
                      </w:r>
                      <w:proofErr w:type="gramStart"/>
                      <w:r w:rsidRPr="001442DF">
                        <w:rPr>
                          <w:rFonts w:ascii="Times New Roman" w:hAnsi="Times New Roman" w:cs="Times New Roman"/>
                          <w:b/>
                          <w:bCs/>
                        </w:rPr>
                        <w:t>2 :</w:t>
                      </w:r>
                      <w:proofErr w:type="gramEnd"/>
                      <w:r w:rsidRPr="001442DF">
                        <w:rPr>
                          <w:rFonts w:ascii="Times New Roman" w:hAnsi="Times New Roman" w:cs="Times New Roman"/>
                        </w:rPr>
                        <w:t xml:space="preserve"> Boxplots illustrating the range in </w:t>
                      </w:r>
                      <w:r w:rsidRPr="001442DF">
                        <w:rPr>
                          <w:rFonts w:ascii="Times New Roman" w:eastAsia="Times New Roman" w:hAnsi="Times New Roman" w:cs="Times New Roman"/>
                          <w:kern w:val="0"/>
                          <w:vertAlign w:val="superscript"/>
                          <w14:ligatures w14:val="none"/>
                        </w:rPr>
                        <w:t>87</w:t>
                      </w:r>
                      <w:r w:rsidRPr="001442DF">
                        <w:rPr>
                          <w:rFonts w:ascii="Times New Roman" w:eastAsia="Times New Roman" w:hAnsi="Times New Roman" w:cs="Times New Roman"/>
                          <w:kern w:val="0"/>
                          <w14:ligatures w14:val="none"/>
                        </w:rPr>
                        <w:t>Sr/</w:t>
                      </w:r>
                      <w:r w:rsidRPr="001442DF">
                        <w:rPr>
                          <w:rFonts w:ascii="Times New Roman" w:eastAsia="Times New Roman" w:hAnsi="Times New Roman" w:cs="Times New Roman"/>
                          <w:kern w:val="0"/>
                          <w:vertAlign w:val="superscript"/>
                          <w14:ligatures w14:val="none"/>
                        </w:rPr>
                        <w:t>86</w:t>
                      </w:r>
                      <w:r w:rsidRPr="001442DF">
                        <w:rPr>
                          <w:rFonts w:ascii="Times New Roman" w:eastAsia="Times New Roman" w:hAnsi="Times New Roman" w:cs="Times New Roman"/>
                          <w:kern w:val="0"/>
                          <w14:ligatures w14:val="none"/>
                        </w:rPr>
                        <w:t>Sr</w:t>
                      </w:r>
                      <w:r w:rsidRPr="001442DF">
                        <w:rPr>
                          <w:rFonts w:ascii="Times New Roman" w:eastAsia="Times New Roman" w:hAnsi="Times New Roman" w:cs="Times New Roman"/>
                          <w:kern w:val="0"/>
                          <w14:ligatures w14:val="none"/>
                        </w:rPr>
                        <w:t xml:space="preserve"> among regional groups after K-means clustering. </w:t>
                      </w:r>
                    </w:p>
                  </w:txbxContent>
                </v:textbox>
              </v:shape>
            </w:pict>
          </mc:Fallback>
        </mc:AlternateContent>
      </w:r>
    </w:p>
    <w:p w14:paraId="57E85B40" w14:textId="77777777" w:rsidR="001442DF" w:rsidRDefault="001442DF"/>
    <w:p w14:paraId="40C0744E" w14:textId="77777777" w:rsidR="001442DF" w:rsidRDefault="001442DF"/>
    <w:p w14:paraId="123B4EE0" w14:textId="77777777" w:rsidR="001442DF" w:rsidRDefault="001442DF"/>
    <w:p w14:paraId="5D0AAB72" w14:textId="1B525A07" w:rsidR="000A3C01" w:rsidRDefault="001442DF" w:rsidP="000A3C01">
      <w:r>
        <w:rPr>
          <w:noProof/>
        </w:rPr>
        <w:lastRenderedPageBreak/>
        <mc:AlternateContent>
          <mc:Choice Requires="wps">
            <w:drawing>
              <wp:anchor distT="0" distB="0" distL="114300" distR="114300" simplePos="0" relativeHeight="251661312" behindDoc="0" locked="0" layoutInCell="1" allowOverlap="1" wp14:anchorId="41548952" wp14:editId="1F46B0A1">
                <wp:simplePos x="0" y="0"/>
                <wp:positionH relativeFrom="column">
                  <wp:posOffset>95250</wp:posOffset>
                </wp:positionH>
                <wp:positionV relativeFrom="paragraph">
                  <wp:posOffset>5362575</wp:posOffset>
                </wp:positionV>
                <wp:extent cx="3724275" cy="2686050"/>
                <wp:effectExtent l="0" t="0" r="0" b="6350"/>
                <wp:wrapNone/>
                <wp:docPr id="1841586879" name="Text Box 4"/>
                <wp:cNvGraphicFramePr/>
                <a:graphic xmlns:a="http://schemas.openxmlformats.org/drawingml/2006/main">
                  <a:graphicData uri="http://schemas.microsoft.com/office/word/2010/wordprocessingShape">
                    <wps:wsp>
                      <wps:cNvSpPr txBox="1"/>
                      <wps:spPr>
                        <a:xfrm>
                          <a:off x="0" y="0"/>
                          <a:ext cx="3724275" cy="2686050"/>
                        </a:xfrm>
                        <a:prstGeom prst="rect">
                          <a:avLst/>
                        </a:prstGeom>
                        <a:solidFill>
                          <a:schemeClr val="lt1"/>
                        </a:solidFill>
                        <a:ln w="6350">
                          <a:noFill/>
                        </a:ln>
                      </wps:spPr>
                      <wps:txbx>
                        <w:txbxContent>
                          <w:p w14:paraId="4DBBCCC2" w14:textId="2923AC8E" w:rsidR="001442DF" w:rsidRDefault="001442DF">
                            <w:r w:rsidRPr="001442DF">
                              <w:rPr>
                                <w:b/>
                                <w:bCs/>
                              </w:rPr>
                              <w:t xml:space="preserve">Supp. Fig. </w:t>
                            </w:r>
                            <w:proofErr w:type="gramStart"/>
                            <w:r w:rsidRPr="001442DF">
                              <w:rPr>
                                <w:b/>
                                <w:bCs/>
                              </w:rPr>
                              <w:t>3 :</w:t>
                            </w:r>
                            <w:proofErr w:type="gramEnd"/>
                            <w:r>
                              <w:t xml:space="preserve"> Example distribution of the distribution of posterior values by group after thresholding &gt;.7. </w:t>
                            </w:r>
                            <w:proofErr w:type="gramStart"/>
                            <w:r>
                              <w:t>The majority of</w:t>
                            </w:r>
                            <w:proofErr w:type="gramEnd"/>
                            <w:r>
                              <w:t xml:space="preserve"> individuals are assigned primarily to a single Group. Less certain assignments distribute the posterior across multiple groups, thereby splitting the assigned portion of the population across groups proportional to this distribution and propagating assignment uncertainty to the basin-wide estimates.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1548952" id="Text Box 4" o:spid="_x0000_s1028" type="#_x0000_t202" style="position:absolute;margin-left:7.5pt;margin-top:422.25pt;width:293.25pt;height:211.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" fillcolor="white [3201]" stroked="f" strokeweight=".5pt">
                <v:textbox>
                  <w:txbxContent>
                    <w:p w14:paraId="4DBBCCC2" w14:textId="2923AC8E" w:rsidR="001442DF" w:rsidRDefault="001442DF">
                      <w:r w:rsidRPr="001442DF">
                        <w:rPr>
                          <w:b/>
                          <w:bCs/>
                        </w:rPr>
                        <w:t xml:space="preserve">Supp. Fig. </w:t>
                      </w:r>
                      <w:proofErr w:type="gramStart"/>
                      <w:r w:rsidRPr="001442DF">
                        <w:rPr>
                          <w:b/>
                          <w:bCs/>
                        </w:rPr>
                        <w:t>3 :</w:t>
                      </w:r>
                      <w:proofErr w:type="gramEnd"/>
                      <w:r>
                        <w:t xml:space="preserve"> Example distribution of the distribution of posterior values by group after thresholding &gt;.7. </w:t>
                      </w:r>
                      <w:proofErr w:type="gramStart"/>
                      <w:r>
                        <w:t>The majority of</w:t>
                      </w:r>
                      <w:proofErr w:type="gramEnd"/>
                      <w:r>
                        <w:t xml:space="preserve"> individuals are assigned primarily to a single Group. Less certain assignments distribute the posterior across multiple groups, thereby splitting the assigned portion of the population across groups proportional to this distribution and propagating assignment uncertainty to the basin-wide estimates. </w:t>
                      </w:r>
                    </w:p>
                  </w:txbxContent>
                </v:textbox>
              </v:shape>
            </w:pict>
          </mc:Fallback>
        </mc:AlternateContent>
      </w:r>
      <w:r w:rsidR="000A3C01" w:rsidRPr="000A3C01">
        <w:rPr>
          <w:noProof/>
        </w:rPr>
        <w:drawing>
          <wp:inline distT="0" distB="0" distL="0" distR="0" wp14:anchorId="65DFFD70" wp14:editId="3EBA54BB">
            <wp:extent cx="3867150" cy="5249574"/>
            <wp:effectExtent l="0" t="0" r="0" b="0"/>
            <wp:docPr id="79071018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3888490" cy="5278543"/>
                    </a:xfrm>
                    <a:prstGeom prst="rect">
                      <a:avLst/>
                    </a:prstGeom>
                    <a:noFill/>
                    <a:ln>
                      <a:noFill/>
                    </a:ln>
                  </pic:spPr>
                </pic:pic>
              </a:graphicData>
            </a:graphic>
          </wp:inline>
        </w:drawing>
      </w:r>
    </w:p>
    <w:p w14:paraId="3282A4EE" w14:textId="77777777" w:rsidR="000A3C01" w:rsidRDefault="000A3C01" w:rsidP="000A3C01"/>
    <w:p w14:paraId="05A8347F" w14:textId="30320488" w:rsidR="000A3C01" w:rsidRPr="000A3C01" w:rsidRDefault="000A3C01" w:rsidP="000A3C01">
      <w:r w:rsidRPr="000A3C01">
        <w:rPr>
          <w:noProof/>
        </w:rPr>
        <w:lastRenderedPageBreak/>
        <w:drawing>
          <wp:inline distT="0" distB="0" distL="0" distR="0" wp14:anchorId="14B883E2" wp14:editId="11C0C954">
            <wp:extent cx="5753100" cy="3451860"/>
            <wp:effectExtent l="0" t="0" r="0" b="0"/>
            <wp:docPr id="162752581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53100" cy="3451860"/>
                    </a:xfrm>
                    <a:prstGeom prst="rect">
                      <a:avLst/>
                    </a:prstGeom>
                    <a:noFill/>
                    <a:ln>
                      <a:noFill/>
                    </a:ln>
                  </pic:spPr>
                </pic:pic>
              </a:graphicData>
            </a:graphic>
          </wp:inline>
        </w:drawing>
      </w:r>
    </w:p>
    <w:p w14:paraId="26492B78" w14:textId="55499512" w:rsidR="000A3C01" w:rsidRPr="000A3C01" w:rsidRDefault="00A14BE2" w:rsidP="000A3C01">
      <w:r>
        <w:t xml:space="preserve">Supp Fig. 4; Front end closure protection estimated using varying individual posterior thresholds (0.5-0.9). Despite changes in the threshold value, overall results remain largely the same. At very high threshold values a greater proportion of the population is assigned to Group 2, suggesting our current approach (0.7) is a conservative estimate. </w:t>
      </w:r>
    </w:p>
    <w:p w14:paraId="4F3FF376" w14:textId="2489EFDF" w:rsidR="0001103C" w:rsidRDefault="0001103C"/>
    <w:sectPr w:rsidR="0001103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29F7"/>
    <w:rsid w:val="0001103C"/>
    <w:rsid w:val="000A3C01"/>
    <w:rsid w:val="00135204"/>
    <w:rsid w:val="001442DF"/>
    <w:rsid w:val="00244695"/>
    <w:rsid w:val="0061506C"/>
    <w:rsid w:val="00731DD4"/>
    <w:rsid w:val="00735C63"/>
    <w:rsid w:val="00754A39"/>
    <w:rsid w:val="00A14BE2"/>
    <w:rsid w:val="00CF720A"/>
    <w:rsid w:val="00DD7012"/>
    <w:rsid w:val="00DF29F7"/>
    <w:rsid w:val="00FE6831"/>
    <w:rsid w:val="00FF717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5677A8"/>
  <w15:chartTrackingRefBased/>
  <w15:docId w15:val="{2F1677DC-F3A0-4974-B548-24362C04FA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F29F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F29F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F29F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F29F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F29F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F29F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F29F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F29F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F29F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F29F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F29F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F29F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F29F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F29F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F29F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F29F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F29F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F29F7"/>
    <w:rPr>
      <w:rFonts w:eastAsiaTheme="majorEastAsia" w:cstheme="majorBidi"/>
      <w:color w:val="272727" w:themeColor="text1" w:themeTint="D8"/>
    </w:rPr>
  </w:style>
  <w:style w:type="paragraph" w:styleId="Title">
    <w:name w:val="Title"/>
    <w:basedOn w:val="Normal"/>
    <w:next w:val="Normal"/>
    <w:link w:val="TitleChar"/>
    <w:uiPriority w:val="10"/>
    <w:qFormat/>
    <w:rsid w:val="00DF29F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F29F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F29F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F29F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F29F7"/>
    <w:pPr>
      <w:spacing w:before="160"/>
      <w:jc w:val="center"/>
    </w:pPr>
    <w:rPr>
      <w:i/>
      <w:iCs/>
      <w:color w:val="404040" w:themeColor="text1" w:themeTint="BF"/>
    </w:rPr>
  </w:style>
  <w:style w:type="character" w:customStyle="1" w:styleId="QuoteChar">
    <w:name w:val="Quote Char"/>
    <w:basedOn w:val="DefaultParagraphFont"/>
    <w:link w:val="Quote"/>
    <w:uiPriority w:val="29"/>
    <w:rsid w:val="00DF29F7"/>
    <w:rPr>
      <w:i/>
      <w:iCs/>
      <w:color w:val="404040" w:themeColor="text1" w:themeTint="BF"/>
    </w:rPr>
  </w:style>
  <w:style w:type="paragraph" w:styleId="ListParagraph">
    <w:name w:val="List Paragraph"/>
    <w:basedOn w:val="Normal"/>
    <w:uiPriority w:val="34"/>
    <w:qFormat/>
    <w:rsid w:val="00DF29F7"/>
    <w:pPr>
      <w:ind w:left="720"/>
      <w:contextualSpacing/>
    </w:pPr>
  </w:style>
  <w:style w:type="character" w:styleId="IntenseEmphasis">
    <w:name w:val="Intense Emphasis"/>
    <w:basedOn w:val="DefaultParagraphFont"/>
    <w:uiPriority w:val="21"/>
    <w:qFormat/>
    <w:rsid w:val="00DF29F7"/>
    <w:rPr>
      <w:i/>
      <w:iCs/>
      <w:color w:val="0F4761" w:themeColor="accent1" w:themeShade="BF"/>
    </w:rPr>
  </w:style>
  <w:style w:type="paragraph" w:styleId="IntenseQuote">
    <w:name w:val="Intense Quote"/>
    <w:basedOn w:val="Normal"/>
    <w:next w:val="Normal"/>
    <w:link w:val="IntenseQuoteChar"/>
    <w:uiPriority w:val="30"/>
    <w:qFormat/>
    <w:rsid w:val="00DF29F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F29F7"/>
    <w:rPr>
      <w:i/>
      <w:iCs/>
      <w:color w:val="0F4761" w:themeColor="accent1" w:themeShade="BF"/>
    </w:rPr>
  </w:style>
  <w:style w:type="character" w:styleId="IntenseReference">
    <w:name w:val="Intense Reference"/>
    <w:basedOn w:val="DefaultParagraphFont"/>
    <w:uiPriority w:val="32"/>
    <w:qFormat/>
    <w:rsid w:val="00DF29F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47</TotalTime>
  <Pages>4</Pages>
  <Words>55</Words>
  <Characters>315</Characters>
  <Application>Microsoft Office Word</Application>
  <DocSecurity>0</DocSecurity>
  <Lines>2</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Benjamin J. Makhlouf</dc:creator>
  <cp:keywords/>
  <dc:description/>
  <cp:lastModifiedBy>bmak29</cp:lastModifiedBy>
  <cp:revision>7</cp:revision>
  <dcterms:created xsi:type="dcterms:W3CDTF">2026-06-23T16:34:00Z</dcterms:created>
  <dcterms:modified xsi:type="dcterms:W3CDTF">2026-07-15T22:44:00Z</dcterms:modified>
</cp:coreProperties>
</file>