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CE7CBF">
      <w:pPr>
        <w:spacing w:line="360" w:lineRule="auto"/>
        <w:rPr>
          <w:rFonts w:ascii="Garamond" w:hAnsi="Garamond"/>
          <w:sz w:val="36"/>
          <w:szCs w:val="36"/>
        </w:rPr>
      </w:pPr>
    </w:p>
    <w:p w14:paraId="6E4DA7ED" w14:textId="45A6A037" w:rsidR="00907410" w:rsidRPr="002C2367" w:rsidRDefault="00045FA5" w:rsidP="001458A1">
      <w:pPr>
        <w:spacing w:line="360" w:lineRule="auto"/>
        <w:jc w:val="center"/>
        <w:rPr>
          <w:rFonts w:ascii="Garamond" w:hAnsi="Garamond"/>
          <w:b/>
          <w:bCs/>
          <w:sz w:val="32"/>
          <w:szCs w:val="32"/>
        </w:rPr>
      </w:pPr>
      <w:r w:rsidRPr="002C2367">
        <w:rPr>
          <w:rFonts w:ascii="Garamond" w:hAnsi="Garamond"/>
          <w:b/>
          <w:bCs/>
          <w:sz w:val="32"/>
          <w:szCs w:val="32"/>
        </w:rPr>
        <w:t>Shifting Habitat Mosaics in Alaska’s largest river basins</w:t>
      </w:r>
    </w:p>
    <w:p w14:paraId="0E46E2C9" w14:textId="2C8D2B71" w:rsidR="00045FA5" w:rsidRPr="001A5573" w:rsidRDefault="00045FA5" w:rsidP="001458A1">
      <w:pPr>
        <w:spacing w:line="360" w:lineRule="auto"/>
        <w:jc w:val="center"/>
        <w:rPr>
          <w:rFonts w:ascii="Garamond" w:hAnsi="Garamond"/>
        </w:rPr>
      </w:pPr>
      <w:r w:rsidRPr="001A5573">
        <w:rPr>
          <w:rFonts w:ascii="Garamond" w:hAnsi="Garamond"/>
        </w:rPr>
        <w:t>Ben Makhlouf, Daniel E. Schindler, Timothy J Cline</w:t>
      </w:r>
    </w:p>
    <w:p w14:paraId="4F360937" w14:textId="77777777" w:rsidR="00886C2E" w:rsidRPr="001A5573" w:rsidRDefault="00886C2E" w:rsidP="001458A1">
      <w:pPr>
        <w:spacing w:line="360" w:lineRule="auto"/>
        <w:rPr>
          <w:rFonts w:ascii="Garamond" w:hAnsi="Garamond"/>
          <w:b/>
          <w:bCs/>
        </w:rPr>
      </w:pPr>
    </w:p>
    <w:p w14:paraId="0EE8FD8A" w14:textId="341D366D" w:rsidR="00B73D94" w:rsidRPr="001A5573" w:rsidRDefault="00045FA5" w:rsidP="001458A1">
      <w:pPr>
        <w:spacing w:line="360" w:lineRule="auto"/>
        <w:rPr>
          <w:rFonts w:ascii="Garamond" w:hAnsi="Garamond"/>
          <w:b/>
          <w:bCs/>
          <w:u w:val="single"/>
        </w:rPr>
      </w:pPr>
      <w:r w:rsidRPr="001A5573">
        <w:rPr>
          <w:rFonts w:ascii="Garamond" w:hAnsi="Garamond"/>
          <w:b/>
          <w:bCs/>
          <w:u w:val="single"/>
        </w:rPr>
        <w:t xml:space="preserve">Introduction: </w:t>
      </w:r>
    </w:p>
    <w:p w14:paraId="570A4B26" w14:textId="08D4F068" w:rsidR="00042ED8" w:rsidRPr="001A5573" w:rsidRDefault="00210847" w:rsidP="001458A1">
      <w:pPr>
        <w:pStyle w:val="font-claude-response-body"/>
        <w:spacing w:line="360" w:lineRule="auto"/>
        <w:ind w:firstLine="360"/>
        <w:rPr>
          <w:rFonts w:ascii="Garamond" w:hAnsi="Garamond"/>
        </w:rPr>
      </w:pPr>
      <w:r w:rsidRPr="001A5573">
        <w:rPr>
          <w:rFonts w:ascii="Garamond" w:hAnsi="Garamond"/>
        </w:rPr>
        <w:t xml:space="preserve">Effective restoration of aquatic ecosystems depends on a clear understanding of the ecological processes that sustain healthy, intact systems. However, as the effects of human resource use and climate change intensify, healthy and fully functioning ecosystems are becoming increasingly rare as their global extent continues to decline. North America freshwater ecosystems have been affected by widespread changes to habitat quality and hydrological connectivity in recent decades, leading to </w:t>
      </w:r>
      <w:r w:rsidR="00490C40" w:rsidRPr="001A5573">
        <w:rPr>
          <w:rFonts w:ascii="Garamond" w:hAnsi="Garamond"/>
        </w:rPr>
        <w:t xml:space="preserve">population </w:t>
      </w:r>
      <w:r w:rsidRPr="001A5573">
        <w:rPr>
          <w:rFonts w:ascii="Garamond" w:hAnsi="Garamond"/>
        </w:rPr>
        <w:t>declines in species that rely on healthy, free-flowing systems</w:t>
      </w:r>
      <w:r w:rsidR="009E2291" w:rsidRPr="001A5573">
        <w:rPr>
          <w:rFonts w:ascii="Garamond" w:hAnsi="Garamond"/>
        </w:rPr>
        <w:t>. Pacific salmon (</w:t>
      </w:r>
      <w:r w:rsidR="009E2291" w:rsidRPr="001A5573">
        <w:rPr>
          <w:rStyle w:val="Emphasis"/>
          <w:rFonts w:ascii="Garamond" w:eastAsiaTheme="majorEastAsia" w:hAnsi="Garamond"/>
        </w:rPr>
        <w:t>spp.</w:t>
      </w:r>
      <w:r w:rsidR="009E2291" w:rsidRPr="001A5573">
        <w:rPr>
          <w:rFonts w:ascii="Garamond" w:hAnsi="Garamond"/>
        </w:rPr>
        <w:t>) are particularly vulnerable to changes in habitat quality and connectivity because they depend on access to multiple, distinct habitat types within fully connected river networks to complete their life cycle. Many populations of Pacific salmon have experienced precipitous and sustained declines</w:t>
      </w:r>
      <w:r w:rsidR="00042ED8" w:rsidRPr="001A5573">
        <w:rPr>
          <w:rFonts w:ascii="Garamond" w:hAnsi="Garamond"/>
        </w:rPr>
        <w:t xml:space="preserve"> </w:t>
      </w:r>
      <w:r w:rsidR="009E2291" w:rsidRPr="001A5573">
        <w:rPr>
          <w:rFonts w:ascii="Garamond" w:hAnsi="Garamond"/>
        </w:rPr>
        <w:t>where the combined effects of human development and climate change have been most pronounced</w:t>
      </w:r>
      <w:r w:rsidR="00490C40" w:rsidRPr="001A5573">
        <w:rPr>
          <w:rFonts w:ascii="Garamond" w:hAnsi="Garamond"/>
        </w:rPr>
        <w:t xml:space="preserve">, such as in the southern extent of their range in the continental U.S and southern Canada. </w:t>
      </w:r>
      <w:r w:rsidR="00042ED8" w:rsidRPr="001A5573">
        <w:rPr>
          <w:rFonts w:ascii="Garamond" w:hAnsi="Garamond"/>
        </w:rPr>
        <w:t>However, s</w:t>
      </w:r>
      <w:r w:rsidR="0073537D" w:rsidRPr="001A5573">
        <w:rPr>
          <w:rFonts w:ascii="Garamond" w:hAnsi="Garamond"/>
        </w:rPr>
        <w:t>almon are a</w:t>
      </w:r>
      <w:r w:rsidR="00490C40" w:rsidRPr="001A5573">
        <w:rPr>
          <w:rFonts w:ascii="Garamond" w:hAnsi="Garamond"/>
        </w:rPr>
        <w:t xml:space="preserve"> critically </w:t>
      </w:r>
      <w:r w:rsidR="0073537D" w:rsidRPr="001A5573">
        <w:rPr>
          <w:rFonts w:ascii="Garamond" w:hAnsi="Garamond"/>
        </w:rPr>
        <w:t>important cultural, subsistence, and economic resource to many</w:t>
      </w:r>
      <w:r w:rsidR="007E5044" w:rsidRPr="001A5573">
        <w:rPr>
          <w:rFonts w:ascii="Garamond" w:hAnsi="Garamond"/>
        </w:rPr>
        <w:t xml:space="preserve"> </w:t>
      </w:r>
      <w:r w:rsidR="0073537D" w:rsidRPr="001A5573">
        <w:rPr>
          <w:rFonts w:ascii="Garamond" w:hAnsi="Garamond"/>
        </w:rPr>
        <w:t>communities</w:t>
      </w:r>
      <w:r w:rsidR="005736BA" w:rsidRPr="001A5573">
        <w:rPr>
          <w:rFonts w:ascii="Garamond" w:hAnsi="Garamond"/>
        </w:rPr>
        <w:t xml:space="preserve"> </w:t>
      </w:r>
      <w:r w:rsidR="0073537D" w:rsidRPr="001A5573">
        <w:rPr>
          <w:rFonts w:ascii="Garamond" w:hAnsi="Garamond"/>
        </w:rPr>
        <w:t xml:space="preserve">and play an important ecological role in both freshwater and marine ecosystems. As </w:t>
      </w:r>
      <w:r w:rsidR="00490C40" w:rsidRPr="001A5573">
        <w:rPr>
          <w:rFonts w:ascii="Garamond" w:hAnsi="Garamond"/>
        </w:rPr>
        <w:t xml:space="preserve">such, these population declines have led to </w:t>
      </w:r>
      <w:r w:rsidR="0073537D" w:rsidRPr="001A5573">
        <w:rPr>
          <w:rFonts w:ascii="Garamond" w:hAnsi="Garamond"/>
        </w:rPr>
        <w:t xml:space="preserve">widespread efforts to restore </w:t>
      </w:r>
      <w:r w:rsidR="00490C40" w:rsidRPr="001A5573">
        <w:rPr>
          <w:rFonts w:ascii="Garamond" w:hAnsi="Garamond"/>
        </w:rPr>
        <w:t xml:space="preserve">aquatic </w:t>
      </w:r>
      <w:r w:rsidR="00042ED8" w:rsidRPr="001A5573">
        <w:rPr>
          <w:rFonts w:ascii="Garamond" w:hAnsi="Garamond"/>
        </w:rPr>
        <w:t>habitat</w:t>
      </w:r>
      <w:r w:rsidR="00490C40" w:rsidRPr="001A5573">
        <w:rPr>
          <w:rFonts w:ascii="Garamond" w:hAnsi="Garamond"/>
        </w:rPr>
        <w:t>s</w:t>
      </w:r>
      <w:r w:rsidR="00042ED8" w:rsidRPr="001A5573">
        <w:rPr>
          <w:rFonts w:ascii="Garamond" w:hAnsi="Garamond"/>
        </w:rPr>
        <w:t xml:space="preserve"> </w:t>
      </w:r>
      <w:r w:rsidR="0073537D" w:rsidRPr="001A5573">
        <w:rPr>
          <w:rFonts w:ascii="Garamond" w:hAnsi="Garamond"/>
        </w:rPr>
        <w:t xml:space="preserve">and </w:t>
      </w:r>
      <w:r w:rsidR="005736BA" w:rsidRPr="001A5573">
        <w:rPr>
          <w:rFonts w:ascii="Garamond" w:hAnsi="Garamond"/>
        </w:rPr>
        <w:t xml:space="preserve">to </w:t>
      </w:r>
      <w:r w:rsidR="0073537D" w:rsidRPr="001A5573">
        <w:rPr>
          <w:rFonts w:ascii="Garamond" w:hAnsi="Garamond"/>
        </w:rPr>
        <w:t>recover healthy salmon populations</w:t>
      </w:r>
      <w:r w:rsidR="005736BA" w:rsidRPr="001A5573">
        <w:rPr>
          <w:rFonts w:ascii="Garamond" w:hAnsi="Garamond"/>
        </w:rPr>
        <w:t xml:space="preserve"> in degraded ecosystems. </w:t>
      </w:r>
    </w:p>
    <w:p w14:paraId="435B5338" w14:textId="245659B7" w:rsidR="00402911" w:rsidRPr="001A5573" w:rsidRDefault="00042ED8" w:rsidP="00771117">
      <w:pPr>
        <w:pStyle w:val="font-claude-response-body"/>
        <w:spacing w:line="360" w:lineRule="auto"/>
        <w:ind w:firstLine="360"/>
        <w:rPr>
          <w:rFonts w:ascii="Garamond" w:hAnsi="Garamond"/>
        </w:rPr>
      </w:pPr>
      <w:r w:rsidRPr="001A5573">
        <w:rPr>
          <w:rFonts w:ascii="Garamond" w:hAnsi="Garamond"/>
        </w:rPr>
        <w:t>W</w:t>
      </w:r>
      <w:r w:rsidR="00206BA8" w:rsidRPr="001A5573">
        <w:rPr>
          <w:rFonts w:ascii="Garamond" w:hAnsi="Garamond"/>
        </w:rPr>
        <w:t>atersheds at the northernmost extent of the</w:t>
      </w:r>
      <w:r w:rsidR="00490C40" w:rsidRPr="001A5573">
        <w:rPr>
          <w:rFonts w:ascii="Garamond" w:hAnsi="Garamond"/>
        </w:rPr>
        <w:t xml:space="preserve"> natural range of pacific</w:t>
      </w:r>
      <w:r w:rsidR="00206BA8" w:rsidRPr="001A5573">
        <w:rPr>
          <w:rFonts w:ascii="Garamond" w:hAnsi="Garamond"/>
        </w:rPr>
        <w:t xml:space="preserve"> salmon have experienced substantially fewer anthropogenic </w:t>
      </w:r>
      <w:r w:rsidR="00490C40" w:rsidRPr="001A5573">
        <w:rPr>
          <w:rFonts w:ascii="Garamond" w:hAnsi="Garamond"/>
        </w:rPr>
        <w:t xml:space="preserve">than their southern counterparts. </w:t>
      </w:r>
      <w:r w:rsidR="00206BA8" w:rsidRPr="001A5573">
        <w:rPr>
          <w:rFonts w:ascii="Garamond" w:hAnsi="Garamond"/>
        </w:rPr>
        <w:t xml:space="preserve">Large, relatively free-flowing watersheds in Alaska support the largest remaining </w:t>
      </w:r>
      <w:r w:rsidR="00490C40" w:rsidRPr="001A5573">
        <w:rPr>
          <w:rFonts w:ascii="Garamond" w:hAnsi="Garamond"/>
        </w:rPr>
        <w:t xml:space="preserve">pacific salmon populations </w:t>
      </w:r>
      <w:r w:rsidR="00206BA8" w:rsidRPr="001A5573">
        <w:rPr>
          <w:rFonts w:ascii="Garamond" w:hAnsi="Garamond"/>
        </w:rPr>
        <w:t>and contain some of the last remaining pristine habitats. As</w:t>
      </w:r>
      <w:r w:rsidR="00E225FA" w:rsidRPr="001A5573">
        <w:rPr>
          <w:rFonts w:ascii="Garamond" w:hAnsi="Garamond"/>
        </w:rPr>
        <w:t xml:space="preserve"> such, </w:t>
      </w:r>
      <w:r w:rsidR="00490C40" w:rsidRPr="001A5573">
        <w:rPr>
          <w:rFonts w:ascii="Garamond" w:hAnsi="Garamond"/>
        </w:rPr>
        <w:t xml:space="preserve">these </w:t>
      </w:r>
      <w:r w:rsidRPr="001A5573">
        <w:rPr>
          <w:rFonts w:ascii="Garamond" w:hAnsi="Garamond"/>
        </w:rPr>
        <w:t xml:space="preserve">ecosystems are expected to </w:t>
      </w:r>
      <w:r w:rsidR="00E225FA" w:rsidRPr="001A5573">
        <w:rPr>
          <w:rFonts w:ascii="Garamond" w:hAnsi="Garamond"/>
        </w:rPr>
        <w:t xml:space="preserve">function in ways that </w:t>
      </w:r>
      <w:r w:rsidR="00490C40" w:rsidRPr="001A5573">
        <w:rPr>
          <w:rFonts w:ascii="Garamond" w:hAnsi="Garamond"/>
        </w:rPr>
        <w:t xml:space="preserve">more closely </w:t>
      </w:r>
      <w:r w:rsidR="00E225FA" w:rsidRPr="001A5573">
        <w:rPr>
          <w:rFonts w:ascii="Garamond" w:hAnsi="Garamond"/>
        </w:rPr>
        <w:t xml:space="preserve">reflect the natural ecological processes of healthy </w:t>
      </w:r>
      <w:r w:rsidRPr="001A5573">
        <w:rPr>
          <w:rFonts w:ascii="Garamond" w:hAnsi="Garamond"/>
        </w:rPr>
        <w:t>populations.</w:t>
      </w:r>
      <w:r w:rsidR="00490C40" w:rsidRPr="001A5573">
        <w:rPr>
          <w:rFonts w:ascii="Garamond" w:hAnsi="Garamond"/>
        </w:rPr>
        <w:t xml:space="preserve"> </w:t>
      </w:r>
      <w:r w:rsidR="0078224C" w:rsidRPr="001A5573">
        <w:rPr>
          <w:rFonts w:ascii="Garamond" w:hAnsi="Garamond"/>
        </w:rPr>
        <w:t>These systems therefore offer a</w:t>
      </w:r>
      <w:r w:rsidR="00490C40" w:rsidRPr="001A5573">
        <w:rPr>
          <w:rFonts w:ascii="Garamond" w:hAnsi="Garamond"/>
        </w:rPr>
        <w:t xml:space="preserve">n </w:t>
      </w:r>
      <w:r w:rsidR="0078224C" w:rsidRPr="001A5573">
        <w:rPr>
          <w:rFonts w:ascii="Garamond" w:hAnsi="Garamond"/>
        </w:rPr>
        <w:t xml:space="preserve">opportunity to </w:t>
      </w:r>
      <w:r w:rsidR="00490C40" w:rsidRPr="001A5573">
        <w:rPr>
          <w:rFonts w:ascii="Garamond" w:hAnsi="Garamond"/>
        </w:rPr>
        <w:t xml:space="preserve">explore the natural ecological processes which govern </w:t>
      </w:r>
      <w:r w:rsidR="00771117" w:rsidRPr="001A5573">
        <w:rPr>
          <w:rFonts w:ascii="Garamond" w:hAnsi="Garamond"/>
        </w:rPr>
        <w:t>wild populations of salmon</w:t>
      </w:r>
      <w:r w:rsidR="0078224C" w:rsidRPr="001A5573">
        <w:rPr>
          <w:rFonts w:ascii="Garamond" w:hAnsi="Garamond"/>
        </w:rPr>
        <w:t xml:space="preserve">, providing insights into the </w:t>
      </w:r>
      <w:r w:rsidR="00771117" w:rsidRPr="001A5573">
        <w:rPr>
          <w:rFonts w:ascii="Garamond" w:hAnsi="Garamond"/>
        </w:rPr>
        <w:t>ways in which salmon ecology and ecosystem processes interact to sustain healthy populations and providing</w:t>
      </w:r>
      <w:r w:rsidR="0078224C" w:rsidRPr="001A5573">
        <w:rPr>
          <w:rFonts w:ascii="Garamond" w:hAnsi="Garamond"/>
        </w:rPr>
        <w:t xml:space="preserve"> a baseline for restoring impacted watersheds</w:t>
      </w:r>
      <w:r w:rsidR="00771117" w:rsidRPr="001A5573">
        <w:rPr>
          <w:rFonts w:ascii="Garamond" w:hAnsi="Garamond"/>
        </w:rPr>
        <w:t xml:space="preserve"> elsewhere. </w:t>
      </w:r>
    </w:p>
    <w:p w14:paraId="263F41F0" w14:textId="77777777" w:rsidR="00F76583" w:rsidRPr="001A5573" w:rsidRDefault="00C34DD2" w:rsidP="00F76583">
      <w:pPr>
        <w:pStyle w:val="font-claude-response-body"/>
        <w:spacing w:line="360" w:lineRule="auto"/>
        <w:ind w:firstLine="360"/>
        <w:rPr>
          <w:rFonts w:ascii="Garamond" w:hAnsi="Garamond"/>
        </w:rPr>
      </w:pPr>
      <w:r w:rsidRPr="001A5573">
        <w:rPr>
          <w:rFonts w:ascii="Garamond" w:hAnsi="Garamond"/>
        </w:rPr>
        <w:lastRenderedPageBreak/>
        <w:t xml:space="preserve">The roles of both habitat heterogeneity [ref] and intrapopulation trait variability in maintaining healthy salmon watersheds are well established [ref, ref, ref]. </w:t>
      </w:r>
      <w:r w:rsidR="00C87061" w:rsidRPr="001A5573">
        <w:rPr>
          <w:rFonts w:ascii="Garamond" w:hAnsi="Garamond"/>
        </w:rPr>
        <w:t>G</w:t>
      </w:r>
      <w:r w:rsidRPr="001A5573">
        <w:rPr>
          <w:rFonts w:ascii="Garamond" w:hAnsi="Garamond"/>
        </w:rPr>
        <w:t>eomorphological and successional processes</w:t>
      </w:r>
      <w:r w:rsidR="00C87061" w:rsidRPr="001A5573">
        <w:rPr>
          <w:rFonts w:ascii="Garamond" w:hAnsi="Garamond"/>
        </w:rPr>
        <w:t xml:space="preserve"> operating across the landscape</w:t>
      </w:r>
      <w:r w:rsidRPr="001A5573">
        <w:rPr>
          <w:rFonts w:ascii="Garamond" w:hAnsi="Garamond"/>
        </w:rPr>
        <w:t xml:space="preserve"> </w:t>
      </w:r>
      <w:r w:rsidR="00B00998" w:rsidRPr="001A5573">
        <w:rPr>
          <w:rFonts w:ascii="Garamond" w:hAnsi="Garamond"/>
        </w:rPr>
        <w:t>generate a diversity of biophysical conditions (e.g., variation in hydrology, temperature, and depth) across multiple spatial scales</w:t>
      </w:r>
      <w:r w:rsidR="00CE7CBF" w:rsidRPr="001A5573">
        <w:rPr>
          <w:rFonts w:ascii="Garamond" w:hAnsi="Garamond"/>
        </w:rPr>
        <w:t xml:space="preserve"> which </w:t>
      </w:r>
      <w:r w:rsidR="00C87061" w:rsidRPr="001A5573">
        <w:rPr>
          <w:rFonts w:ascii="Garamond" w:hAnsi="Garamond"/>
        </w:rPr>
        <w:t xml:space="preserve">differentially filter prevailing local environmental conditions </w:t>
      </w:r>
      <w:r w:rsidR="00C11B9A" w:rsidRPr="001A5573">
        <w:rPr>
          <w:rFonts w:ascii="Garamond" w:hAnsi="Garamond"/>
        </w:rPr>
        <w:t>(e.g., precipitation, temperature)</w:t>
      </w:r>
      <w:r w:rsidR="00771117" w:rsidRPr="001A5573">
        <w:rPr>
          <w:rFonts w:ascii="Garamond" w:hAnsi="Garamond"/>
        </w:rPr>
        <w:t xml:space="preserve"> to </w:t>
      </w:r>
      <w:r w:rsidR="00B00998" w:rsidRPr="001A5573">
        <w:rPr>
          <w:rFonts w:ascii="Garamond" w:hAnsi="Garamond"/>
        </w:rPr>
        <w:t>produc</w:t>
      </w:r>
      <w:r w:rsidR="00771117" w:rsidRPr="001A5573">
        <w:rPr>
          <w:rFonts w:ascii="Garamond" w:hAnsi="Garamond"/>
        </w:rPr>
        <w:t>e</w:t>
      </w:r>
      <w:r w:rsidR="00B00998" w:rsidRPr="001A5573">
        <w:rPr>
          <w:rFonts w:ascii="Garamond" w:hAnsi="Garamond"/>
        </w:rPr>
        <w:t xml:space="preserve"> a </w:t>
      </w:r>
      <w:r w:rsidR="00F6438A" w:rsidRPr="001A5573">
        <w:rPr>
          <w:rFonts w:ascii="Garamond" w:hAnsi="Garamond"/>
        </w:rPr>
        <w:t xml:space="preserve">continuum </w:t>
      </w:r>
      <w:r w:rsidR="00B00998" w:rsidRPr="001A5573">
        <w:rPr>
          <w:rFonts w:ascii="Garamond" w:hAnsi="Garamond"/>
        </w:rPr>
        <w:t>of habitat types</w:t>
      </w:r>
      <w:r w:rsidR="00F6438A" w:rsidRPr="001A5573">
        <w:rPr>
          <w:rFonts w:ascii="Garamond" w:hAnsi="Garamond"/>
        </w:rPr>
        <w:t xml:space="preserve"> </w:t>
      </w:r>
      <w:r w:rsidR="00B00998" w:rsidRPr="001A5573">
        <w:rPr>
          <w:rFonts w:ascii="Garamond" w:hAnsi="Garamond"/>
        </w:rPr>
        <w:t>throughout the basin.</w:t>
      </w:r>
      <w:r w:rsidR="00F6438A" w:rsidRPr="001A5573">
        <w:rPr>
          <w:rFonts w:ascii="Garamond" w:hAnsi="Garamond"/>
        </w:rPr>
        <w:t xml:space="preserve"> </w:t>
      </w:r>
      <w:r w:rsidR="00F06875" w:rsidRPr="001A5573">
        <w:rPr>
          <w:rFonts w:ascii="Garamond" w:hAnsi="Garamond"/>
        </w:rPr>
        <w:t>T</w:t>
      </w:r>
      <w:r w:rsidR="00771117" w:rsidRPr="001A5573">
        <w:rPr>
          <w:rFonts w:ascii="Garamond" w:hAnsi="Garamond"/>
        </w:rPr>
        <w:t>he dynamic interplay between environmental conditions and landscape features</w:t>
      </w:r>
      <w:r w:rsidR="00F06875" w:rsidRPr="001A5573">
        <w:rPr>
          <w:rFonts w:ascii="Garamond" w:hAnsi="Garamond"/>
        </w:rPr>
        <w:t xml:space="preserve"> over time</w:t>
      </w:r>
      <w:r w:rsidR="00771117" w:rsidRPr="001A5573">
        <w:rPr>
          <w:rFonts w:ascii="Garamond" w:hAnsi="Garamond"/>
        </w:rPr>
        <w:t xml:space="preserve"> produces a</w:t>
      </w:r>
      <w:r w:rsidR="00F06875" w:rsidRPr="001A5573">
        <w:rPr>
          <w:rFonts w:ascii="Garamond" w:hAnsi="Garamond"/>
        </w:rPr>
        <w:t xml:space="preserve"> shifting</w:t>
      </w:r>
      <w:r w:rsidR="00F06875" w:rsidRPr="001A5573">
        <w:rPr>
          <w:rStyle w:val="Emphasis"/>
          <w:rFonts w:ascii="Garamond" w:eastAsiaTheme="majorEastAsia" w:hAnsi="Garamond"/>
        </w:rPr>
        <w:t xml:space="preserve"> </w:t>
      </w:r>
      <w:r w:rsidR="00F06875" w:rsidRPr="001A5573">
        <w:rPr>
          <w:rStyle w:val="Emphasis"/>
          <w:rFonts w:ascii="Garamond" w:eastAsiaTheme="majorEastAsia" w:hAnsi="Garamond"/>
          <w:i w:val="0"/>
          <w:iCs w:val="0"/>
        </w:rPr>
        <w:t>mosaic</w:t>
      </w:r>
      <w:r w:rsidR="00F06875" w:rsidRPr="001A5573">
        <w:rPr>
          <w:rFonts w:ascii="Garamond" w:hAnsi="Garamond"/>
        </w:rPr>
        <w:t xml:space="preserve"> of </w:t>
      </w:r>
      <w:r w:rsidR="00CE7CBF" w:rsidRPr="001A5573">
        <w:rPr>
          <w:rFonts w:ascii="Garamond" w:hAnsi="Garamond"/>
        </w:rPr>
        <w:t xml:space="preserve">habitat types </w:t>
      </w:r>
      <w:r w:rsidR="00F06875" w:rsidRPr="001A5573">
        <w:rPr>
          <w:rFonts w:ascii="Garamond" w:hAnsi="Garamond"/>
        </w:rPr>
        <w:t xml:space="preserve">across </w:t>
      </w:r>
      <w:r w:rsidR="00CE7CBF" w:rsidRPr="001A5573">
        <w:rPr>
          <w:rFonts w:ascii="Garamond" w:hAnsi="Garamond"/>
        </w:rPr>
        <w:t xml:space="preserve">the watershed which </w:t>
      </w:r>
      <w:r w:rsidR="00771117" w:rsidRPr="001A5573">
        <w:rPr>
          <w:rFonts w:ascii="Garamond" w:hAnsi="Garamond"/>
        </w:rPr>
        <w:t xml:space="preserve">differ in </w:t>
      </w:r>
      <w:r w:rsidR="00CE7CBF" w:rsidRPr="001A5573">
        <w:rPr>
          <w:rFonts w:ascii="Garamond" w:hAnsi="Garamond"/>
        </w:rPr>
        <w:t>suitability a</w:t>
      </w:r>
      <w:r w:rsidR="00771117" w:rsidRPr="001A5573">
        <w:rPr>
          <w:rFonts w:ascii="Garamond" w:hAnsi="Garamond"/>
        </w:rPr>
        <w:t xml:space="preserve">nd spatial arrangement and are continually reorganized across multiple spatial and temporal scales. </w:t>
      </w:r>
      <w:r w:rsidR="00FD6E18" w:rsidRPr="001A5573">
        <w:rPr>
          <w:rFonts w:ascii="Garamond" w:hAnsi="Garamond"/>
        </w:rPr>
        <w:t xml:space="preserve">In healthy, well-functioning watersheds, this process is expected to produce spatially heterogeneous patterns of ecological performance (e.g., growth and production) </w:t>
      </w:r>
      <w:r w:rsidR="00A65358" w:rsidRPr="001A5573">
        <w:rPr>
          <w:rFonts w:ascii="Garamond" w:hAnsi="Garamond"/>
        </w:rPr>
        <w:t xml:space="preserve">that shift in their spatial configuration </w:t>
      </w:r>
      <w:r w:rsidR="00F76583" w:rsidRPr="001A5573">
        <w:rPr>
          <w:rFonts w:ascii="Garamond" w:hAnsi="Garamond"/>
        </w:rPr>
        <w:t xml:space="preserve">as </w:t>
      </w:r>
      <w:r w:rsidR="00FD6E18" w:rsidRPr="001A5573">
        <w:rPr>
          <w:rFonts w:ascii="Garamond" w:hAnsi="Garamond"/>
        </w:rPr>
        <w:t xml:space="preserve">locally adapted subpopulations </w:t>
      </w:r>
      <w:r w:rsidR="00A65358" w:rsidRPr="001A5573">
        <w:rPr>
          <w:rFonts w:ascii="Garamond" w:hAnsi="Garamond"/>
        </w:rPr>
        <w:t>interact with variable</w:t>
      </w:r>
      <w:r w:rsidR="00FD6E18" w:rsidRPr="001A5573">
        <w:rPr>
          <w:rFonts w:ascii="Garamond" w:hAnsi="Garamond"/>
        </w:rPr>
        <w:t xml:space="preserve"> habitat suitability through space and time</w:t>
      </w:r>
      <w:r w:rsidR="00CF241E" w:rsidRPr="001A5573">
        <w:rPr>
          <w:rFonts w:ascii="Garamond" w:hAnsi="Garamond"/>
        </w:rPr>
        <w:t xml:space="preserve">. </w:t>
      </w:r>
      <w:r w:rsidR="00F76583" w:rsidRPr="001A5573">
        <w:rPr>
          <w:rFonts w:ascii="Garamond" w:hAnsi="Garamond"/>
        </w:rPr>
        <w:t>Despite variability among tributaries and sub-basin regions, this pattern is expected to stabilize ecosystem-scale performance (i.e., total salmon returns) by maintaining a diverse set of habitat conditions whose performance is weakly or negatively correlated under varying environmental conditions.</w:t>
      </w:r>
    </w:p>
    <w:p w14:paraId="1E3312FC" w14:textId="23697803" w:rsidR="007E5044" w:rsidRPr="001A5573" w:rsidRDefault="00832611" w:rsidP="00923E83">
      <w:pPr>
        <w:pStyle w:val="font-claude-response-body"/>
        <w:spacing w:line="360" w:lineRule="auto"/>
        <w:ind w:firstLine="360"/>
        <w:rPr>
          <w:rFonts w:ascii="Garamond" w:hAnsi="Garamond"/>
        </w:rPr>
      </w:pPr>
      <w:r w:rsidRPr="001A5573">
        <w:rPr>
          <w:rFonts w:ascii="Garamond" w:hAnsi="Garamond"/>
        </w:rPr>
        <w:t>Although the “shifting habitat mosaic” has been extensively described in relatively small ecosystems, it has only recently been empirically tested at the watershed scale in salmon systems, and then over relatively short timeframes (≤3 years; Brennan et al., 2019). To date, this pattern has not been examined in the world’s largest salmon-bearing watersheds or over longer temporal scales. Here, we reconstruct spatiotemporal patterns of watershed-scale production in the Yukon and Kuskokwim river basins—the largest salmon-bearing watersheds in North America—over a six-year period using otolith microchemistry, providing a framework for evaluating shifting habitat mosaics across large spatial extents and multi-year timescales.</w:t>
      </w:r>
    </w:p>
    <w:p w14:paraId="2BCA3ADC" w14:textId="77777777" w:rsidR="007E5044" w:rsidRPr="001A5573" w:rsidRDefault="007E5044" w:rsidP="001458A1">
      <w:pPr>
        <w:pStyle w:val="font-claude-response-body"/>
        <w:numPr>
          <w:ilvl w:val="0"/>
          <w:numId w:val="2"/>
        </w:numPr>
        <w:spacing w:line="360" w:lineRule="auto"/>
        <w:rPr>
          <w:rFonts w:ascii="Garamond" w:hAnsi="Garamond"/>
        </w:rPr>
      </w:pPr>
    </w:p>
    <w:p w14:paraId="6A915326" w14:textId="77777777" w:rsidR="00D93412" w:rsidRPr="001A5573" w:rsidRDefault="00D93412" w:rsidP="001458A1">
      <w:pPr>
        <w:pStyle w:val="font-claude-response-body"/>
        <w:spacing w:line="360" w:lineRule="auto"/>
        <w:rPr>
          <w:rFonts w:ascii="Garamond" w:hAnsi="Garamond"/>
          <w:b/>
          <w:bCs/>
          <w:u w:val="single"/>
        </w:rPr>
      </w:pPr>
    </w:p>
    <w:p w14:paraId="7C1A9FD7" w14:textId="77777777" w:rsidR="00D93412" w:rsidRPr="001A5573" w:rsidRDefault="00D93412" w:rsidP="001458A1">
      <w:pPr>
        <w:pStyle w:val="font-claude-response-body"/>
        <w:spacing w:line="360" w:lineRule="auto"/>
        <w:rPr>
          <w:rFonts w:ascii="Garamond" w:hAnsi="Garamond"/>
          <w:b/>
          <w:bCs/>
          <w:u w:val="single"/>
        </w:rPr>
      </w:pPr>
    </w:p>
    <w:p w14:paraId="28488EA9" w14:textId="06C62F8B" w:rsidR="00D93412" w:rsidRPr="001A5573" w:rsidRDefault="001458A1" w:rsidP="001458A1">
      <w:pPr>
        <w:pStyle w:val="font-claude-response-body"/>
        <w:spacing w:line="360" w:lineRule="auto"/>
        <w:rPr>
          <w:rFonts w:ascii="Garamond" w:hAnsi="Garamond"/>
          <w:b/>
          <w:bCs/>
          <w:u w:val="single"/>
        </w:rPr>
      </w:pPr>
      <w:r w:rsidRPr="001A5573">
        <w:rPr>
          <w:rFonts w:ascii="Garamond" w:hAnsi="Garamond"/>
          <w:b/>
          <w:bCs/>
          <w:u w:val="single"/>
        </w:rPr>
        <w:t>Methods</w:t>
      </w:r>
      <w:r w:rsidR="007E5044" w:rsidRPr="001A5573">
        <w:rPr>
          <w:rFonts w:ascii="Garamond" w:hAnsi="Garamond"/>
          <w:b/>
          <w:bCs/>
          <w:u w:val="single"/>
        </w:rPr>
        <w:t xml:space="preserve">: </w:t>
      </w:r>
    </w:p>
    <w:p w14:paraId="25DACF6F" w14:textId="7950C1A6" w:rsidR="007E0C3E" w:rsidRPr="001A5573" w:rsidRDefault="007E0C3E" w:rsidP="007E0C3E">
      <w:pPr>
        <w:pStyle w:val="font-claude-response-body"/>
        <w:spacing w:line="360" w:lineRule="auto"/>
        <w:rPr>
          <w:rFonts w:ascii="Garamond" w:hAnsi="Garamond"/>
          <w:b/>
          <w:bCs/>
          <w:u w:val="single"/>
        </w:rPr>
      </w:pPr>
      <w:r w:rsidRPr="001A5573">
        <w:rPr>
          <w:rFonts w:ascii="Garamond" w:hAnsi="Garamond"/>
          <w:b/>
          <w:bCs/>
          <w:u w:val="single"/>
        </w:rPr>
        <w:t xml:space="preserve">Otolith and Genetic Data: </w:t>
      </w:r>
    </w:p>
    <w:p w14:paraId="1A40552A" w14:textId="4D8E0867" w:rsidR="005462A2" w:rsidRPr="001A5573" w:rsidRDefault="00D93412" w:rsidP="005462A2">
      <w:pPr>
        <w:pStyle w:val="font-claude-response-body"/>
        <w:spacing w:line="360" w:lineRule="auto"/>
        <w:ind w:firstLine="720"/>
        <w:rPr>
          <w:rFonts w:ascii="Garamond" w:hAnsi="Garamond"/>
        </w:rPr>
      </w:pPr>
      <w:r w:rsidRPr="001A5573">
        <w:rPr>
          <w:rFonts w:ascii="Garamond" w:hAnsi="Garamond"/>
        </w:rPr>
        <w:lastRenderedPageBreak/>
        <w:t xml:space="preserve">Chinook salmon otoliths were collected from the Yukon (2015, 2016, 2019–2021) and Kuskokwim (2017–2022) rivers over several years from the downstream terminus of both rivers. Yukon otoliths were collected from the Lower Yukon Test Fishery (LYTF) operated by the Alaska Department of Fish and Game near </w:t>
      </w:r>
      <w:proofErr w:type="spellStart"/>
      <w:r w:rsidRPr="001A5573">
        <w:rPr>
          <w:rFonts w:ascii="Garamond" w:hAnsi="Garamond"/>
        </w:rPr>
        <w:t>Emmonok</w:t>
      </w:r>
      <w:proofErr w:type="spellEnd"/>
      <w:r w:rsidRPr="001A5573">
        <w:rPr>
          <w:rFonts w:ascii="Garamond" w:hAnsi="Garamond"/>
        </w:rPr>
        <w:t xml:space="preserve">, Ak and Kuskokwim otoliths were collected by collaborators at the </w:t>
      </w:r>
      <w:proofErr w:type="spellStart"/>
      <w:r w:rsidRPr="001A5573">
        <w:rPr>
          <w:rFonts w:ascii="Garamond" w:hAnsi="Garamond"/>
        </w:rPr>
        <w:t>Orutsararmiut</w:t>
      </w:r>
      <w:proofErr w:type="spellEnd"/>
      <w:r w:rsidRPr="001A5573">
        <w:rPr>
          <w:rFonts w:ascii="Garamond" w:hAnsi="Garamond"/>
        </w:rPr>
        <w:t xml:space="preserve"> Native Council at the Bethel Test Fishery (BTF) near Bethel, AK (Figure _). It is assumed that fish caught in each test fishery reared in their respective river and were therefore returning to their natal spawning grounds on capture. Both test fisheries are designed to </w:t>
      </w:r>
      <w:r w:rsidR="0017696D" w:rsidRPr="001A5573">
        <w:rPr>
          <w:rFonts w:ascii="Garamond" w:hAnsi="Garamond"/>
        </w:rPr>
        <w:t xml:space="preserve">sample throughout the run to gain insight on the timing of individual stocks throughout the basin. </w:t>
      </w:r>
      <w:r w:rsidRPr="001A5573">
        <w:rPr>
          <w:rFonts w:ascii="Garamond" w:hAnsi="Garamond"/>
        </w:rPr>
        <w:t xml:space="preserve">Roughly 500 otoliths were collected from each sample site and in each year, </w:t>
      </w:r>
      <w:proofErr w:type="gramStart"/>
      <w:r w:rsidRPr="001A5573">
        <w:rPr>
          <w:rFonts w:ascii="Garamond" w:hAnsi="Garamond"/>
        </w:rPr>
        <w:t>with the exception of</w:t>
      </w:r>
      <w:commentRangeStart w:id="0"/>
      <w:proofErr w:type="gramEnd"/>
      <w:r w:rsidRPr="001A5573">
        <w:rPr>
          <w:rFonts w:ascii="Garamond" w:hAnsi="Garamond"/>
        </w:rPr>
        <w:t xml:space="preserve"> ________________. </w:t>
      </w:r>
      <w:commentRangeEnd w:id="0"/>
      <w:r w:rsidRPr="001A5573">
        <w:rPr>
          <w:rStyle w:val="CommentReference"/>
          <w:rFonts w:ascii="Garamond" w:eastAsiaTheme="minorHAnsi" w:hAnsi="Garamond" w:cstheme="minorBidi"/>
          <w:kern w:val="2"/>
          <w:sz w:val="24"/>
          <w:szCs w:val="24"/>
          <w14:ligatures w14:val="standardContextual"/>
        </w:rPr>
        <w:commentReference w:id="0"/>
      </w:r>
      <w:r w:rsidRPr="001A5573">
        <w:rPr>
          <w:rFonts w:ascii="Garamond" w:hAnsi="Garamond"/>
        </w:rPr>
        <w:t xml:space="preserve">From these, ~250 otoliths per river and per year were selected for further analysis, ensuring relatively equal representation relative to CPUE across the full year. </w:t>
      </w:r>
      <w:r w:rsidR="0017696D" w:rsidRPr="001A5573">
        <w:rPr>
          <w:rFonts w:ascii="Garamond" w:hAnsi="Garamond"/>
        </w:rPr>
        <w:t>Selected otoliths wer</w:t>
      </w:r>
      <w:r w:rsidR="00B52516" w:rsidRPr="001A5573">
        <w:rPr>
          <w:rFonts w:ascii="Garamond" w:hAnsi="Garamond"/>
        </w:rPr>
        <w:t xml:space="preserve">e cut along the transverse plane using a low speed </w:t>
      </w:r>
      <w:proofErr w:type="spellStart"/>
      <w:r w:rsidR="00B52516" w:rsidRPr="001A5573">
        <w:rPr>
          <w:rFonts w:ascii="Garamond" w:hAnsi="Garamond"/>
        </w:rPr>
        <w:t>isomet</w:t>
      </w:r>
      <w:proofErr w:type="spellEnd"/>
      <w:r w:rsidR="00B52516" w:rsidRPr="001A5573">
        <w:rPr>
          <w:rFonts w:ascii="Garamond" w:hAnsi="Garamond"/>
        </w:rPr>
        <w:t xml:space="preserve"> saw to reveal the core and growth structure of the otolith, mounted on a microscope slide, and polished. </w:t>
      </w:r>
      <w:r w:rsidR="00B52516" w:rsidRPr="001A5573">
        <w:rPr>
          <w:rFonts w:ascii="Garamond" w:hAnsi="Garamond"/>
        </w:rPr>
        <w:fldChar w:fldCharType="begin"/>
      </w:r>
      <w:r w:rsidR="00B52516" w:rsidRPr="001A5573">
        <w:rPr>
          <w:rFonts w:ascii="Garamond" w:hAnsi="Garamond"/>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B52516" w:rsidRPr="001A5573">
        <w:rPr>
          <w:rFonts w:ascii="Garamond" w:hAnsi="Garamond"/>
        </w:rPr>
        <w:fldChar w:fldCharType="separate"/>
      </w:r>
      <w:r w:rsidR="00B52516" w:rsidRPr="001A5573">
        <w:rPr>
          <w:rFonts w:ascii="Garamond" w:hAnsi="Garamond"/>
          <w:noProof/>
        </w:rPr>
        <w:t>(Donohoe &amp; Zimmerman, 2010; Zimmerman &amp; Reeves, 2002)</w:t>
      </w:r>
      <w:r w:rsidR="00B52516" w:rsidRPr="001A5573">
        <w:rPr>
          <w:rFonts w:ascii="Garamond" w:hAnsi="Garamond"/>
        </w:rPr>
        <w:fldChar w:fldCharType="end"/>
      </w:r>
      <w:r w:rsidR="00B52516" w:rsidRPr="001A5573">
        <w:rPr>
          <w:rFonts w:ascii="Garamond" w:hAnsi="Garamond"/>
        </w:rPr>
        <w:t xml:space="preserve">. Samples were then analyzed for Sr8786 and Sr88 using Laser Ablation Inductively Coupled Plasma Mass Spectrometry (LA-ICP-MS) at the University of Utah Strontium Metals Lab. Laser ablation was performed from the otolith core to just after the onset of the marine signature along the dorsal lobe scanning at 2 microns/second. </w:t>
      </w:r>
      <w:r w:rsidR="00531B95" w:rsidRPr="001A5573">
        <w:rPr>
          <w:rFonts w:ascii="Garamond" w:hAnsi="Garamond"/>
        </w:rPr>
        <w:t xml:space="preserve">The Sr87/Sr86 value from the natal rearing location was identified manually by examining the first stable value following the rapid decrease from that of the core, which was identified both by examining the position of the ablation transect relative to the visible core region on the otolith as well as a general </w:t>
      </w:r>
      <w:r w:rsidR="005462A2" w:rsidRPr="001A5573">
        <w:rPr>
          <w:rFonts w:ascii="Garamond" w:hAnsi="Garamond"/>
        </w:rPr>
        <w:t>convergence</w:t>
      </w:r>
      <w:r w:rsidR="00531B95" w:rsidRPr="001A5573">
        <w:rPr>
          <w:rFonts w:ascii="Garamond" w:hAnsi="Garamond"/>
        </w:rPr>
        <w:t xml:space="preserve"> towards the global marine Sr8786 value (0.70819</w:t>
      </w:r>
      <w:r w:rsidR="005462A2" w:rsidRPr="001A5573">
        <w:rPr>
          <w:rFonts w:ascii="Garamond" w:hAnsi="Garamond"/>
        </w:rPr>
        <w:t xml:space="preserve">). Fin clip samples were taken from as many Yukon individuals as possible and genetic stock identification (GSI) assignments were estimated based on methods in Makhlouf et al., 2025 using X genetic baselines </w:t>
      </w:r>
      <w:proofErr w:type="gramStart"/>
      <w:r w:rsidR="005462A2" w:rsidRPr="001A5573">
        <w:rPr>
          <w:rFonts w:ascii="Garamond" w:hAnsi="Garamond"/>
        </w:rPr>
        <w:t>( cites</w:t>
      </w:r>
      <w:proofErr w:type="gramEnd"/>
      <w:r w:rsidR="005462A2" w:rsidRPr="001A5573">
        <w:rPr>
          <w:rFonts w:ascii="Garamond" w:hAnsi="Garamond"/>
        </w:rPr>
        <w:t xml:space="preserve"> from there here). </w:t>
      </w:r>
    </w:p>
    <w:p w14:paraId="6CDF2D7D" w14:textId="77777777" w:rsidR="00617B10" w:rsidRPr="001A5573" w:rsidRDefault="00617B10" w:rsidP="001458A1">
      <w:pPr>
        <w:pStyle w:val="font-claude-response-body"/>
        <w:spacing w:line="360" w:lineRule="auto"/>
        <w:rPr>
          <w:rFonts w:ascii="Garamond" w:hAnsi="Garamond"/>
          <w:b/>
          <w:bCs/>
          <w:u w:val="single"/>
        </w:rPr>
      </w:pPr>
    </w:p>
    <w:p w14:paraId="77312142" w14:textId="77777777" w:rsidR="00617B10" w:rsidRPr="001A5573" w:rsidRDefault="00617B10" w:rsidP="001458A1">
      <w:pPr>
        <w:pStyle w:val="font-claude-response-body"/>
        <w:spacing w:line="360" w:lineRule="auto"/>
        <w:rPr>
          <w:rFonts w:ascii="Garamond" w:hAnsi="Garamond"/>
          <w:b/>
          <w:bCs/>
          <w:u w:val="single"/>
        </w:rPr>
      </w:pPr>
    </w:p>
    <w:p w14:paraId="365A8E8B" w14:textId="0AEE68A4" w:rsidR="00923E83" w:rsidRPr="001A5573" w:rsidRDefault="00923E83" w:rsidP="001458A1">
      <w:pPr>
        <w:pStyle w:val="font-claude-response-body"/>
        <w:spacing w:line="360" w:lineRule="auto"/>
        <w:rPr>
          <w:rFonts w:ascii="Garamond" w:hAnsi="Garamond"/>
          <w:b/>
          <w:bCs/>
          <w:u w:val="single"/>
        </w:rPr>
      </w:pPr>
      <w:r w:rsidRPr="001A5573">
        <w:rPr>
          <w:rFonts w:ascii="Garamond" w:hAnsi="Garamond"/>
          <w:b/>
          <w:bCs/>
          <w:u w:val="single"/>
        </w:rPr>
        <w:t>Provenance estimates</w:t>
      </w:r>
    </w:p>
    <w:p w14:paraId="4C690695" w14:textId="47A06FAA" w:rsidR="00617B10" w:rsidRPr="001A5573" w:rsidRDefault="00A6046C" w:rsidP="00A6046C">
      <w:pPr>
        <w:pStyle w:val="font-claude-response-body"/>
        <w:spacing w:line="360" w:lineRule="auto"/>
        <w:ind w:firstLine="720"/>
        <w:rPr>
          <w:rFonts w:ascii="Garamond" w:hAnsi="Garamond"/>
          <w:b/>
          <w:bCs/>
          <w:u w:val="single"/>
        </w:rPr>
      </w:pPr>
      <w:r w:rsidRPr="001A5573">
        <w:rPr>
          <w:rFonts w:ascii="Garamond" w:hAnsi="Garamond"/>
        </w:rPr>
        <w:t>Maps of the spatial distribution of ^87Sr/^86Sr (i.e., “</w:t>
      </w:r>
      <w:proofErr w:type="spellStart"/>
      <w:r w:rsidRPr="001A5573">
        <w:rPr>
          <w:rFonts w:ascii="Garamond" w:hAnsi="Garamond"/>
        </w:rPr>
        <w:t>isoscapes</w:t>
      </w:r>
      <w:proofErr w:type="spellEnd"/>
      <w:r w:rsidRPr="001A5573">
        <w:rPr>
          <w:rFonts w:ascii="Garamond" w:hAnsi="Garamond"/>
        </w:rPr>
        <w:t xml:space="preserve">”) have been developed for both the Kuskokwim and Yukon river basins using spatial stream network modeling (SSNM). This </w:t>
      </w:r>
      <w:r w:rsidRPr="001A5573">
        <w:rPr>
          <w:rFonts w:ascii="Garamond" w:hAnsi="Garamond"/>
        </w:rPr>
        <w:lastRenderedPageBreak/>
        <w:t xml:space="preserve">approach accounts for both Euclidean and flow-connected spatial autocorrelation, as well as the influence of multiple reach-scale covariates on strontium isotope ratios (French et al., X; Makhlouf et al., 2025). Both </w:t>
      </w:r>
      <w:proofErr w:type="spellStart"/>
      <w:r w:rsidRPr="001A5573">
        <w:rPr>
          <w:rFonts w:ascii="Garamond" w:hAnsi="Garamond"/>
        </w:rPr>
        <w:t>isoscapes</w:t>
      </w:r>
      <w:proofErr w:type="spellEnd"/>
      <w:r w:rsidRPr="001A5573">
        <w:rPr>
          <w:rFonts w:ascii="Garamond" w:hAnsi="Garamond"/>
        </w:rPr>
        <w:t xml:space="preserve"> include reach-specific estimates of model uncertainty. Because the Yukon </w:t>
      </w:r>
      <w:proofErr w:type="spellStart"/>
      <w:r w:rsidRPr="001A5573">
        <w:rPr>
          <w:rFonts w:ascii="Garamond" w:hAnsi="Garamond"/>
        </w:rPr>
        <w:t>isoscape</w:t>
      </w:r>
      <w:proofErr w:type="spellEnd"/>
      <w:r w:rsidRPr="001A5573">
        <w:rPr>
          <w:rFonts w:ascii="Garamond" w:hAnsi="Garamond"/>
        </w:rPr>
        <w:t xml:space="preserve"> encompasses a substantially larger spatial extent and has lower sampling density per river kilometer, associated prediction error is considerably higher than in the Kuskokwim (add error range). In both systems, however, reaches with exceptionally low prediction error—typically those closest to sampling locations—are relatively rare and tend to receive a disproportionate number of assignments.</w:t>
      </w:r>
      <w:r w:rsidR="006D31BE" w:rsidRPr="001A5573">
        <w:rPr>
          <w:rFonts w:ascii="Garamond" w:hAnsi="Garamond"/>
        </w:rPr>
        <w:t xml:space="preserve"> To avoid this, minimum error values for each </w:t>
      </w:r>
      <w:proofErr w:type="spellStart"/>
      <w:r w:rsidR="006D31BE" w:rsidRPr="001A5573">
        <w:rPr>
          <w:rFonts w:ascii="Garamond" w:hAnsi="Garamond"/>
        </w:rPr>
        <w:t>isoscape</w:t>
      </w:r>
      <w:proofErr w:type="spellEnd"/>
      <w:r w:rsidR="006D31BE" w:rsidRPr="001A5573">
        <w:rPr>
          <w:rFonts w:ascii="Garamond" w:hAnsi="Garamond"/>
        </w:rPr>
        <w:t xml:space="preserve"> were adjusted to .003 and .00003 for the Yukon and Kuskokwim </w:t>
      </w:r>
      <w:proofErr w:type="spellStart"/>
      <w:r w:rsidR="006D31BE" w:rsidRPr="001A5573">
        <w:rPr>
          <w:rFonts w:ascii="Garamond" w:hAnsi="Garamond"/>
        </w:rPr>
        <w:t>isoscape</w:t>
      </w:r>
      <w:proofErr w:type="spellEnd"/>
      <w:r w:rsidR="006D31BE" w:rsidRPr="001A5573">
        <w:rPr>
          <w:rFonts w:ascii="Garamond" w:hAnsi="Garamond"/>
        </w:rPr>
        <w:t xml:space="preserve">, respectively. All reaches with error values below this were assigned this value. </w:t>
      </w:r>
    </w:p>
    <w:p w14:paraId="7EDDF165" w14:textId="50983BFB" w:rsidR="00B7063C" w:rsidRDefault="00B7063C" w:rsidP="00B7063C">
      <w:pPr>
        <w:pStyle w:val="font-claude-response-body"/>
        <w:spacing w:line="360" w:lineRule="auto"/>
        <w:rPr>
          <w:rFonts w:ascii="Garamond" w:hAnsi="Garamond"/>
        </w:rPr>
      </w:pPr>
      <w:r w:rsidRPr="001A5573">
        <w:rPr>
          <w:rFonts w:ascii="Garamond" w:hAnsi="Garamond"/>
        </w:rPr>
        <w:tab/>
      </w:r>
      <w:r w:rsidR="000B246E" w:rsidRPr="001A5573">
        <w:rPr>
          <w:rFonts w:ascii="Garamond" w:hAnsi="Garamond"/>
        </w:rPr>
        <w:t xml:space="preserve">From the extracted natal-origin values, the likelihood of provenance was estimated for all reaches within each basin using a probabilistic Bayesian framework (Makhlouf et al., 2025). For Yukon samples, a genetic prior was incorporated based on posterior probabilities from genetic stock identification assignments (Makhlouf et al., 2025). In addition, three spatial priors were applied to reduce assignment to reaches with low likelihood of occupancy by spawning adult Chinook salmon. </w:t>
      </w:r>
      <w:r w:rsidR="009E2EDB" w:rsidRPr="001A5573">
        <w:rPr>
          <w:rFonts w:ascii="Garamond" w:hAnsi="Garamond"/>
        </w:rPr>
        <w:t>Specifically, assignments were constrained to streams of order X or greater, and a habitat prior assigned zero probability to reaches with average channel gradients &gt; X. Together, these constraints reflect the preference of Chinook salmon for spawning in larger tributaries and the observed unsuitability of both extremely low-gradient and steep reaches. Finally, a “presence prior” was derived from USGS intrinsic potential mapping, which identifies reaches where spawning Chinook salmon have been observed based on multiple data sources [ref]. This prior was applied to mainstem tributaries in both river basins, assigning zero probability to reaches with no documented evidence of spawning Chinook salmon. We restricted application of this prior to mainstem reaches to avoid unduly limiting assignments in more remote tributaries where the absence of observations likely reflects limited sampling effort rather than true absence, while still incorporating available presence information into the assignment framework.</w:t>
      </w:r>
      <w:r w:rsidR="00305904">
        <w:rPr>
          <w:rFonts w:ascii="Garamond" w:hAnsi="Garamond"/>
        </w:rPr>
        <w:t xml:space="preserve"> </w:t>
      </w:r>
      <w:r w:rsidR="00C72A0B">
        <w:rPr>
          <w:rFonts w:ascii="Garamond" w:hAnsi="Garamond"/>
        </w:rPr>
        <w:t xml:space="preserve">For </w:t>
      </w:r>
      <w:proofErr w:type="gramStart"/>
      <w:r w:rsidR="00C72A0B">
        <w:rPr>
          <w:rFonts w:ascii="Garamond" w:hAnsi="Garamond"/>
        </w:rPr>
        <w:t>each individual</w:t>
      </w:r>
      <w:proofErr w:type="gramEnd"/>
      <w:r w:rsidR="00C72A0B">
        <w:rPr>
          <w:rFonts w:ascii="Garamond" w:hAnsi="Garamond"/>
        </w:rPr>
        <w:t xml:space="preserve">, the result is a posterior probability of provenance for all tributaries in the basin. These data were then normalized to sum to 1 across the basin and rescaled to range from 0-1, thereby indicating relative probability of provenance across the basin. </w:t>
      </w:r>
    </w:p>
    <w:p w14:paraId="4B94F9FB" w14:textId="77777777" w:rsidR="00C72A0B" w:rsidRDefault="00C72A0B" w:rsidP="00B7063C">
      <w:pPr>
        <w:pStyle w:val="font-claude-response-body"/>
        <w:spacing w:line="360" w:lineRule="auto"/>
        <w:rPr>
          <w:rFonts w:ascii="Garamond" w:hAnsi="Garamond"/>
        </w:rPr>
      </w:pPr>
    </w:p>
    <w:p w14:paraId="11ADC1DF" w14:textId="240A4E7F" w:rsidR="00C72A0B" w:rsidRPr="00453CA2" w:rsidRDefault="00C72A0B" w:rsidP="00B7063C">
      <w:pPr>
        <w:pStyle w:val="font-claude-response-body"/>
        <w:spacing w:line="360" w:lineRule="auto"/>
        <w:rPr>
          <w:rFonts w:ascii="Garamond" w:hAnsi="Garamond"/>
          <w:b/>
          <w:bCs/>
        </w:rPr>
      </w:pPr>
      <w:r w:rsidRPr="00453CA2">
        <w:rPr>
          <w:rFonts w:ascii="Garamond" w:hAnsi="Garamond"/>
          <w:b/>
          <w:bCs/>
        </w:rPr>
        <w:lastRenderedPageBreak/>
        <w:t xml:space="preserve">Population scale provenance Estimates </w:t>
      </w:r>
    </w:p>
    <w:p w14:paraId="25ED1735" w14:textId="07FD2467" w:rsidR="00B7063C" w:rsidRDefault="00E42C33" w:rsidP="00453CA2">
      <w:pPr>
        <w:pStyle w:val="font-claude-response-body"/>
        <w:spacing w:line="360" w:lineRule="auto"/>
        <w:ind w:firstLine="720"/>
        <w:rPr>
          <w:rFonts w:ascii="Garamond" w:hAnsi="Garamond"/>
        </w:rPr>
      </w:pPr>
      <w:r w:rsidRPr="00453CA2">
        <w:rPr>
          <w:rFonts w:ascii="Garamond" w:hAnsi="Garamond"/>
        </w:rPr>
        <w:t xml:space="preserve">To estimate the spatial distribution of natal origin locations across the full year, normalized individual probabilities were summed across all locations. Before summing, </w:t>
      </w:r>
      <w:proofErr w:type="gramStart"/>
      <w:r w:rsidRPr="00453CA2">
        <w:rPr>
          <w:rFonts w:ascii="Garamond" w:hAnsi="Garamond"/>
        </w:rPr>
        <w:t>each individual’s</w:t>
      </w:r>
      <w:proofErr w:type="gramEnd"/>
      <w:r w:rsidRPr="00453CA2">
        <w:rPr>
          <w:rFonts w:ascii="Garamond" w:hAnsi="Garamond"/>
        </w:rPr>
        <w:t xml:space="preserve"> normalized provenance assignment was weighted by the ratio of the catch-per-unit-effort (CPUE) proportion to the proportion of the total otolith dataset within five equally spaced seasonal strata. This weighting ensured that otolith-based assignments proportionally represented the number of fish entering the river throughout the season. Summed basin-scale estimates of natal origin were then rescaled to sum to 1 and normalized to range from 0 to 1, reflecting relative production across the basin. Finally, these rescaled basin-scale assignments were multiplied by </w:t>
      </w:r>
      <w:r w:rsidRPr="00453CA2">
        <w:rPr>
          <w:rStyle w:val="Emphasis"/>
          <w:rFonts w:ascii="Garamond" w:eastAsiaTheme="majorEastAsia" w:hAnsi="Garamond"/>
        </w:rPr>
        <w:t>Total escapement</w:t>
      </w:r>
      <w:r w:rsidRPr="00453CA2">
        <w:rPr>
          <w:rFonts w:ascii="Garamond" w:hAnsi="Garamond"/>
        </w:rPr>
        <w:t xml:space="preserve"> to convert relative production estimates into the estimated number of individuals originating from each reach.</w:t>
      </w:r>
    </w:p>
    <w:p w14:paraId="508906D8" w14:textId="77777777" w:rsidR="00453CA2" w:rsidRDefault="00453CA2" w:rsidP="00453CA2">
      <w:pPr>
        <w:pStyle w:val="font-claude-response-body"/>
        <w:spacing w:line="360" w:lineRule="auto"/>
        <w:rPr>
          <w:rFonts w:ascii="Garamond" w:hAnsi="Garamond"/>
        </w:rPr>
      </w:pPr>
    </w:p>
    <w:p w14:paraId="04EDEFAD" w14:textId="73981FA0" w:rsidR="00453CA2" w:rsidRPr="00453CA2" w:rsidRDefault="00453CA2" w:rsidP="00453CA2">
      <w:pPr>
        <w:pStyle w:val="font-claude-response-body"/>
        <w:spacing w:line="360" w:lineRule="auto"/>
        <w:rPr>
          <w:rFonts w:ascii="Garamond" w:hAnsi="Garamond"/>
        </w:rPr>
      </w:pPr>
      <w:r>
        <w:rPr>
          <w:rFonts w:ascii="Garamond" w:hAnsi="Garamond"/>
        </w:rPr>
        <w:t xml:space="preserve">Spatial distribution of Age class and top growth </w:t>
      </w:r>
    </w:p>
    <w:p w14:paraId="1B039373" w14:textId="77777777" w:rsidR="001A5573" w:rsidRDefault="001A5573" w:rsidP="00B7063C">
      <w:pPr>
        <w:pStyle w:val="font-claude-response-body"/>
        <w:spacing w:line="360" w:lineRule="auto"/>
        <w:rPr>
          <w:rFonts w:ascii="Garamond" w:hAnsi="Garamond"/>
        </w:rPr>
      </w:pPr>
    </w:p>
    <w:p w14:paraId="0DBD65D8" w14:textId="77777777" w:rsidR="001A5573" w:rsidRDefault="001A5573" w:rsidP="00B7063C">
      <w:pPr>
        <w:pStyle w:val="font-claude-response-body"/>
        <w:spacing w:line="360" w:lineRule="auto"/>
        <w:rPr>
          <w:rFonts w:ascii="Garamond" w:hAnsi="Garamond"/>
        </w:rPr>
      </w:pPr>
    </w:p>
    <w:p w14:paraId="5DCE5F84" w14:textId="77777777" w:rsidR="00C72A0B" w:rsidRDefault="00C72A0B" w:rsidP="00B7063C">
      <w:pPr>
        <w:pStyle w:val="font-claude-response-body"/>
        <w:spacing w:line="360" w:lineRule="auto"/>
        <w:rPr>
          <w:rFonts w:ascii="Garamond" w:hAnsi="Garamond"/>
        </w:rPr>
      </w:pPr>
    </w:p>
    <w:p w14:paraId="0F7F824C" w14:textId="77777777" w:rsidR="00C72A0B" w:rsidRDefault="00C72A0B" w:rsidP="00B7063C">
      <w:pPr>
        <w:pStyle w:val="font-claude-response-body"/>
        <w:spacing w:line="360" w:lineRule="auto"/>
        <w:rPr>
          <w:rFonts w:ascii="Garamond" w:hAnsi="Garamond"/>
        </w:rPr>
      </w:pPr>
    </w:p>
    <w:p w14:paraId="369AEB74" w14:textId="77777777" w:rsidR="00C72A0B" w:rsidRDefault="00C72A0B" w:rsidP="00B7063C">
      <w:pPr>
        <w:pStyle w:val="font-claude-response-body"/>
        <w:spacing w:line="360" w:lineRule="auto"/>
        <w:rPr>
          <w:rFonts w:ascii="Garamond" w:hAnsi="Garamond"/>
        </w:rPr>
      </w:pPr>
    </w:p>
    <w:p w14:paraId="79DA45B8" w14:textId="77777777" w:rsidR="00C72A0B" w:rsidRDefault="00C72A0B" w:rsidP="00B7063C">
      <w:pPr>
        <w:pStyle w:val="font-claude-response-body"/>
        <w:spacing w:line="360" w:lineRule="auto"/>
        <w:rPr>
          <w:rFonts w:ascii="Garamond" w:hAnsi="Garamond"/>
        </w:rPr>
      </w:pPr>
    </w:p>
    <w:p w14:paraId="0A548AA0" w14:textId="77777777" w:rsidR="00C72A0B" w:rsidRDefault="00C72A0B" w:rsidP="00B7063C">
      <w:pPr>
        <w:pStyle w:val="font-claude-response-body"/>
        <w:spacing w:line="360" w:lineRule="auto"/>
        <w:rPr>
          <w:rFonts w:ascii="Garamond" w:hAnsi="Garamond"/>
        </w:rPr>
      </w:pPr>
    </w:p>
    <w:p w14:paraId="6930380A" w14:textId="77777777" w:rsidR="00C72A0B" w:rsidRDefault="00C72A0B" w:rsidP="00B7063C">
      <w:pPr>
        <w:pStyle w:val="font-claude-response-body"/>
        <w:spacing w:line="360" w:lineRule="auto"/>
        <w:rPr>
          <w:rFonts w:ascii="Garamond" w:hAnsi="Garamond"/>
        </w:rPr>
      </w:pPr>
    </w:p>
    <w:p w14:paraId="45416F27" w14:textId="1DDCA63C" w:rsidR="008C7704" w:rsidRPr="008C7704" w:rsidRDefault="008C7704" w:rsidP="00453CA2">
      <w:pPr>
        <w:pStyle w:val="font-claude-response-body"/>
        <w:spacing w:line="360" w:lineRule="auto"/>
        <w:rPr>
          <w:rFonts w:ascii="Garamond" w:hAnsi="Garamond"/>
          <w:b/>
          <w:bCs/>
          <w:u w:val="single"/>
        </w:rPr>
      </w:pPr>
      <w:r>
        <w:rPr>
          <w:rFonts w:ascii="Garamond" w:hAnsi="Garamond"/>
        </w:rPr>
        <w:t xml:space="preserve">For years where we don’t have all the Yukon data, we did 50% of the total CPUE. </w:t>
      </w:r>
    </w:p>
    <w:p w14:paraId="64359F15" w14:textId="4044A1D4" w:rsidR="008C7704" w:rsidRDefault="008C7704" w:rsidP="008C7704">
      <w:pPr>
        <w:pStyle w:val="font-claude-response-body"/>
        <w:spacing w:line="360" w:lineRule="auto"/>
        <w:rPr>
          <w:rFonts w:ascii="Garamond" w:hAnsi="Garamond"/>
        </w:rPr>
      </w:pPr>
      <w:r>
        <w:rPr>
          <w:rFonts w:ascii="Garamond" w:hAnsi="Garamond"/>
        </w:rPr>
        <w:t xml:space="preserve">Age class and top growth analysis. </w:t>
      </w:r>
    </w:p>
    <w:p w14:paraId="133A91A5" w14:textId="66A1B1FA" w:rsidR="008C7704" w:rsidRDefault="008C7704" w:rsidP="008C7704">
      <w:pPr>
        <w:pStyle w:val="font-claude-response-body"/>
        <w:spacing w:line="360" w:lineRule="auto"/>
        <w:rPr>
          <w:rFonts w:ascii="Garamond" w:hAnsi="Garamond"/>
        </w:rPr>
      </w:pPr>
      <w:r>
        <w:rPr>
          <w:rFonts w:ascii="Garamond" w:hAnsi="Garamond"/>
        </w:rPr>
        <w:lastRenderedPageBreak/>
        <w:t xml:space="preserve">Spatial production pattern Analysis </w:t>
      </w:r>
    </w:p>
    <w:p w14:paraId="440D4F28" w14:textId="2D8843D2" w:rsidR="008C7704" w:rsidRDefault="008C7704" w:rsidP="008C7704">
      <w:pPr>
        <w:pStyle w:val="font-claude-response-body"/>
        <w:spacing w:line="360" w:lineRule="auto"/>
        <w:rPr>
          <w:rFonts w:ascii="Garamond" w:hAnsi="Garamond"/>
        </w:rPr>
      </w:pPr>
      <w:r>
        <w:rPr>
          <w:rFonts w:ascii="Garamond" w:hAnsi="Garamond"/>
        </w:rPr>
        <w:t xml:space="preserve">Variability at spatial scales </w:t>
      </w:r>
    </w:p>
    <w:p w14:paraId="525CCEC9" w14:textId="77777777" w:rsidR="00923E83" w:rsidRDefault="00923E83" w:rsidP="001458A1">
      <w:pPr>
        <w:pStyle w:val="font-claude-response-body"/>
        <w:spacing w:line="360" w:lineRule="auto"/>
        <w:rPr>
          <w:rFonts w:ascii="Garamond" w:hAnsi="Garamond"/>
          <w:b/>
          <w:bCs/>
          <w:sz w:val="32"/>
          <w:szCs w:val="32"/>
          <w:u w:val="single"/>
        </w:rPr>
      </w:pPr>
    </w:p>
    <w:p w14:paraId="7865BC79" w14:textId="77777777" w:rsidR="00DE117F" w:rsidRDefault="00DE117F" w:rsidP="001458A1">
      <w:pPr>
        <w:pStyle w:val="font-claude-response-body"/>
        <w:spacing w:line="360" w:lineRule="auto"/>
        <w:rPr>
          <w:rFonts w:ascii="Garamond" w:hAnsi="Garamond"/>
          <w:b/>
          <w:bCs/>
          <w:sz w:val="32"/>
          <w:szCs w:val="32"/>
          <w:u w:val="single"/>
        </w:rPr>
      </w:pPr>
    </w:p>
    <w:p w14:paraId="1B98B282" w14:textId="77777777" w:rsidR="00DE117F" w:rsidRDefault="00DE117F" w:rsidP="001458A1">
      <w:pPr>
        <w:pStyle w:val="font-claude-response-body"/>
        <w:spacing w:line="360" w:lineRule="auto"/>
        <w:rPr>
          <w:rFonts w:ascii="Garamond" w:hAnsi="Garamond"/>
          <w:b/>
          <w:bCs/>
          <w:sz w:val="32"/>
          <w:szCs w:val="32"/>
          <w:u w:val="single"/>
        </w:rPr>
      </w:pPr>
    </w:p>
    <w:p w14:paraId="5D241948" w14:textId="77777777" w:rsidR="00DE117F" w:rsidRDefault="00DE117F" w:rsidP="001458A1">
      <w:pPr>
        <w:pStyle w:val="font-claude-response-body"/>
        <w:spacing w:line="360" w:lineRule="auto"/>
        <w:rPr>
          <w:rFonts w:ascii="Garamond" w:hAnsi="Garamond"/>
          <w:b/>
          <w:bCs/>
          <w:sz w:val="32"/>
          <w:szCs w:val="32"/>
          <w:u w:val="single"/>
        </w:rPr>
      </w:pPr>
    </w:p>
    <w:p w14:paraId="4F307B53" w14:textId="77777777" w:rsidR="00DE117F" w:rsidRDefault="00DE117F" w:rsidP="001458A1">
      <w:pPr>
        <w:pStyle w:val="font-claude-response-body"/>
        <w:spacing w:line="360" w:lineRule="auto"/>
        <w:rPr>
          <w:rFonts w:ascii="Garamond" w:hAnsi="Garamond"/>
          <w:b/>
          <w:bCs/>
          <w:sz w:val="32"/>
          <w:szCs w:val="32"/>
          <w:u w:val="single"/>
        </w:rPr>
      </w:pPr>
    </w:p>
    <w:p w14:paraId="3DCE34D7" w14:textId="77777777" w:rsidR="00DE117F" w:rsidRDefault="00DE117F" w:rsidP="001458A1">
      <w:pPr>
        <w:pStyle w:val="font-claude-response-body"/>
        <w:spacing w:line="360" w:lineRule="auto"/>
        <w:rPr>
          <w:rFonts w:ascii="Garamond" w:hAnsi="Garamond"/>
          <w:b/>
          <w:bCs/>
          <w:sz w:val="32"/>
          <w:szCs w:val="32"/>
          <w:u w:val="single"/>
        </w:rPr>
      </w:pPr>
    </w:p>
    <w:p w14:paraId="4FA07BDB" w14:textId="77777777" w:rsidR="00DE117F" w:rsidRDefault="00DE117F" w:rsidP="001458A1">
      <w:pPr>
        <w:pStyle w:val="font-claude-response-body"/>
        <w:spacing w:line="360" w:lineRule="auto"/>
        <w:rPr>
          <w:rFonts w:ascii="Garamond" w:hAnsi="Garamond"/>
          <w:b/>
          <w:bCs/>
          <w:sz w:val="32"/>
          <w:szCs w:val="32"/>
          <w:u w:val="single"/>
        </w:rPr>
      </w:pPr>
    </w:p>
    <w:p w14:paraId="10E6E083" w14:textId="602A7D59" w:rsid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Results</w:t>
      </w:r>
      <w:r w:rsidRPr="007E5044">
        <w:rPr>
          <w:rFonts w:ascii="Garamond" w:hAnsi="Garamond"/>
          <w:b/>
          <w:bCs/>
          <w:sz w:val="32"/>
          <w:szCs w:val="32"/>
          <w:u w:val="single"/>
        </w:rPr>
        <w:t xml:space="preserve">: </w:t>
      </w:r>
    </w:p>
    <w:p w14:paraId="4FD10584" w14:textId="114330E2" w:rsidR="008922E1" w:rsidRP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Discussion</w:t>
      </w:r>
      <w:r w:rsidRPr="007E5044">
        <w:rPr>
          <w:rFonts w:ascii="Garamond" w:hAnsi="Garamond"/>
          <w:b/>
          <w:bCs/>
          <w:sz w:val="32"/>
          <w:szCs w:val="32"/>
          <w:u w:val="single"/>
        </w:rPr>
        <w:t xml:space="preserve">: </w:t>
      </w:r>
    </w:p>
    <w:sectPr w:rsidR="008922E1" w:rsidRPr="001458A1" w:rsidSect="00886C2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mak29" w:date="2025-12-24T12:30:00Z" w:initials="b">
    <w:p w14:paraId="137C340C" w14:textId="77777777" w:rsidR="00D93412" w:rsidRDefault="00D93412" w:rsidP="00D93412">
      <w:r>
        <w:rPr>
          <w:rStyle w:val="CommentReference"/>
        </w:rPr>
        <w:annotationRef/>
      </w:r>
      <w:r>
        <w:rPr>
          <w:sz w:val="20"/>
          <w:szCs w:val="20"/>
        </w:rPr>
        <w:t>Note to self to quantify the sample size and add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C34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977636" w16cex:dateUtc="2025-12-24T1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C340C" w16cid:durableId="7797763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B168A"/>
    <w:multiLevelType w:val="hybridMultilevel"/>
    <w:tmpl w:val="76425974"/>
    <w:lvl w:ilvl="0" w:tplc="73783AF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2"/>
  </w:num>
  <w:num w:numId="3" w16cid:durableId="1027416018">
    <w:abstractNumId w:val="3"/>
  </w:num>
  <w:num w:numId="4" w16cid:durableId="6735290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42ED8"/>
    <w:rsid w:val="00045FA5"/>
    <w:rsid w:val="00085352"/>
    <w:rsid w:val="000941AF"/>
    <w:rsid w:val="000B246E"/>
    <w:rsid w:val="001458A1"/>
    <w:rsid w:val="0017696D"/>
    <w:rsid w:val="001844EB"/>
    <w:rsid w:val="001A5573"/>
    <w:rsid w:val="00206BA8"/>
    <w:rsid w:val="00210847"/>
    <w:rsid w:val="002C2367"/>
    <w:rsid w:val="002F12C3"/>
    <w:rsid w:val="00302363"/>
    <w:rsid w:val="00305904"/>
    <w:rsid w:val="00331E1C"/>
    <w:rsid w:val="003642FE"/>
    <w:rsid w:val="00397D74"/>
    <w:rsid w:val="003B0A46"/>
    <w:rsid w:val="00402911"/>
    <w:rsid w:val="00437104"/>
    <w:rsid w:val="00453CA2"/>
    <w:rsid w:val="004564FF"/>
    <w:rsid w:val="00464971"/>
    <w:rsid w:val="00482966"/>
    <w:rsid w:val="00490C40"/>
    <w:rsid w:val="004D176C"/>
    <w:rsid w:val="00531B95"/>
    <w:rsid w:val="005462A2"/>
    <w:rsid w:val="005736BA"/>
    <w:rsid w:val="005E5343"/>
    <w:rsid w:val="00617B10"/>
    <w:rsid w:val="00634AE0"/>
    <w:rsid w:val="006D31BE"/>
    <w:rsid w:val="0073537D"/>
    <w:rsid w:val="00744D0E"/>
    <w:rsid w:val="00771117"/>
    <w:rsid w:val="00777D93"/>
    <w:rsid w:val="00780305"/>
    <w:rsid w:val="0078224C"/>
    <w:rsid w:val="007E0C3E"/>
    <w:rsid w:val="007E5044"/>
    <w:rsid w:val="00832611"/>
    <w:rsid w:val="00854826"/>
    <w:rsid w:val="00886C2E"/>
    <w:rsid w:val="008922E1"/>
    <w:rsid w:val="008C65D7"/>
    <w:rsid w:val="008C6661"/>
    <w:rsid w:val="008C7704"/>
    <w:rsid w:val="008F6F8C"/>
    <w:rsid w:val="00900F01"/>
    <w:rsid w:val="00907410"/>
    <w:rsid w:val="00923E83"/>
    <w:rsid w:val="009574E3"/>
    <w:rsid w:val="00967C6D"/>
    <w:rsid w:val="00973DDA"/>
    <w:rsid w:val="009E2291"/>
    <w:rsid w:val="009E2EDB"/>
    <w:rsid w:val="009F4401"/>
    <w:rsid w:val="00A11CE1"/>
    <w:rsid w:val="00A4712A"/>
    <w:rsid w:val="00A6046C"/>
    <w:rsid w:val="00A626E0"/>
    <w:rsid w:val="00A65358"/>
    <w:rsid w:val="00A80DFC"/>
    <w:rsid w:val="00AE5034"/>
    <w:rsid w:val="00B001D1"/>
    <w:rsid w:val="00B00998"/>
    <w:rsid w:val="00B52516"/>
    <w:rsid w:val="00B65D13"/>
    <w:rsid w:val="00B7063C"/>
    <w:rsid w:val="00B73D94"/>
    <w:rsid w:val="00B928DF"/>
    <w:rsid w:val="00BA3B78"/>
    <w:rsid w:val="00BA7F0B"/>
    <w:rsid w:val="00BB04D8"/>
    <w:rsid w:val="00BC4F60"/>
    <w:rsid w:val="00BD2B41"/>
    <w:rsid w:val="00C11B9A"/>
    <w:rsid w:val="00C34DD2"/>
    <w:rsid w:val="00C72A0B"/>
    <w:rsid w:val="00C87061"/>
    <w:rsid w:val="00C9741A"/>
    <w:rsid w:val="00CC7F33"/>
    <w:rsid w:val="00CE7CBF"/>
    <w:rsid w:val="00CF241E"/>
    <w:rsid w:val="00D7385F"/>
    <w:rsid w:val="00D93412"/>
    <w:rsid w:val="00DE117F"/>
    <w:rsid w:val="00E225FA"/>
    <w:rsid w:val="00E243DA"/>
    <w:rsid w:val="00E42C33"/>
    <w:rsid w:val="00E454BB"/>
    <w:rsid w:val="00E847A0"/>
    <w:rsid w:val="00E92BEA"/>
    <w:rsid w:val="00EA6C20"/>
    <w:rsid w:val="00F06875"/>
    <w:rsid w:val="00F6438A"/>
    <w:rsid w:val="00F76583"/>
    <w:rsid w:val="00FC2793"/>
    <w:rsid w:val="00FD6E18"/>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462</TotalTime>
  <Pages>6</Pages>
  <Words>2195</Words>
  <Characters>13001</Characters>
  <Application>Microsoft Office Word</Application>
  <DocSecurity>0</DocSecurity>
  <Lines>206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47</cp:revision>
  <dcterms:created xsi:type="dcterms:W3CDTF">2025-12-09T15:39:00Z</dcterms:created>
  <dcterms:modified xsi:type="dcterms:W3CDTF">2025-12-26T17:26:00Z</dcterms:modified>
</cp:coreProperties>
</file>