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Pr="002C2367" w:rsidRDefault="00045FA5" w:rsidP="001458A1">
      <w:pPr>
        <w:spacing w:line="360" w:lineRule="auto"/>
        <w:jc w:val="center"/>
        <w:rPr>
          <w:rFonts w:ascii="Garamond" w:hAnsi="Garamond"/>
          <w:b/>
          <w:bCs/>
          <w:sz w:val="32"/>
          <w:szCs w:val="32"/>
        </w:rPr>
      </w:pPr>
      <w:r w:rsidRPr="002C2367">
        <w:rPr>
          <w:rFonts w:ascii="Garamond" w:hAnsi="Garamond"/>
          <w:b/>
          <w:bCs/>
          <w:sz w:val="32"/>
          <w:szCs w:val="32"/>
        </w:rPr>
        <w:t>Shifting Habitat Mosaics in Alaska’s largest river basins</w:t>
      </w:r>
    </w:p>
    <w:p w14:paraId="0E46E2C9" w14:textId="2C8D2B71" w:rsidR="00045FA5" w:rsidRPr="001A5573" w:rsidRDefault="00045FA5" w:rsidP="001458A1">
      <w:pPr>
        <w:spacing w:line="360" w:lineRule="auto"/>
        <w:jc w:val="center"/>
        <w:rPr>
          <w:rFonts w:ascii="Garamond" w:hAnsi="Garamond"/>
        </w:rPr>
      </w:pPr>
      <w:r w:rsidRPr="001A5573">
        <w:rPr>
          <w:rFonts w:ascii="Garamond" w:hAnsi="Garamond"/>
        </w:rPr>
        <w:t>Ben Makhlouf, Daniel E. Schindler, Timothy J Cline</w:t>
      </w:r>
    </w:p>
    <w:p w14:paraId="4F360937" w14:textId="77777777" w:rsidR="00886C2E" w:rsidRPr="001A5573" w:rsidRDefault="00886C2E" w:rsidP="001458A1">
      <w:pPr>
        <w:spacing w:line="360" w:lineRule="auto"/>
        <w:rPr>
          <w:rFonts w:ascii="Garamond" w:hAnsi="Garamond"/>
          <w:b/>
          <w:bCs/>
        </w:rPr>
      </w:pPr>
    </w:p>
    <w:p w14:paraId="0EE8FD8A" w14:textId="341D366D" w:rsidR="00B73D94" w:rsidRPr="001A5573" w:rsidRDefault="00045FA5" w:rsidP="001458A1">
      <w:pPr>
        <w:spacing w:line="360" w:lineRule="auto"/>
        <w:rPr>
          <w:rFonts w:ascii="Garamond" w:hAnsi="Garamond"/>
          <w:b/>
          <w:bCs/>
          <w:u w:val="single"/>
        </w:rPr>
      </w:pPr>
      <w:r w:rsidRPr="001A5573">
        <w:rPr>
          <w:rFonts w:ascii="Garamond" w:hAnsi="Garamond"/>
          <w:b/>
          <w:bCs/>
          <w:u w:val="single"/>
        </w:rPr>
        <w:t xml:space="preserve">Introduction: </w:t>
      </w:r>
    </w:p>
    <w:p w14:paraId="570A4B26" w14:textId="0F564132" w:rsidR="00042ED8" w:rsidRPr="001A5573" w:rsidRDefault="00210847" w:rsidP="00025F12">
      <w:pPr>
        <w:pStyle w:val="font-claude-response-body"/>
        <w:spacing w:line="360" w:lineRule="auto"/>
        <w:ind w:firstLine="360"/>
        <w:rPr>
          <w:rFonts w:ascii="Garamond" w:hAnsi="Garamond"/>
        </w:rPr>
      </w:pPr>
      <w:r w:rsidRPr="001A5573">
        <w:rPr>
          <w:rFonts w:ascii="Garamond" w:hAnsi="Garamond"/>
        </w:rPr>
        <w:t>Effective restoration of aquatic ecosystems depends on a clear understanding of the ecological processes that sustain healthy, intact systems</w:t>
      </w:r>
      <w:r w:rsidR="008E4157">
        <w:rPr>
          <w:rFonts w:ascii="Garamond" w:hAnsi="Garamond"/>
        </w:rPr>
        <w:t xml:space="preserve"> </w:t>
      </w:r>
      <w:r w:rsidR="00166559">
        <w:rPr>
          <w:rFonts w:ascii="Garamond" w:hAnsi="Garamond"/>
        </w:rPr>
        <w:fldChar w:fldCharType="begin"/>
      </w:r>
      <w:r w:rsidR="00C92E33">
        <w:rPr>
          <w:rFonts w:ascii="Garamond" w:hAnsi="Garamond"/>
        </w:rPr>
        <w:instrText xml:space="preserve"> ADDIN ZOTERO_ITEM CSL_CITATION {"citationID":"qPxuaRiG","properties":{"formattedCitation":"(Jackson &amp; Hobbs, 2009; Menden-Deuer et al., 2023; Schoen et al., 2017; Wang et al., 2021)","plainCitation":"(Jackson &amp; Hobbs, 2009; Menden-Deuer et al., 2023; Schoen et al., 2017; Wang et al., 2021)","noteIndex":0},"citationItems":[{"id":6027,"uris":["http://zotero.org/users/8421274/items/QP3NBY2P"],"itemData":{"id":6027,"type":"article-journal","abstract":"Ecological history plays many roles in ecological restoration, most notably as a tool to identify and characterize appropriate targets for restoration efforts. However, ecological history also reveals deep human imprints on many ecological systems and indicates that secular climate change has kept many targets moving at centennial to millennial time scales. Past and ongoing environmental changes ensure that many historical restoration targets will be unsustainable in the coming decades. Ecological restoration efforts should aim to conserve and restore historical ecosystems where viable, while simultaneously preparing to design or steer emerging novel ecosystems to ensure maintenance of ecological goods and services.","container-title":"Science","DOI":"10.1126/science.1172977","issue":"5940","note":"publisher: American Association for the Advancement of Science","page":"567-569","source":"science.org (Atypon)","title":"Ecological Restoration in the Light of Ecological History","volume":"325","author":[{"family":"Jackson","given":"Stephen T."},{"family":"Hobbs","given":"Richard J."}],"issued":{"date-parts":[["2009",7,31]]}}},{"id":6032,"uris":["http://zotero.org/users/8421274/items/CCV5QFSN"],"itemData":{"id":6032,"type":"article-journal","abstract":"Climate-change is rapidly and intensively altering aquatic communities and habitats. While previous work has focused on direct effects of potential drivers, indirect and interactive effects on organisms and ecosystems have received less attention. Here, we give an overview of contributions to a special issue in Limnology and Oceanography that addresses this knowledge gap. Contributions covered diverse habitats, from polar to tropical regions, alpine streams to coral reefs. Several studies relied on time-series to identify indirect effects, thus emphasizing our need to maintain high-quality time-series data. Time-series are particularly crucial now that the pace of climate-change on aquatic-ecosystems is accelerating. Another common theme is the role of species-specific characteristics in physiology, behavior or genetics in aquatic ecosystem function. The addition of inter- and intra-specific variability to investigations of climate-change may be challenging particularly since ecosystem studies typically involve a large parameter space of environmental and biological variables across spatial and temporal scales. However, the results demonstrate that inclusion of species-specific dynamics, although challenging, can deliver mechanistic insights into aquatic ecosystem patterns and processes. Some contributions leverage habitat changes from disturbances or climate shifts to document capacity for resilience or recovery of pelagic and benthic communities. Jointly, the results in this special issue document fruitful approaches and provide urgent information needed for deciphering aquatic ecosystem responses to climate forcings. This information is foundational if we wish to tackle the combined effects of climate change and other human impacts with maximum efficacy and minimize unintended consequences for biodiversity and ecosystem functioning.","container-title":"Limnology and Oceanography","DOI":"10.1002/lno.12384","ISSN":"1939-5590","issue":"S1","language":"en","license":"© 2023 Association for the Sciences of Limnology and Oceanography.","note":"_eprint: https://aslopubs.onlinelibrary.wiley.com/doi/pdf/10.1002/lno.12384","page":"S1-S7","source":"Wiley Online Library","title":"Cascading, interactive, and indirect effects of climate change on aquatic communities, habitats, and ecosystems","volume":"68","author":[{"family":"Menden-Deuer","given":"Susanne"},{"family":"Mullarney","given":"Julia C."},{"family":"Boersma","given":"Maarten"},{"family":"Grossart","given":"Hans-Peter"},{"family":"Sponseller","given":"Ryan"},{"family":"Woodin","given":"Sarah Ann"}],"issued":{"date-parts":[["2023"]]}}},{"id":6051,"uris":["http://zotero.org/users/8421274/items/UPNXXHTQ"],"itemData":{"id":6051,"type":"article-journal","abstract":"Pacific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changes.","container-title":"Fisheries","DOI":"10.1080/03632415.2017.1374251","ISSN":"0363-2415","issue":"10","note":"publisher: Taylor &amp; Francis\n_eprint: https://doi.org/10.1080/03632415.2017.1374251","page":"538-553","source":"Taylor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W."}],"issued":{"date-parts":[["2017",10,3]]}}},{"id":6029,"uris":["http://zotero.org/users/8421274/items/6FRQA8JV"],"itemData":{"id":6029,"type":"article-journal","abstract":"Inland aquatic ecosystems, such as streams, rivers, ponds and lakes, play an important role in maintaining global aquatic biodiversity and ecosystem services. They have been increasingly influenced by environmental change such as global warming, dam construction, habitat fragmentation, eutrophication and urbanization. However, our understanding of the impact of global change on aquatic biodiversity and ecosystem functions remains elusive. The aim of this special issue is to highlight the ecological indicators of aquatic biodiversity and ecosystem functions under global change. The special issue comprises 18 papers including both review and research articles. These papers cover a wide range of research topics, including testing ecological theory, environmental indicator development, biodiversity monitoring and bioassessment. By covering a broad taxonomic range from bacteria and phytoplankton to fish and spanning large spatial (much of Eurasia) and temporal scales (from one season to 25-years observations and 100-years paleo-reconstruction), these articles provide an overview of ecological phenomena from population and community perspectives. Several important implications emerged from these studies: (1) The studies of the long-term succession of biotic community provide important insights into the impacts of human activities and climatic changes on conservation and management of aquatic ecosystems; (2) Anthropogenic activities strongly affect aquatic biodiversity via modifying aquatic habitats and reducing habitat heterogeneity; (3) Biotic assemblages are valuable to for assessing the ecological status of freshwater ecosystems; (4) Aquatic ecosystems have unique characteristics different from other ecosystems, as the underlying drivers and assembly mechanisms of community structure in these ecosystems are highly distinct. Together, the selection of studies reinforces the importance of long-term monitoring, ecological indicator development, and applications of ecological theory in helping us to understand the response of aquatic biodiversity and ecosystem functioning to global change.","container-title":"Ecological Indicators","DOI":"10.1016/j.ecolind.2021.108250","ISSN":"1470-160X","journalAbbreviation":"Ecological Indicators","page":"108250","source":"ScienceDirect","title":"Ecological indicators for aquatic biodiversity, ecosystem functions, human activities and climate change","volume":"132","author":[{"family":"Wang","given":"Jianjun"},{"family":"Soininen","given":"Janne"},{"family":"Heino","given":"Jani"}],"issued":{"date-parts":[["2021",12,1]]}}}],"schema":"https://github.com/citation-style-language/schema/raw/master/csl-citation.json"} </w:instrText>
      </w:r>
      <w:r w:rsidR="00166559">
        <w:rPr>
          <w:rFonts w:ascii="Garamond" w:hAnsi="Garamond"/>
        </w:rPr>
        <w:fldChar w:fldCharType="separate"/>
      </w:r>
      <w:r w:rsidR="00C92E33">
        <w:rPr>
          <w:rFonts w:ascii="Garamond" w:hAnsi="Garamond"/>
          <w:noProof/>
        </w:rPr>
        <w:t>(Jackson &amp; Hobbs, 2009; Menden-Deuer et al., 2023; Schoen et al., 2017; Wang et al., 2021)</w:t>
      </w:r>
      <w:r w:rsidR="00166559">
        <w:rPr>
          <w:rFonts w:ascii="Garamond" w:hAnsi="Garamond"/>
        </w:rPr>
        <w:fldChar w:fldCharType="end"/>
      </w:r>
      <w:r w:rsidR="00166559">
        <w:rPr>
          <w:rFonts w:ascii="Garamond" w:hAnsi="Garamond"/>
        </w:rPr>
        <w:t>.</w:t>
      </w:r>
      <w:r w:rsidRPr="001A5573">
        <w:rPr>
          <w:rFonts w:ascii="Garamond" w:hAnsi="Garamond"/>
        </w:rPr>
        <w:t xml:space="preserve"> However, as the effects of human resource use and climate change intensify, healthy and fully functioning</w:t>
      </w:r>
      <w:r w:rsidR="00EE4536">
        <w:rPr>
          <w:rFonts w:ascii="Garamond" w:hAnsi="Garamond"/>
        </w:rPr>
        <w:t xml:space="preserve"> aquatic</w:t>
      </w:r>
      <w:r w:rsidRPr="001A5573">
        <w:rPr>
          <w:rFonts w:ascii="Garamond" w:hAnsi="Garamond"/>
        </w:rPr>
        <w:t xml:space="preserve"> ecosystems are becoming increasingly rare as their global extent continues to decline</w:t>
      </w:r>
      <w:r w:rsidR="00166559">
        <w:rPr>
          <w:rFonts w:ascii="Garamond" w:hAnsi="Garamond"/>
        </w:rPr>
        <w:t xml:space="preserve"> </w:t>
      </w:r>
      <w:r w:rsidR="00AD67D4" w:rsidRPr="004547E2">
        <w:rPr>
          <w:rFonts w:ascii="Garamond" w:hAnsi="Garamond"/>
        </w:rPr>
        <w:fldChar w:fldCharType="begin"/>
      </w:r>
      <w:r w:rsidR="00C92E33" w:rsidRPr="004547E2">
        <w:rPr>
          <w:rFonts w:ascii="Garamond" w:hAnsi="Garamond"/>
        </w:rPr>
        <w:instrText xml:space="preserve"> ADDIN ZOTERO_ITEM CSL_CITATION {"citationID":"5N2rvLcH","properties":{"formattedCitation":"(Castello &amp; Macedo, 2016; Finn et al., 2021)","plainCitation":"(Castello &amp; Macedo, 2016; Finn et al., 2021)","noteIndex":0},"citationItems":[{"id":6035,"uris":["http://zotero.org/users/8421274/items/868PSQ3D"],"itemData":{"id":6035,"type":"article-journal","abstract":"Hydrological connectivity regulates the structure and function of Amazonian freshwater ecosystems and the provisioning of services that sustain local populations. This connectivity is increasingly being disrupted by the construction of dams, mining, land-cover changes, and global climate change. This review analyzes these drivers of degradation, evaluates their impacts on hydrological connectivity, and identifies policy deficiencies that hinder freshwater ecosystem protection. There are 154 large hydroelectric dams in operation today, and 21 dams under construction. The current trajectory of dam construction will leave only three free-flowing tributaries in the next few decades if all 277 planned dams are completed. Land-cover changes driven by mining, dam and road construction, agriculture and cattle ranching have already affected similar to 20% of the Basin and up to similar to 50% of riparian forests in some regions. Global climate change will likely exacerbate these impacts by creating warmer and dryer conditions, with less predictable rainfall and more extreme events (e.g., droughts and floods). The resulting hydrological alterations are rapidly degrading freshwater ecosystems, both independently and via complex feedbacks and synergistic interactions. The ecosystem impacts include biodiversity loss, warmer stream temperatures, stronger and more frequent floodplain fires, and changes to biogeochemical cycles, transport of organic and inorganic materials, and freshwater community structure and function. The impacts also include reductions in water quality, fish yields, and availability of water for navigation, power generation, and human use. This degradation of Amazonian freshwater ecosystems cannot be curbed presently because existing policies are inconsistent across the Basin, ignore cumulative effects, and overlook the hydrological connectivity of freshwater ecosystems. Maintaining the integrity of these freshwater ecosystems requires a basinwide research and policy framework to understand and manage hydrological connectivity across multiple spatial scales and jurisdictional boundaries.","container-title":"Global Change Biology","DOI":"10.1111/gcb.13173","ISSN":"1354-1013, 1365-2486","issue":"3","journalAbbreviation":"Glob. Change Biol.","language":"English","note":"number-of-pages: 18\npublisher-place: Hoboken\npublisher: Wiley\nWeb of Science ID: WOS:000370491400005","page":"990-1007","source":"Clarivate Analytics Web of Science","title":"Large-scale degradation of Amazonian freshwater ecosystems","volume":"22","author":[{"family":"Castello","given":"Leandro"},{"family":"Macedo","given":"Marcia N."}],"issued":{"date-parts":[["2016",3]]}}},{"id":6048,"uris":["http://zotero.org/users/8421274/items/7GIZ8JXZ"],"itemData":{"id":6048,"type":"article-journal","abstract":"Loss of connectivity caused by anthropogenic barriers is a key threat for migratory freshwater species. The anadromous life history of salmonids means that barriers on streams can decrease the amount of habitat available for spawning and rearing. To set appropriate targets for restoration, it is important to know how different populations have been impacted in terms of the location and extent of historically available habitat that has been lost or has become inaccessible. Using mapped and predicted barriers to fish passage in streams and diking infrastructure, the amount of both floodplain and linear stream habitat that remains accessible today was estimated for 14 populations of salmon in the Lower Fraser River, British Columbia, Canada’s most productive salmon river. To place these estimates within a historical context, the floodplain area was estimated using vegetation records from the 1850s, and lost streams were estimated using a digital elevation model-derived stream network. To bolster areas where little mapping has been done, current barrier data were used to predict locations likely to have barriers. Accessibility to floodplain was poor across the entire region with only 15% of the historical floodplain remaining accessible. Linear stream habitat ranged in accessibility from 28% to 99% across populations based on mapped barriers. Inclusion of predicted barriers revealed an additional 33 km of potentially inaccessible stream habitat and the modeled stream network located approximately 1700 km of stream length that has been completely lost. Comparing habitat accessibility and barrier density against the assessed status of populations revealed insights useful for understanding the impact of barriers on spawning and rearing and guiding the allocation of restoration effort. Applying methods for addressing missing data, such as lost streams and unmapped barriers, was essential for estimating the accessibility of habitat within a historical context. While much emphasis has been placed on the role of marine conditions in wild Pacific salmon recovery, the magnitude of habitat loss in the Fraser cannot be ignored and suggests it is a major driver of observed salmon declines.","container-title":"Ecosphere","DOI":"10.1002/ecs2.3646","ISSN":"2150-8925","issue":"7","language":"en","license":"© 2021 The Authors.","note":"_eprint: https://esajournals.onlinelibrary.wiley.com/doi/pdf/10.1002/ecs2.3646","page":"e03646","source":"Wiley Online Library","title":"Quantifying lost and inaccessible habitat for Pacific salmon in Canada’s Lower Fraser River","volume":"12","author":[{"family":"Finn","given":"Riley J. R."},{"family":"Chalifour","given":"Lia"},{"family":"Gergel","given":"Sarah E."},{"family":"Hinch","given":"Scott G."},{"family":"Scott","given":"David C."},{"family":"Martin","given":"Tara G."}],"issued":{"date-parts":[["2021"]]}}}],"schema":"https://github.com/citation-style-language/schema/raw/master/csl-citation.json"} </w:instrText>
      </w:r>
      <w:r w:rsidR="00AD67D4" w:rsidRPr="004547E2">
        <w:rPr>
          <w:rFonts w:ascii="Garamond" w:hAnsi="Garamond"/>
        </w:rPr>
        <w:fldChar w:fldCharType="separate"/>
      </w:r>
      <w:r w:rsidR="00C92E33" w:rsidRPr="004547E2">
        <w:rPr>
          <w:rFonts w:ascii="Garamond" w:hAnsi="Garamond"/>
          <w:noProof/>
        </w:rPr>
        <w:t>(Castello &amp; Macedo, 2016; Finn et al., 2021)</w:t>
      </w:r>
      <w:r w:rsidR="00AD67D4" w:rsidRPr="004547E2">
        <w:rPr>
          <w:rFonts w:ascii="Garamond" w:hAnsi="Garamond"/>
        </w:rPr>
        <w:fldChar w:fldCharType="end"/>
      </w:r>
      <w:r w:rsidRPr="004547E2">
        <w:rPr>
          <w:rFonts w:ascii="Garamond" w:hAnsi="Garamond"/>
        </w:rPr>
        <w:t>.</w:t>
      </w:r>
      <w:r w:rsidRPr="001A5573">
        <w:rPr>
          <w:rFonts w:ascii="Garamond" w:hAnsi="Garamond"/>
        </w:rPr>
        <w:t xml:space="preserve"> North America freshwater ecosystems have been affected by widespread changes to habitat quality and hydrological connectivity in recent decades, leading to </w:t>
      </w:r>
      <w:r w:rsidR="00490C40" w:rsidRPr="001A5573">
        <w:rPr>
          <w:rFonts w:ascii="Garamond" w:hAnsi="Garamond"/>
        </w:rPr>
        <w:t xml:space="preserve">population </w:t>
      </w:r>
      <w:r w:rsidRPr="001A5573">
        <w:rPr>
          <w:rFonts w:ascii="Garamond" w:hAnsi="Garamond"/>
        </w:rPr>
        <w:t>declines in species that rely on healthy, free-flowing systems</w:t>
      </w:r>
      <w:r w:rsidR="009E2291" w:rsidRPr="001A5573">
        <w:rPr>
          <w:rFonts w:ascii="Garamond" w:hAnsi="Garamond"/>
        </w:rPr>
        <w:t xml:space="preserve"> </w:t>
      </w:r>
      <w:r w:rsidR="00AD67D4">
        <w:rPr>
          <w:rFonts w:ascii="Garamond" w:hAnsi="Garamond"/>
        </w:rPr>
        <w:fldChar w:fldCharType="begin"/>
      </w:r>
      <w:r w:rsidR="00AD67D4">
        <w:rPr>
          <w:rFonts w:ascii="Garamond" w:hAnsi="Garamond"/>
        </w:rPr>
        <w:instrText xml:space="preserve"> ADDIN ZOTERO_ITEM CSL_CITATION {"citationID":"owk5iFbj","properties":{"formattedCitation":"(Dudgeon et al., 2006; Reid et al., 2019)","plainCitation":"(Dudgeon et al., 2006; Reid et al., 2019)","noteIndex":0},"citationItems":[{"id":6036,"uris":["http://zotero.org/users/8421274/items/VTFP5ZZE"],"itemData":{"id":6036,"type":"article-journal","abstract":"Freshwater biodiversity is the over-riding conservation priority during the International Decade for Action – ‘Water for Life’ – 2005 to 2015. Fresh water makes up only 0.01% of the World's water and approximately 0.8% of the Earth's surface, yet this tiny fraction of global water supports at least 100000 species out of approximately 1.8 million – almost 6% of all described species. Inland waters and freshwater biodiversity constitute a valuable natural resource, in economic, cultural, aesthetic, scientific and educational terms. Their conservation and management are critical to the interests of all humans, nations and governments. Yet this precious heritage is in crisis. Fresh waters are experiencing declines in biodiversity far greater than those in the most affected terrestrial ecosystems, and if trends in human demands for water remain unaltered and species losses continue at current rates, the opportunity to conserve much of the remaining biodiversity in fresh water will vanish before the ‘Water for Life’ decade ends in 2015. Why is this so, and what is being done about it? This article explores the special features of freshwater habitats and the biodiversity they support that makes them especially vulnerable to human activities. We document threats to global freshwater biodiversity under five headings: overexploitation; water pollution; flow modification; destruction or degradation of habitat; and invasion by exotic species. Their combined and interacting influences have resulted in population declines and range reduction of freshwater biodiversity worldwide. Conservation of biodiversity is complicated by the landscape position of rivers and wetlands as ‘receivers’ of land-use effluents, and the problems posed by endemism and thus non-substitutability. In addition, in many parts of the world, fresh water is subject to severe competition among multiple human stakeholders. Protection of freshwater biodiversity is perhaps the ultimate conservation challenge because it is influenced by the upstream drainage network, the surrounding land, the riparian zone, and – in the case of migrating aquatic fauna – downstream reaches. Such prerequisites are hardly ever met. Immediate action is needed where opportunities exist to set aside intact lake and river ecosystems within large protected areas. For most of the global land surface, trade-offs between conservation of freshwater biodiversity and human use of ecosystem goods and services are necessary. We advocate continuing attempts to check species loss but, in many situations, urge adoption of a compromise position of management for biodiversity conservation, ecosystem functioning and resilience, and human livelihoods in order to provide a viable long-term basis for freshwater conservation. Recognition of this need will require adoption of a new paradigm for biodiversity protection and freshwater ecosystem management – one that has been appropriately termed ‘reconciliation ecology’.","container-title":"Biological Reviews","DOI":"10.1017/S1464793105006950","ISSN":"1469-185X, 1464-7931","issue":"2","language":"en","page":"163-182","source":"Cambridge University Press","title":"Freshwater biodiversity: importance, threats, status and conservation challenges","title-short":"Freshwater biodiversity","volume":"81","author":[{"family":"Dudgeon","given":"David"},{"family":"Arthington","given":"Angela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 J."},{"family":"Sullivan","given":"Caroline A."}],"issued":{"date-parts":[["2006",5]]}}},{"id":6037,"uris":["http://zotero.org/users/8421274/items/7AHZ6K4K"],"itemData":{"id":6037,"type":"article-journal","abstract":"In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Reviews","DOI":"10.1111/brv.12480","ISSN":"1464-7931, 1469-185X","issue":"3","journalAbbreviation":"Biol. Rev.","language":"English","note":"number-of-pages: 25\npublisher-place: Hoboken\npublisher: Wiley\nWeb of Science ID: WOS:000467422400006","page":"849-873","source":"Clarivate Analytics Web of Science","title":"Emerging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J."}],"issued":{"date-parts":[["2019",6]]}}}],"schema":"https://github.com/citation-style-language/schema/raw/master/csl-citation.json"} </w:instrText>
      </w:r>
      <w:r w:rsidR="00AD67D4">
        <w:rPr>
          <w:rFonts w:ascii="Garamond" w:hAnsi="Garamond"/>
        </w:rPr>
        <w:fldChar w:fldCharType="separate"/>
      </w:r>
      <w:r w:rsidR="00AD67D4">
        <w:rPr>
          <w:rFonts w:ascii="Garamond" w:hAnsi="Garamond"/>
          <w:noProof/>
        </w:rPr>
        <w:t>(Dudgeon et al., 2006; Reid et al., 2019)</w:t>
      </w:r>
      <w:r w:rsidR="00AD67D4">
        <w:rPr>
          <w:rFonts w:ascii="Garamond" w:hAnsi="Garamond"/>
        </w:rPr>
        <w:fldChar w:fldCharType="end"/>
      </w:r>
      <w:r w:rsidR="009A78C2">
        <w:rPr>
          <w:rFonts w:ascii="Garamond" w:hAnsi="Garamond"/>
        </w:rPr>
        <w:t xml:space="preserve">. Migratory species such as </w:t>
      </w:r>
      <w:r w:rsidR="009E2291" w:rsidRPr="001A5573">
        <w:rPr>
          <w:rFonts w:ascii="Garamond" w:hAnsi="Garamond"/>
        </w:rPr>
        <w:t xml:space="preserve">Pacific salmon </w:t>
      </w:r>
      <w:r w:rsidR="009E2291" w:rsidRPr="009A78C2">
        <w:rPr>
          <w:rFonts w:ascii="Garamond" w:hAnsi="Garamond"/>
          <w:highlight w:val="yellow"/>
        </w:rPr>
        <w:t>(</w:t>
      </w:r>
      <w:r w:rsidR="009E2291" w:rsidRPr="009A78C2">
        <w:rPr>
          <w:rStyle w:val="Emphasis"/>
          <w:rFonts w:ascii="Garamond" w:eastAsiaTheme="majorEastAsia" w:hAnsi="Garamond"/>
          <w:highlight w:val="yellow"/>
        </w:rPr>
        <w:t>spp.</w:t>
      </w:r>
      <w:r w:rsidR="009E2291" w:rsidRPr="009A78C2">
        <w:rPr>
          <w:rFonts w:ascii="Garamond" w:hAnsi="Garamond"/>
          <w:highlight w:val="yellow"/>
        </w:rPr>
        <w:t>)</w:t>
      </w:r>
      <w:r w:rsidR="009E2291" w:rsidRPr="001A5573">
        <w:rPr>
          <w:rFonts w:ascii="Garamond" w:hAnsi="Garamond"/>
        </w:rPr>
        <w:t xml:space="preserve"> are particularly vulnerable to changes in habitat quality and connectivity because they depend on access to multiple, distinct habitat types within fully connected river networks to complete their life cycle</w:t>
      </w:r>
      <w:r w:rsidR="009A78C2">
        <w:rPr>
          <w:rFonts w:ascii="Garamond" w:hAnsi="Garamond"/>
        </w:rPr>
        <w:t xml:space="preserve"> </w:t>
      </w:r>
      <w:r w:rsidR="009A78C2">
        <w:rPr>
          <w:rFonts w:ascii="Garamond" w:hAnsi="Garamond"/>
        </w:rPr>
        <w:fldChar w:fldCharType="begin"/>
      </w:r>
      <w:r w:rsidR="002204C4">
        <w:rPr>
          <w:rFonts w:ascii="Garamond" w:hAnsi="Garamond"/>
        </w:rPr>
        <w:instrText xml:space="preserve"> ADDIN ZOTERO_ITEM CSL_CITATION {"citationID":"aBTCoXji","properties":{"formattedCitation":"(Quinn, 2018; Robinson et al., 2009; Waldman &amp; Quinn, 2022)","plainCitation":"(Quinn, 2018; Robinson et al., 2009; Waldman &amp; Quinn, 2022)","noteIndex":0},"citationItems":[{"id":5568,"uris":["http://zotero.org/users/8421274/items/TBWE7PX7"],"itemData":{"id":5568,"type":"book","publisher":"American Fisheries Society, University of Washington Press","title":"The Behavior and Ecology of Pacific Salmon and Trout","author":[{"family":"Quinn","given":"Thomas P"}],"issued":{"date-parts":[["2018",10]]}}},{"id":3518,"uris":["http://zotero.org/users/8421274/items/LJAKI7SR"],"itemData":{"id":3518,"type":"article-journal","abstract":"Long-distance migrations are among the wonders of the natural world, but this multitaxon review shows that the characteristics of species that undertake such movements appear to make them particularly vulnerable to detrimental impacts of climate change. Migrants are key components of biological systems in high latitude regions, where the speed and magnitude of climate change impacts are greatest. They also rely on highly productive seasonal habitats, including wetlands and ocean upwellings that, with climate change, may become less food-rich and predictable in space and time. While migrants are adapted to adjust their behaviour with annual changes in the weather, the decoupling of climatic variables between geographically separate breeding and nonbreeding grounds is beginning to result in mistimed migration. Furthermore, human land-use and activity patterns will constrain the ability of many species to modify their migratory routes and may increase the stress induced by climate change. Adapting conservation strategies for migrants in the light of climate change will require substantial shifts in site designation policies, flexibility of management strategies and the integration of forward planning for both people and wildlife. While adaptation to changes may be feasible for some terrestrial systems, wildlife in the marine ecosystem may be more dependent on the degree of climate change mitigation that is achievable.","container-title":"Endangered Species Research","DOI":"10.3354/esr00095","ISSN":"1863-5407, 1613-4796","journalAbbreviation":"Endang. Species. Res.","language":"en","page":"87-99","source":"DOI.org (Crossref)","title":"Travelling through a warming world: climate change and migratory species","title-short":"Travelling through a warming world","volume":"7","author":[{"family":"Robinson","given":"Ra"},{"family":"Crick","given":"Hqp"},{"family":"Learmonth","given":"Ja"},{"family":"Maclean","given":"Imd"},{"family":"Thomas","given":"Cd"},{"family":"Bairlein","given":"F"},{"family":"Forchhammer","given":"Mc"},{"family":"Francis","given":"Cm"},{"family":"Gill","given":"Ja"},{"family":"Godley","given":"Bj"},{"family":"Harwood","given":"J"},{"family":"Hays","given":"Gc"},{"family":"Huntley","given":"B"},{"family":"Hutson","given":"Am"},{"family":"Pierce","given":"Gj"},{"family":"Rehfisch","given":"Mm"},{"family":"Sims","given":"Dw"},{"family":"Santos","given":"Bm"},{"family":"Sparks","given":"Th"},{"family":"Stroud","given":"Da"},{"family":"Visser","given":"Me"}],"issued":{"date-parts":[["2009",6,17]]}}},{"id":6038,"uris":["http://zotero.org/users/8421274/items/XVWURZLC"],"itemData":{"id":6038,"type":"article-journal","abstract":"Diadromous fishes migrate between freshwater and marine habitats to complete their life cycle, a complexity that makes them vulnerable to the adverse effects of current and past human activities on land and in the oceans. Many North American species are critically endangered, and entire populations have been lost. Major factors driving declines include overfishing, pollution, water withdrawals, aquaculture, non-native species, habitat degradation, over-zealous application of hatcheries designed to mitigate effects of other factors, and effects of climate change. Perhaps, the most broadly tractable and effective factors affecting diadromous fishes are removals of the dams that prevent or hinder their migrations, alter their environment, and often favor non-native biotic communities. Future survival of many diadromous fish populations may depend on this.","container-title":"Science Advances","DOI":"10.1126/sciadv.abl5486","issue":"4","note":"publisher: American Association for the Advancement of Science","page":"eabl5486","source":"science.org (Atypon)","title":"North American diadromous fishes: Drivers of decline and potential for recovery in the Anthropocene","title-short":"North American diadromous fishes","volume":"8","author":[{"family":"Waldman","given":"John R."},{"family":"Quinn","given":"Thomas P."}],"issued":{"date-parts":[["2022",1,28]]}}}],"schema":"https://github.com/citation-style-language/schema/raw/master/csl-citation.json"} </w:instrText>
      </w:r>
      <w:r w:rsidR="009A78C2">
        <w:rPr>
          <w:rFonts w:ascii="Garamond" w:hAnsi="Garamond"/>
        </w:rPr>
        <w:fldChar w:fldCharType="separate"/>
      </w:r>
      <w:r w:rsidR="002204C4">
        <w:rPr>
          <w:rFonts w:ascii="Garamond" w:hAnsi="Garamond"/>
          <w:noProof/>
        </w:rPr>
        <w:t>(Quinn, 2018; Robinson et al., 2009; Waldman &amp; Quinn, 2022)</w:t>
      </w:r>
      <w:r w:rsidR="009A78C2">
        <w:rPr>
          <w:rFonts w:ascii="Garamond" w:hAnsi="Garamond"/>
        </w:rPr>
        <w:fldChar w:fldCharType="end"/>
      </w:r>
      <w:r w:rsidR="009E2291" w:rsidRPr="001A5573">
        <w:rPr>
          <w:rFonts w:ascii="Garamond" w:hAnsi="Garamond"/>
        </w:rPr>
        <w:t>.</w:t>
      </w:r>
      <w:r w:rsidR="00025F12">
        <w:rPr>
          <w:rFonts w:ascii="Garamond" w:hAnsi="Garamond"/>
        </w:rPr>
        <w:t xml:space="preserve"> </w:t>
      </w:r>
      <w:r w:rsidR="00042ED8" w:rsidRPr="001A5573">
        <w:rPr>
          <w:rFonts w:ascii="Garamond" w:hAnsi="Garamond"/>
        </w:rPr>
        <w:t>However,</w:t>
      </w:r>
      <w:r w:rsidR="00025F12">
        <w:rPr>
          <w:rFonts w:ascii="Garamond" w:hAnsi="Garamond"/>
        </w:rPr>
        <w:t xml:space="preserve"> these species </w:t>
      </w:r>
      <w:r w:rsidR="0073537D" w:rsidRPr="001A5573">
        <w:rPr>
          <w:rFonts w:ascii="Garamond" w:hAnsi="Garamond"/>
        </w:rPr>
        <w:t xml:space="preserve">are </w:t>
      </w:r>
      <w:r w:rsidR="00490C40" w:rsidRPr="001A5573">
        <w:rPr>
          <w:rFonts w:ascii="Garamond" w:hAnsi="Garamond"/>
        </w:rPr>
        <w:t xml:space="preserve">critically </w:t>
      </w:r>
      <w:r w:rsidR="0073537D" w:rsidRPr="001A5573">
        <w:rPr>
          <w:rFonts w:ascii="Garamond" w:hAnsi="Garamond"/>
        </w:rPr>
        <w:t>important cultural, subsistence, and economic resource</w:t>
      </w:r>
      <w:r w:rsidR="00025F12">
        <w:rPr>
          <w:rFonts w:ascii="Garamond" w:hAnsi="Garamond"/>
        </w:rPr>
        <w:t xml:space="preserve">s </w:t>
      </w:r>
      <w:r w:rsidR="0073537D" w:rsidRPr="001A5573">
        <w:rPr>
          <w:rFonts w:ascii="Garamond" w:hAnsi="Garamond"/>
        </w:rPr>
        <w:t>to many</w:t>
      </w:r>
      <w:r w:rsidR="007E5044" w:rsidRPr="001A5573">
        <w:rPr>
          <w:rFonts w:ascii="Garamond" w:hAnsi="Garamond"/>
        </w:rPr>
        <w:t xml:space="preserve"> </w:t>
      </w:r>
      <w:r w:rsidR="0073537D" w:rsidRPr="001A5573">
        <w:rPr>
          <w:rFonts w:ascii="Garamond" w:hAnsi="Garamond"/>
        </w:rPr>
        <w:t>communities</w:t>
      </w:r>
      <w:r w:rsidR="005736BA" w:rsidRPr="001A5573">
        <w:rPr>
          <w:rFonts w:ascii="Garamond" w:hAnsi="Garamond"/>
        </w:rPr>
        <w:t xml:space="preserve"> </w:t>
      </w:r>
      <w:r w:rsidR="0073537D" w:rsidRPr="001A5573">
        <w:rPr>
          <w:rFonts w:ascii="Garamond" w:hAnsi="Garamond"/>
        </w:rPr>
        <w:t>and play an important ecological role in both freshwater and marine ecosystems</w:t>
      </w:r>
      <w:r w:rsidR="00025F12">
        <w:rPr>
          <w:rFonts w:ascii="Garamond" w:hAnsi="Garamond"/>
        </w:rPr>
        <w:t xml:space="preserve"> </w:t>
      </w:r>
      <w:r w:rsidR="00025F12">
        <w:rPr>
          <w:rFonts w:ascii="Garamond" w:hAnsi="Garamond"/>
        </w:rPr>
        <w:fldChar w:fldCharType="begin"/>
      </w:r>
      <w:r w:rsidR="00025F12">
        <w:rPr>
          <w:rFonts w:ascii="Garamond" w:hAnsi="Garamond"/>
        </w:rPr>
        <w:instrText xml:space="preserve"> ADDIN ZOTERO_ITEM CSL_CITATION {"citationID":"jlKlHXQ7","properties":{"formattedCitation":"(Reid et al., 2022; Schindler et al., 2003)","plainCitation":"(Reid et al., 2022; Schindler et al., 2003)","noteIndex":0},"citationItems":[{"id":6046,"uris":["http://zotero.org/users/8421274/items/TNPTITZA"],"itemData":{"id":6046,"type":"article-journal","abstract":"In response to colonial research paradigms that have subjugated Indigenous Peoples, knowledges, lands, and waters, Indigenous research methodologies have emerged to center Indigenous visions and voices in research practice. Here, we employ such methodologies to improve collective understanding of the state and future of wild Pacific salmon (Oncorhynchus spp.) and fish–people–place relationships across British Columbia’s three largest salmon-producing rivers: the Fraser, Skeena, and Nass. Through partnerships with 18 communities of “Salmon People” and semi-structured interviews with 48 knowledge holders (i.e., Elders), we learned that, on average, Elders spent more than half of a century actively engaged in salmon fishing and processing. Modern salmon catches are reported to be approximately one-sixth of what they were estimated to be five to seven decades ago, and the top five threats to salmon identified by Elders included (i) aquaculture, (ii) climate change, (iii) contaminants, (iv) industrial development, and (v) infectious diseases. Threat priorities varied regionally, reflecting distinct lived experiences and regional variation in the prevalence and impact of different threats. Elders perceived threats to salmon equally as threats to aquatic health and human well-being, with evidence that the relationships between people and water, and salmon and people, are being profoundly transformed.","container-title":"FACETS","DOI":"10.1139/facets-2021-0089","note":"publisher: Canadian Science Publishing","page":"718-740","source":"facetsjournal.com (Atypon)","title":"Learning from Indigenous knowledge holders on the state and future of wild Pacific salmon","volume":"7","author":[{"family":"Reid","given":"Andrea J."},{"family":"Young","given":"Nathan"},{"family":"Hinch","given":"Scott G."},{"family":"Cooke","given":"Steven J."}],"issued":{"date-parts":[["2022",1]]}}},{"id":6040,"uris":["http://zotero.org/users/8421274/items/NXKCYMTT"],"itemData":{"id":6040,"type":"article-journal","abstract":"One of the most spectacular phenomena in nature is the annual return of millions of salmon to spawn in their natal streams and lakes along the Pacific coast of North America. The salmon die after spawning, and the nutrients and energy in their bodies, derived almost entirely from marine sources, are deposited in the freshwater ecosystems. This represents a vital input to the ecosystems used as spawning grounds. Salmon-derived nutrients make up a substantial fraction of the plants and animals in aquatic and terrestrial habitats associated with healthy salmon populations. The decline of salmon numbers throughout much of their southern range in North America has prompted concern that the elimination of this “conveyor belt” of nutrients and energy may fundamentally change the productivity of these coastal freshwater and terrestrial ecosystems, and consequently their ability to support wildlife, including salmon. If progress is to be made towards understanding and conserving the connection between migratory salmon and coastal ecosystems, scientists and decision-makers must explore and understand the vast temporal and spatial scales that characterize this relationship.","container-title":"Frontiers in Ecology and the Environment","DOI":"10.1890/1540-9295(2003)001[0031:PSATEO]2.0.CO;2","ISSN":"1540-9309","issue":"1","language":"en","license":"© The Ecological Society of America","note":"_eprint: https://esajournals.onlinelibrary.wiley.com/doi/pdf/10.1890/1540-9295%282003%29001%5B0031%3APSATEO%5D2.0.CO%3B2","page":"31-37","source":"Wiley Online Library","title":"Pacific salmon and the ecology of coastal ecosystems","volume":"1","author":[{"family":"Schindler","given":"Daniel E."},{"family":"Scheuerell","given":"Mark D."},{"family":"Moore","given":"Jonathan W."},{"family":"Gende","given":"Scott M."},{"family":"Francis","given":"Tessa B."},{"family":"Palen","given":"Wendy J."}],"issued":{"date-parts":[["2003"]]}}}],"schema":"https://github.com/citation-style-language/schema/raw/master/csl-citation.json"} </w:instrText>
      </w:r>
      <w:r w:rsidR="00025F12">
        <w:rPr>
          <w:rFonts w:ascii="Garamond" w:hAnsi="Garamond"/>
        </w:rPr>
        <w:fldChar w:fldCharType="separate"/>
      </w:r>
      <w:r w:rsidR="00025F12">
        <w:rPr>
          <w:rFonts w:ascii="Garamond" w:hAnsi="Garamond"/>
          <w:noProof/>
        </w:rPr>
        <w:t>(Reid et al., 2022; Schindler et al., 2003)</w:t>
      </w:r>
      <w:r w:rsidR="00025F12">
        <w:rPr>
          <w:rFonts w:ascii="Garamond" w:hAnsi="Garamond"/>
        </w:rPr>
        <w:fldChar w:fldCharType="end"/>
      </w:r>
      <w:r w:rsidR="0073537D" w:rsidRPr="001A5573">
        <w:rPr>
          <w:rFonts w:ascii="Garamond" w:hAnsi="Garamond"/>
        </w:rPr>
        <w:t xml:space="preserve">. As </w:t>
      </w:r>
      <w:r w:rsidR="00490C40" w:rsidRPr="001A5573">
        <w:rPr>
          <w:rFonts w:ascii="Garamond" w:hAnsi="Garamond"/>
        </w:rPr>
        <w:t xml:space="preserve">such, </w:t>
      </w:r>
      <w:r w:rsidR="0073537D" w:rsidRPr="001A5573">
        <w:rPr>
          <w:rFonts w:ascii="Garamond" w:hAnsi="Garamond"/>
        </w:rPr>
        <w:t xml:space="preserve">widespread efforts </w:t>
      </w:r>
      <w:r w:rsidR="00EE4536">
        <w:rPr>
          <w:rFonts w:ascii="Garamond" w:hAnsi="Garamond"/>
        </w:rPr>
        <w:t xml:space="preserve">have been undertaken </w:t>
      </w:r>
      <w:r w:rsidR="0073537D" w:rsidRPr="001A5573">
        <w:rPr>
          <w:rFonts w:ascii="Garamond" w:hAnsi="Garamond"/>
        </w:rPr>
        <w:t xml:space="preserve">to restore </w:t>
      </w:r>
      <w:r w:rsidR="00490C40" w:rsidRPr="001A5573">
        <w:rPr>
          <w:rFonts w:ascii="Garamond" w:hAnsi="Garamond"/>
        </w:rPr>
        <w:t xml:space="preserve">aquatic </w:t>
      </w:r>
      <w:r w:rsidR="00042ED8" w:rsidRPr="001A5573">
        <w:rPr>
          <w:rFonts w:ascii="Garamond" w:hAnsi="Garamond"/>
        </w:rPr>
        <w:t>habitat</w:t>
      </w:r>
      <w:r w:rsidR="00490C40" w:rsidRPr="001A5573">
        <w:rPr>
          <w:rFonts w:ascii="Garamond" w:hAnsi="Garamond"/>
        </w:rPr>
        <w:t>s</w:t>
      </w:r>
      <w:r w:rsidR="00042ED8" w:rsidRPr="001A5573">
        <w:rPr>
          <w:rFonts w:ascii="Garamond" w:hAnsi="Garamond"/>
        </w:rPr>
        <w:t xml:space="preserve"> </w:t>
      </w:r>
      <w:r w:rsidR="0073537D" w:rsidRPr="001A5573">
        <w:rPr>
          <w:rFonts w:ascii="Garamond" w:hAnsi="Garamond"/>
        </w:rPr>
        <w:t xml:space="preserve">and </w:t>
      </w:r>
      <w:r w:rsidR="005736BA" w:rsidRPr="001A5573">
        <w:rPr>
          <w:rFonts w:ascii="Garamond" w:hAnsi="Garamond"/>
        </w:rPr>
        <w:t xml:space="preserve">to </w:t>
      </w:r>
      <w:r w:rsidR="0073537D" w:rsidRPr="001A5573">
        <w:rPr>
          <w:rFonts w:ascii="Garamond" w:hAnsi="Garamond"/>
        </w:rPr>
        <w:t>recover healthy salmon populations</w:t>
      </w:r>
      <w:r w:rsidR="005736BA" w:rsidRPr="001A5573">
        <w:rPr>
          <w:rFonts w:ascii="Garamond" w:hAnsi="Garamond"/>
        </w:rPr>
        <w:t xml:space="preserve"> in degraded ecosystems</w:t>
      </w:r>
      <w:r w:rsidR="00025F12">
        <w:rPr>
          <w:rFonts w:ascii="Garamond" w:hAnsi="Garamond"/>
        </w:rPr>
        <w:t xml:space="preserve"> </w:t>
      </w:r>
      <w:r w:rsidR="00025F12">
        <w:rPr>
          <w:rFonts w:ascii="Garamond" w:hAnsi="Garamond"/>
        </w:rPr>
        <w:fldChar w:fldCharType="begin"/>
      </w:r>
      <w:r w:rsidR="00C92E33">
        <w:rPr>
          <w:rFonts w:ascii="Garamond" w:hAnsi="Garamond"/>
        </w:rPr>
        <w:instrText xml:space="preserve"> ADDIN ZOTERO_ITEM CSL_CITATION {"citationID":"CYzx2Nyz","properties":{"formattedCitation":"(Cordoleani et al., 2024; Rahr et al., 2025)","plainCitation":"(Cordoleani et al., 2024; Rahr et al., 2025)","noteIndex":0},"citationItems":[{"id":5990,"uris":["http://zotero.org/users/8421274/items/BGVZ7ZLQ"],"itemData":{"id":5990,"type":"article-journal","abstract":"Phenotypic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Hoboken\npublisher: Wiley\nWeb of Science ID: WOS:001182186400001","page":"e4803","source":"Clarivate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C."}],"issued":{"date-parts":[["2024",3]]}}},{"id":6043,"uris":["http://zotero.org/users/8421274/items/C2HKLHLY"],"itemData":{"id":6043,"type":"article-journal","abstract":"Nested within the linked global crises of biodiversity loss and climate change are threats to cultural and ecological keystones such as Pacific salmon Oncorhynchus spp., a group of species with widespread ecological, cultural, and economic value. Wild salmon can rally public support for ecosystem protection and link place-based conservation efforts to global biodiversity and climate benefits. Realizing these benefits depends on leveraging broad support for salmon conservation to advance forward-looking approaches that safeguard food security, biodiversity, and climate resilience. Here we provide insights from the multidecadal implementation of a proactive wild salmon ecosystem conservation strategy at the scale of the North Pacific Rim. This approach is a necessary complement to policies focused on preventing species extinction after populations and habitats are degraded and it provides globally significant contributions to biodiversity and climate targets including recent 30 × 30 goals of the Convention on Biological Diversity.","container-title":"Fisheries","DOI":"10.1093/fshmag/vuaf011","ISSN":"0363-2415","issue":"9","page":"399-415","source":"Silverchair","title":"Strongholds for Pacific salmon: A proactive conservation strategy for ecosystem health, food security, biodiversity, and climate resilience","title-short":"Strongholds for Pacific salmon","volume":"50","author":[{"family":"Rahr","given":"Guido R","suffix":"III"},{"family":"Sloat","given":"Matthew R"},{"family":"Atlas","given":"William I"},{"family":"Hart","given":"Jonathan L"}],"issued":{"date-parts":[["2025",9,1]]}}}],"schema":"https://github.com/citation-style-language/schema/raw/master/csl-citation.json"} </w:instrText>
      </w:r>
      <w:r w:rsidR="00025F12">
        <w:rPr>
          <w:rFonts w:ascii="Garamond" w:hAnsi="Garamond"/>
        </w:rPr>
        <w:fldChar w:fldCharType="separate"/>
      </w:r>
      <w:r w:rsidR="00C92E33">
        <w:rPr>
          <w:rFonts w:ascii="Garamond" w:hAnsi="Garamond"/>
          <w:noProof/>
        </w:rPr>
        <w:t>(Cordoleani et al., 2024; Rahr et al., 2025)</w:t>
      </w:r>
      <w:r w:rsidR="00025F12">
        <w:rPr>
          <w:rFonts w:ascii="Garamond" w:hAnsi="Garamond"/>
        </w:rPr>
        <w:fldChar w:fldCharType="end"/>
      </w:r>
    </w:p>
    <w:p w14:paraId="5925FD31" w14:textId="0600C495" w:rsidR="006E5085" w:rsidRDefault="00C42FB3" w:rsidP="006E5085">
      <w:pPr>
        <w:pStyle w:val="font-claude-response-body"/>
        <w:spacing w:line="360" w:lineRule="auto"/>
        <w:ind w:firstLine="360"/>
        <w:rPr>
          <w:rFonts w:ascii="Garamond" w:hAnsi="Garamond"/>
        </w:rPr>
      </w:pPr>
      <w:r>
        <w:rPr>
          <w:rFonts w:ascii="Garamond" w:hAnsi="Garamond"/>
        </w:rPr>
        <w:t>Alaska watersheds,</w:t>
      </w:r>
      <w:r w:rsidR="00206BA8" w:rsidRPr="001A5573">
        <w:rPr>
          <w:rFonts w:ascii="Garamond" w:hAnsi="Garamond"/>
        </w:rPr>
        <w:t xml:space="preserve"> at the northernmost extent of the</w:t>
      </w:r>
      <w:r w:rsidR="00490C40" w:rsidRPr="001A5573">
        <w:rPr>
          <w:rFonts w:ascii="Garamond" w:hAnsi="Garamond"/>
        </w:rPr>
        <w:t xml:space="preserve"> natural range of pacific</w:t>
      </w:r>
      <w:r w:rsidR="00206BA8" w:rsidRPr="001A5573">
        <w:rPr>
          <w:rFonts w:ascii="Garamond" w:hAnsi="Garamond"/>
        </w:rPr>
        <w:t xml:space="preserve"> salmon</w:t>
      </w:r>
      <w:r>
        <w:rPr>
          <w:rFonts w:ascii="Garamond" w:hAnsi="Garamond"/>
        </w:rPr>
        <w:t>,</w:t>
      </w:r>
      <w:r w:rsidR="00206BA8" w:rsidRPr="001A5573">
        <w:rPr>
          <w:rFonts w:ascii="Garamond" w:hAnsi="Garamond"/>
        </w:rPr>
        <w:t xml:space="preserve"> have experienced substantially</w:t>
      </w:r>
      <w:r w:rsidR="002204C4">
        <w:rPr>
          <w:rFonts w:ascii="Garamond" w:hAnsi="Garamond"/>
        </w:rPr>
        <w:t xml:space="preserve"> </w:t>
      </w:r>
      <w:r w:rsidR="00EE4536">
        <w:rPr>
          <w:rFonts w:ascii="Garamond" w:hAnsi="Garamond"/>
        </w:rPr>
        <w:t xml:space="preserve">less anthropogenic </w:t>
      </w:r>
      <w:r w:rsidR="002204C4">
        <w:rPr>
          <w:rFonts w:ascii="Garamond" w:hAnsi="Garamond"/>
        </w:rPr>
        <w:t xml:space="preserve">impacts to salmon ecosystems </w:t>
      </w:r>
      <w:r w:rsidR="00490C40" w:rsidRPr="001A5573">
        <w:rPr>
          <w:rFonts w:ascii="Garamond" w:hAnsi="Garamond"/>
        </w:rPr>
        <w:t xml:space="preserve">than </w:t>
      </w:r>
      <w:r w:rsidR="002204C4">
        <w:rPr>
          <w:rFonts w:ascii="Garamond" w:hAnsi="Garamond"/>
        </w:rPr>
        <w:t xml:space="preserve">those </w:t>
      </w:r>
      <w:r>
        <w:rPr>
          <w:rFonts w:ascii="Garamond" w:hAnsi="Garamond"/>
        </w:rPr>
        <w:t>in the Pacific Northwest</w:t>
      </w:r>
      <w:r w:rsidR="00EE4536">
        <w:rPr>
          <w:rFonts w:ascii="Garamond" w:hAnsi="Garamond"/>
        </w:rPr>
        <w:t xml:space="preserve"> and California</w:t>
      </w:r>
      <w:r w:rsidR="004547E2">
        <w:rPr>
          <w:rFonts w:ascii="Garamond" w:hAnsi="Garamond"/>
        </w:rPr>
        <w:t xml:space="preserve"> </w:t>
      </w:r>
      <w:r w:rsidR="004547E2">
        <w:rPr>
          <w:rFonts w:ascii="Garamond" w:hAnsi="Garamond"/>
        </w:rPr>
        <w:fldChar w:fldCharType="begin"/>
      </w:r>
      <w:r w:rsidR="002204C4">
        <w:rPr>
          <w:rFonts w:ascii="Garamond" w:hAnsi="Garamond"/>
        </w:rPr>
        <w:instrText xml:space="preserve"> ADDIN ZOTERO_ITEM CSL_CITATION {"citationID":"xRsa1svq","properties":{"formattedCitation":"(Schoen et al., 2017; Williams, 2006; Yoshiyama et al., 1998)","plainCitation":"(Schoen et al., 2017; Williams, 2006; Yoshiyama et al., 1998)","noteIndex":0},"citationItems":[{"id":6051,"uris":["http://zotero.org/users/8421274/items/UPNXXHTQ"],"itemData":{"id":6051,"type":"article-journal","abstract":"Pacific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changes.","container-title":"Fisheries","DOI":"10.1080/03632415.2017.1374251","ISSN":"0363-2415","issue":"10","note":"publisher: Taylor &amp; Francis\n_eprint: https://doi.org/10.1080/03632415.2017.1374251","page":"538-553","source":"Taylor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W."}],"issued":{"date-parts":[["2017",10,3]]}}},{"id":6057,"uris":["http://zotero.org/users/8421274/items/MWDVQVR3"],"itemData":{"id":6057,"type":"article-journal","abstract":"This monograph presents an extensive review of the biology and management of Chinook salmon and steelhead in the Central Valley of California. Relevant data and publications on these populations are summarized and discussed in the context of the wider professional literature, with emphasis on the importance of evolutionary considerations in the assessment of populations and in their management, the need to manage populations together with their environments, and the contradiction between maintaining a major hatchery program to support a mixed-stock ocean fishery and trying to maintain or restore populations adapted to natural or semi-natural habitats. Recommendations are presented for management and monitoring—for example for a thorough review of hatchery operations, for more emphasis on monitoring individual-based factors such the physiological condition and growth rates of juveniles, and for simulation of major restoration actions and monitoring programs. The 17 chapters cover major conceptsin salmon biology and conceptual foundations for management, and Central Valley Chinook and steelhead populations and their habitat, growth and migration, habitat use, harvest, hatcheries, modeling, monitoring, and management.","container-title":"San Francisco Estuary and Watershed Science","DOI":"10.15447/sfews.2006v4iss3art2","issue":"3","language":"en","source":"escholarship.org","title":"Central Valley Salmon: A Perspective on Chinook and Steelhead in the Central Valley of California","title-short":"Central Valley Salmon","URL":"https://escholarship.org/uc/item/21v9x1t7","volume":"4","author":[{"family":"Williams","given":"John G."}],"accessed":{"date-parts":[["2026",1,5]]},"issued":{"date-parts":[["2006"]]}}},{"id":5348,"uris":["http://zotero.org/users/8421274/items/VU4C5NC2"],"itemData":{"id":5348,"type":"article-journal","abstract":"The Central Valley drainage of California formerly produced immense numbers of chinook salmon Oncorhynchus tshawytscha. Four seasonal runs occur in this system—fall, late</w:instrText>
      </w:r>
      <w:r w:rsidR="002204C4">
        <w:rPr>
          <w:rFonts w:ascii="Cambria Math" w:hAnsi="Cambria Math" w:cs="Cambria Math"/>
        </w:rPr>
        <w:instrText>‐</w:instrText>
      </w:r>
      <w:r w:rsidR="002204C4">
        <w:rPr>
          <w:rFonts w:ascii="Garamond" w:hAnsi="Garamond"/>
        </w:rPr>
        <w:instrText>fall, winter, and spring runs. Differences in life history timing and spatial distribution enabled the four runs to use the drainage to the fullest possible extent and once made it one of the richest regions in the world for chinook salmon production. Native American fishers within the Central Valley drainage harvested chinook salmon at estimated levels that reached 8.5 million pounds or more annually. Native harvests, therefore, were roughly comparable to the peak commercial harvests taken later by Euro</w:instrText>
      </w:r>
      <w:r w:rsidR="002204C4">
        <w:rPr>
          <w:rFonts w:ascii="Cambria Math" w:hAnsi="Cambria Math" w:cs="Cambria Math"/>
        </w:rPr>
        <w:instrText>‐</w:instrText>
      </w:r>
      <w:r w:rsidR="002204C4">
        <w:rPr>
          <w:rFonts w:ascii="Garamond" w:hAnsi="Garamond"/>
        </w:rPr>
        <w:instrText>American fishers, but whether or not native fishing depressed the productive capacities of the salmon populations to any substantial degree is not known. The commercial chinook salmon fishery in California started about 1850 in the San Francisco Bay and Sacramento–San Joaquin Delta region, where it formed the nucleus of the first major fishery conducted by Euro</w:instrText>
      </w:r>
      <w:r w:rsidR="002204C4">
        <w:rPr>
          <w:rFonts w:ascii="Cambria Math" w:hAnsi="Cambria Math" w:cs="Cambria Math"/>
        </w:rPr>
        <w:instrText>‐</w:instrText>
      </w:r>
      <w:r w:rsidR="002204C4">
        <w:rPr>
          <w:rFonts w:ascii="Garamond" w:hAnsi="Garamond"/>
        </w:rPr>
        <w:instrText>American immigrants in the state. This fishery was one of the important early industries that supported the Euro</w:instrText>
      </w:r>
      <w:r w:rsidR="002204C4">
        <w:rPr>
          <w:rFonts w:ascii="Cambria Math" w:hAnsi="Cambria Math" w:cs="Cambria Math"/>
        </w:rPr>
        <w:instrText>‐</w:instrText>
      </w:r>
      <w:r w:rsidR="002204C4">
        <w:rPr>
          <w:rFonts w:ascii="Garamond" w:hAnsi="Garamond"/>
        </w:rPr>
        <w:instrText>American settlement of the Central Valley region. The salmon fishery remained centered there until the early 1900s, when ocean salmon fishing began to expand and eventually came to dominate the fishery. Annual catches by the early Sacramento–San Joaquin in</w:instrText>
      </w:r>
      <w:r w:rsidR="002204C4">
        <w:rPr>
          <w:rFonts w:ascii="Cambria Math" w:hAnsi="Cambria Math" w:cs="Cambria Math"/>
        </w:rPr>
        <w:instrText>‐</w:instrText>
      </w:r>
      <w:r w:rsidR="002204C4">
        <w:rPr>
          <w:rFonts w:ascii="Garamond" w:hAnsi="Garamond"/>
        </w:rPr>
        <w:instrText>river fishery commonly reached 4–10 million pounds and generally were higher than the total statewide catches made during the most recent several decades. The historical abundances of Central Valley chinook salmon before large</w:instrText>
      </w:r>
      <w:r w:rsidR="002204C4">
        <w:rPr>
          <w:rFonts w:ascii="Cambria Math" w:hAnsi="Cambria Math" w:cs="Cambria Math"/>
        </w:rPr>
        <w:instrText>‐</w:instrText>
      </w:r>
      <w:r w:rsidR="002204C4">
        <w:rPr>
          <w:rFonts w:ascii="Garamond" w:hAnsi="Garamond"/>
        </w:rPr>
        <w:instrText>scale commercial exploitation and depletion of the runs cannot be determined with certainty. However, on the basis of early commercial catch records, the maximal production levels of the Central Valley chinook salmon stocks in aggregate may be conservatively estimated to have reached approximately 1–2 million spawners annually. Although substantial investment has been made by the state of California in managing the chinook salmon resource since the early years of the commercial fishery, chinook salmon have declined over the decades to small fractions of their previous numbers. The decline of the Central Valley chinook salmon resource was caused by several factors: overfishing, blockage and degradation of streams by mining activities, and reduction of salmon habitat and streamflows by dams and water diversions. Differences between the four chinook salmon runs in life history timing and habitat requirements partly account for their different population histories; the winter run is now threatened with extinction, the spring run recently has approached a similarly imperiled state, and the late</w:instrText>
      </w:r>
      <w:r w:rsidR="002204C4">
        <w:rPr>
          <w:rFonts w:ascii="Cambria Math" w:hAnsi="Cambria Math" w:cs="Cambria Math"/>
        </w:rPr>
        <w:instrText>‐</w:instrText>
      </w:r>
      <w:r w:rsidR="002204C4">
        <w:rPr>
          <w:rFonts w:ascii="Garamond" w:hAnsi="Garamond"/>
        </w:rPr>
        <w:instrText>fall run has been at moderately low population levels for the past two decades. Only the fall run, in aggregate, can be regarded as secure, but it too has undergone substantial reductions in abundance. Fall</w:instrText>
      </w:r>
      <w:r w:rsidR="002204C4">
        <w:rPr>
          <w:rFonts w:ascii="Cambria Math" w:hAnsi="Cambria Math" w:cs="Cambria Math"/>
        </w:rPr>
        <w:instrText>‐</w:instrText>
      </w:r>
      <w:r w:rsidR="002204C4">
        <w:rPr>
          <w:rFonts w:ascii="Garamond" w:hAnsi="Garamond"/>
        </w:rPr>
        <w:instrText xml:space="preserve">run spawner numbers were especially low in the San Joaquin River basin in recent years, and in Sacramento River basin streams their numbers have been heavily influenced by production of hatchery fish.","container-title":"North American Journal of Fisheries Management","DOI":"10.1577/1548-8675(1998)018&lt;0487:HAADOC&gt;2.0.CO;2","ISSN":"0275-5947","issue":"3","journalAbbreviation":"North American Journal of Fisheries Management","page":"487-521","source":"Silverchair","title":"Historical Abundance and Decline of Chinook Salmon in the Central Valley Region of California","volume":"18","author":[{"family":"Yoshiyama","given":"Ronald M."},{"family":"Fisher","given":"Frank W."},{"family":"Moyle","given":"Peter B."}],"issued":{"date-parts":[["1998",8,1]]}}}],"schema":"https://github.com/citation-style-language/schema/raw/master/csl-citation.json"} </w:instrText>
      </w:r>
      <w:r w:rsidR="004547E2">
        <w:rPr>
          <w:rFonts w:ascii="Garamond" w:hAnsi="Garamond"/>
        </w:rPr>
        <w:fldChar w:fldCharType="separate"/>
      </w:r>
      <w:r w:rsidR="002204C4">
        <w:rPr>
          <w:rFonts w:ascii="Garamond" w:hAnsi="Garamond"/>
          <w:noProof/>
        </w:rPr>
        <w:t>(Schoen et al., 2017; Williams, 2006; Yoshiyama et al., 1998)</w:t>
      </w:r>
      <w:r w:rsidR="004547E2">
        <w:rPr>
          <w:rFonts w:ascii="Garamond" w:hAnsi="Garamond"/>
        </w:rPr>
        <w:fldChar w:fldCharType="end"/>
      </w:r>
      <w:r w:rsidR="00490C40" w:rsidRPr="001A5573">
        <w:rPr>
          <w:rFonts w:ascii="Garamond" w:hAnsi="Garamond"/>
        </w:rPr>
        <w:t xml:space="preserve">. </w:t>
      </w:r>
      <w:r w:rsidR="00206BA8" w:rsidRPr="001A5573">
        <w:rPr>
          <w:rFonts w:ascii="Garamond" w:hAnsi="Garamond"/>
        </w:rPr>
        <w:t xml:space="preserve">Large, relatively free-flowing watersheds in Alaska support the largest remaining </w:t>
      </w:r>
      <w:r w:rsidR="00490C40" w:rsidRPr="001A5573">
        <w:rPr>
          <w:rFonts w:ascii="Garamond" w:hAnsi="Garamond"/>
        </w:rPr>
        <w:t xml:space="preserve">pacific salmon populations </w:t>
      </w:r>
      <w:r w:rsidR="00206BA8" w:rsidRPr="001A5573">
        <w:rPr>
          <w:rFonts w:ascii="Garamond" w:hAnsi="Garamond"/>
        </w:rPr>
        <w:t>and contain some of the last remaining pristine habitats</w:t>
      </w:r>
      <w:r w:rsidR="002204C4">
        <w:rPr>
          <w:rFonts w:ascii="Garamond" w:hAnsi="Garamond"/>
        </w:rPr>
        <w:t xml:space="preserve">, which are </w:t>
      </w:r>
      <w:r w:rsidR="00042ED8" w:rsidRPr="001A5573">
        <w:rPr>
          <w:rFonts w:ascii="Garamond" w:hAnsi="Garamond"/>
        </w:rPr>
        <w:t xml:space="preserve">expected to </w:t>
      </w:r>
      <w:r w:rsidR="00E225FA" w:rsidRPr="001A5573">
        <w:rPr>
          <w:rFonts w:ascii="Garamond" w:hAnsi="Garamond"/>
        </w:rPr>
        <w:t xml:space="preserve">function in ways that </w:t>
      </w:r>
      <w:r w:rsidR="00490C40" w:rsidRPr="001A5573">
        <w:rPr>
          <w:rFonts w:ascii="Garamond" w:hAnsi="Garamond"/>
        </w:rPr>
        <w:t xml:space="preserve">more closely </w:t>
      </w:r>
      <w:r w:rsidR="00E225FA" w:rsidRPr="001A5573">
        <w:rPr>
          <w:rFonts w:ascii="Garamond" w:hAnsi="Garamond"/>
        </w:rPr>
        <w:t xml:space="preserve">reflect the natural ecological processes of healthy </w:t>
      </w:r>
      <w:r w:rsidR="00042ED8" w:rsidRPr="001A5573">
        <w:rPr>
          <w:rFonts w:ascii="Garamond" w:hAnsi="Garamond"/>
        </w:rPr>
        <w:t>populations</w:t>
      </w:r>
      <w:r w:rsidR="00C92E33">
        <w:rPr>
          <w:rFonts w:ascii="Garamond" w:hAnsi="Garamond"/>
        </w:rPr>
        <w:t xml:space="preserve"> </w:t>
      </w:r>
      <w:r w:rsidR="00C92E33">
        <w:rPr>
          <w:rFonts w:ascii="Garamond" w:hAnsi="Garamond"/>
        </w:rPr>
        <w:fldChar w:fldCharType="begin"/>
      </w:r>
      <w:r w:rsidR="00C92E33">
        <w:rPr>
          <w:rFonts w:ascii="Garamond" w:hAnsi="Garamond"/>
        </w:rPr>
        <w:instrText xml:space="preserve"> ADDIN ZOTERO_ITEM CSL_CITATION {"citationID":"OBNj6FQs","properties":{"formattedCitation":"(Schoen et al., 2017)","plainCitation":"(Schoen et al., 2017)","noteIndex":0},"citationItems":[{"id":6051,"uris":["http://zotero.org/users/8421274/items/UPNXXHTQ"],"itemData":{"id":6051,"type":"article-journal","abstract":"Pacific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changes.","container-title":"Fisheries","DOI":"10.1080/03632415.2017.1374251","ISSN":"0363-2415","issue":"10","note":"publisher: Taylor &amp; Francis\n_eprint: https://doi.org/10.1080/03632415.2017.1374251","page":"538-553","source":"Taylor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W."}],"issued":{"date-parts":[["2017",10,3]]}}}],"schema":"https://github.com/citation-style-language/schema/raw/master/csl-citation.json"} </w:instrText>
      </w:r>
      <w:r w:rsidR="00C92E33">
        <w:rPr>
          <w:rFonts w:ascii="Garamond" w:hAnsi="Garamond"/>
        </w:rPr>
        <w:fldChar w:fldCharType="separate"/>
      </w:r>
      <w:r w:rsidR="00C92E33">
        <w:rPr>
          <w:rFonts w:ascii="Garamond" w:hAnsi="Garamond"/>
          <w:noProof/>
        </w:rPr>
        <w:t>(Schoen et al., 2017)</w:t>
      </w:r>
      <w:r w:rsidR="00C92E33">
        <w:rPr>
          <w:rFonts w:ascii="Garamond" w:hAnsi="Garamond"/>
        </w:rPr>
        <w:fldChar w:fldCharType="end"/>
      </w:r>
      <w:r w:rsidR="00042ED8" w:rsidRPr="001A5573">
        <w:rPr>
          <w:rFonts w:ascii="Garamond" w:hAnsi="Garamond"/>
        </w:rPr>
        <w:t>.</w:t>
      </w:r>
      <w:r w:rsidR="0078224C" w:rsidRPr="001A5573">
        <w:rPr>
          <w:rFonts w:ascii="Garamond" w:hAnsi="Garamond"/>
        </w:rPr>
        <w:t>These systems therefore offer a</w:t>
      </w:r>
      <w:r w:rsidR="00490C40" w:rsidRPr="001A5573">
        <w:rPr>
          <w:rFonts w:ascii="Garamond" w:hAnsi="Garamond"/>
        </w:rPr>
        <w:t xml:space="preserve">n </w:t>
      </w:r>
      <w:r w:rsidR="0078224C" w:rsidRPr="001A5573">
        <w:rPr>
          <w:rFonts w:ascii="Garamond" w:hAnsi="Garamond"/>
        </w:rPr>
        <w:t xml:space="preserve">opportunity to </w:t>
      </w:r>
      <w:r w:rsidR="00490C40" w:rsidRPr="001A5573">
        <w:rPr>
          <w:rFonts w:ascii="Garamond" w:hAnsi="Garamond"/>
        </w:rPr>
        <w:t xml:space="preserve">explore the ecological processes which </w:t>
      </w:r>
      <w:r w:rsidR="00490C40" w:rsidRPr="001A5573">
        <w:rPr>
          <w:rFonts w:ascii="Garamond" w:hAnsi="Garamond"/>
        </w:rPr>
        <w:lastRenderedPageBreak/>
        <w:t xml:space="preserve">govern </w:t>
      </w:r>
      <w:r w:rsidR="00771117" w:rsidRPr="001A5573">
        <w:rPr>
          <w:rFonts w:ascii="Garamond" w:hAnsi="Garamond"/>
        </w:rPr>
        <w:t>wil</w:t>
      </w:r>
      <w:r w:rsidR="006E5085">
        <w:rPr>
          <w:rFonts w:ascii="Garamond" w:hAnsi="Garamond"/>
        </w:rPr>
        <w:t>d salmon populations</w:t>
      </w:r>
      <w:r w:rsidR="0078224C" w:rsidRPr="001A5573">
        <w:rPr>
          <w:rFonts w:ascii="Garamond" w:hAnsi="Garamond"/>
        </w:rPr>
        <w:t xml:space="preserve">, </w:t>
      </w:r>
      <w:r w:rsidR="002204C4">
        <w:rPr>
          <w:rFonts w:ascii="Garamond" w:hAnsi="Garamond"/>
        </w:rPr>
        <w:t xml:space="preserve">which may </w:t>
      </w:r>
      <w:r w:rsidR="00770C34" w:rsidRPr="001A5573">
        <w:rPr>
          <w:rFonts w:ascii="Garamond" w:hAnsi="Garamond"/>
        </w:rPr>
        <w:t>provide</w:t>
      </w:r>
      <w:r w:rsidR="0078224C" w:rsidRPr="001A5573">
        <w:rPr>
          <w:rFonts w:ascii="Garamond" w:hAnsi="Garamond"/>
        </w:rPr>
        <w:t xml:space="preserve"> a baseline for restoring impacted watersheds</w:t>
      </w:r>
      <w:r w:rsidR="00771117" w:rsidRPr="001A5573">
        <w:rPr>
          <w:rFonts w:ascii="Garamond" w:hAnsi="Garamond"/>
        </w:rPr>
        <w:t xml:space="preserve"> elsewhere. </w:t>
      </w:r>
    </w:p>
    <w:p w14:paraId="7D3392CE" w14:textId="5C8B94DE" w:rsidR="00EE4536" w:rsidRPr="00EE4536" w:rsidRDefault="00B4526D" w:rsidP="00EE4536">
      <w:pPr>
        <w:pStyle w:val="font-claude-response-body"/>
        <w:spacing w:line="360" w:lineRule="auto"/>
        <w:ind w:firstLine="360"/>
        <w:rPr>
          <w:rFonts w:ascii="Garamond" w:hAnsi="Garamond"/>
        </w:rPr>
      </w:pPr>
      <w:r w:rsidRPr="00EE4536">
        <w:rPr>
          <w:rFonts w:ascii="Garamond" w:hAnsi="Garamond"/>
        </w:rPr>
        <w:t xml:space="preserve">In recent years, </w:t>
      </w:r>
      <w:r w:rsidR="00EE4536" w:rsidRPr="00EE4536">
        <w:rPr>
          <w:rFonts w:ascii="Garamond" w:hAnsi="Garamond"/>
        </w:rPr>
        <w:t xml:space="preserve">the role of </w:t>
      </w:r>
      <w:r w:rsidRPr="00EE4536">
        <w:rPr>
          <w:rFonts w:ascii="Garamond" w:hAnsi="Garamond"/>
        </w:rPr>
        <w:t xml:space="preserve">landscape heterogeneity and </w:t>
      </w:r>
      <w:r w:rsidR="00EE4536" w:rsidRPr="00EE4536">
        <w:rPr>
          <w:rFonts w:ascii="Garamond" w:hAnsi="Garamond"/>
        </w:rPr>
        <w:t xml:space="preserve">hydrological </w:t>
      </w:r>
      <w:r w:rsidRPr="00EE4536">
        <w:rPr>
          <w:rFonts w:ascii="Garamond" w:hAnsi="Garamond"/>
        </w:rPr>
        <w:t xml:space="preserve">connectivity have emerged as key factors underlying the </w:t>
      </w:r>
      <w:proofErr w:type="gramStart"/>
      <w:r w:rsidR="00EE4536" w:rsidRPr="00EE4536">
        <w:rPr>
          <w:rFonts w:ascii="Garamond" w:hAnsi="Garamond"/>
        </w:rPr>
        <w:t>long term</w:t>
      </w:r>
      <w:proofErr w:type="gramEnd"/>
      <w:r w:rsidR="00EE4536" w:rsidRPr="00EE4536">
        <w:rPr>
          <w:rFonts w:ascii="Garamond" w:hAnsi="Garamond"/>
        </w:rPr>
        <w:t xml:space="preserve"> </w:t>
      </w:r>
      <w:r w:rsidRPr="00EE4536">
        <w:rPr>
          <w:rFonts w:ascii="Garamond" w:hAnsi="Garamond"/>
        </w:rPr>
        <w:t xml:space="preserve">stability of salmon </w:t>
      </w:r>
      <w:r w:rsidR="00EE4536" w:rsidRPr="00EE4536">
        <w:rPr>
          <w:rFonts w:ascii="Garamond" w:hAnsi="Garamond"/>
        </w:rPr>
        <w:t xml:space="preserve">in freshwater ecosystems. In </w:t>
      </w:r>
      <w:proofErr w:type="spellStart"/>
      <w:r w:rsidR="00EE4536" w:rsidRPr="00EE4536">
        <w:rPr>
          <w:rFonts w:ascii="Garamond" w:hAnsi="Garamond"/>
        </w:rPr>
        <w:t>well functioning</w:t>
      </w:r>
      <w:proofErr w:type="spellEnd"/>
      <w:r w:rsidR="00EE4536" w:rsidRPr="00EE4536">
        <w:rPr>
          <w:rFonts w:ascii="Garamond" w:hAnsi="Garamond"/>
        </w:rPr>
        <w:t xml:space="preserve"> systems processed which generate landscape </w:t>
      </w:r>
      <w:r w:rsidR="006E5085" w:rsidRPr="00EE4536">
        <w:rPr>
          <w:rFonts w:ascii="Garamond" w:hAnsi="Garamond"/>
        </w:rPr>
        <w:t>heterogeneity (</w:t>
      </w:r>
      <w:r w:rsidRPr="00EE4536">
        <w:rPr>
          <w:rFonts w:ascii="Garamond" w:hAnsi="Garamond"/>
        </w:rPr>
        <w:t xml:space="preserve">e.g. </w:t>
      </w:r>
      <w:r w:rsidR="00C87061" w:rsidRPr="00EE4536">
        <w:rPr>
          <w:rFonts w:ascii="Garamond" w:hAnsi="Garamond"/>
        </w:rPr>
        <w:t>G</w:t>
      </w:r>
      <w:r w:rsidR="00C34DD2" w:rsidRPr="00EE4536">
        <w:rPr>
          <w:rFonts w:ascii="Garamond" w:hAnsi="Garamond"/>
        </w:rPr>
        <w:t>eomorphological and successional processes</w:t>
      </w:r>
      <w:r w:rsidR="006E5085" w:rsidRPr="00EE4536">
        <w:rPr>
          <w:rFonts w:ascii="Garamond" w:hAnsi="Garamond"/>
        </w:rPr>
        <w:t>)</w:t>
      </w:r>
      <w:r w:rsidR="00C87061" w:rsidRPr="00EE4536">
        <w:rPr>
          <w:rFonts w:ascii="Garamond" w:hAnsi="Garamond"/>
        </w:rPr>
        <w:t xml:space="preserve"> </w:t>
      </w:r>
      <w:r w:rsidR="00EE4536" w:rsidRPr="00EE4536">
        <w:rPr>
          <w:rFonts w:ascii="Garamond" w:hAnsi="Garamond"/>
        </w:rPr>
        <w:t xml:space="preserve">operate at several spatial and temporal scales to </w:t>
      </w:r>
      <w:r w:rsidR="00B00998" w:rsidRPr="00EE4536">
        <w:rPr>
          <w:rFonts w:ascii="Garamond" w:hAnsi="Garamond"/>
        </w:rPr>
        <w:t xml:space="preserve">generate </w:t>
      </w:r>
      <w:r w:rsidR="00EE4536" w:rsidRPr="00EE4536">
        <w:rPr>
          <w:rFonts w:ascii="Garamond" w:hAnsi="Garamond"/>
        </w:rPr>
        <w:t xml:space="preserve">a </w:t>
      </w:r>
      <w:proofErr w:type="gramStart"/>
      <w:r w:rsidRPr="00EE4536">
        <w:rPr>
          <w:rFonts w:ascii="Garamond" w:hAnsi="Garamond"/>
        </w:rPr>
        <w:t xml:space="preserve">variable </w:t>
      </w:r>
      <w:r w:rsidR="00B00998" w:rsidRPr="00EE4536">
        <w:rPr>
          <w:rFonts w:ascii="Garamond" w:hAnsi="Garamond"/>
        </w:rPr>
        <w:t>biophysical conditions</w:t>
      </w:r>
      <w:proofErr w:type="gramEnd"/>
      <w:r w:rsidR="00B00998" w:rsidRPr="00EE4536">
        <w:rPr>
          <w:rFonts w:ascii="Garamond" w:hAnsi="Garamond"/>
        </w:rPr>
        <w:t xml:space="preserve"> (e.g., variation in hydrology, temperature, and depth) across multiple spatial scales</w:t>
      </w:r>
      <w:r w:rsidRPr="00EE4536">
        <w:rPr>
          <w:rFonts w:ascii="Garamond" w:hAnsi="Garamond"/>
        </w:rPr>
        <w:t xml:space="preserve">. </w:t>
      </w:r>
    </w:p>
    <w:p w14:paraId="3B2B6AC8" w14:textId="77777777" w:rsidR="00EE4536" w:rsidRDefault="00EE4536" w:rsidP="00EE4536">
      <w:pPr>
        <w:pStyle w:val="font-claude-response-body"/>
        <w:spacing w:line="360" w:lineRule="auto"/>
        <w:ind w:firstLine="360"/>
        <w:rPr>
          <w:rFonts w:ascii="Garamond" w:hAnsi="Garamond"/>
        </w:rPr>
      </w:pPr>
    </w:p>
    <w:p w14:paraId="22184922" w14:textId="354BE20A" w:rsidR="006E5085" w:rsidRPr="00EE4536" w:rsidRDefault="00B4526D" w:rsidP="00EE4536">
      <w:pPr>
        <w:pStyle w:val="font-claude-response-body"/>
        <w:spacing w:line="360" w:lineRule="auto"/>
        <w:ind w:firstLine="360"/>
      </w:pPr>
      <w:r>
        <w:rPr>
          <w:rFonts w:ascii="Garamond" w:hAnsi="Garamond"/>
        </w:rPr>
        <w:t xml:space="preserve">These local conditions differentially filter the prevailing local environmental conditions </w:t>
      </w:r>
      <w:r w:rsidR="00C11B9A" w:rsidRPr="001A5573">
        <w:rPr>
          <w:rFonts w:ascii="Garamond" w:hAnsi="Garamond"/>
        </w:rPr>
        <w:t>(e.g., precipitation, temperature)</w:t>
      </w:r>
      <w:r w:rsidR="00771117" w:rsidRPr="001A5573">
        <w:rPr>
          <w:rFonts w:ascii="Garamond" w:hAnsi="Garamond"/>
        </w:rPr>
        <w:t xml:space="preserve"> to </w:t>
      </w:r>
      <w:r w:rsidR="00B00998" w:rsidRPr="001A5573">
        <w:rPr>
          <w:rFonts w:ascii="Garamond" w:hAnsi="Garamond"/>
        </w:rPr>
        <w:t>produc</w:t>
      </w:r>
      <w:r w:rsidR="00771117" w:rsidRPr="001A5573">
        <w:rPr>
          <w:rFonts w:ascii="Garamond" w:hAnsi="Garamond"/>
        </w:rPr>
        <w:t>e</w:t>
      </w:r>
      <w:r w:rsidR="00B00998" w:rsidRPr="001A5573">
        <w:rPr>
          <w:rFonts w:ascii="Garamond" w:hAnsi="Garamond"/>
        </w:rPr>
        <w:t xml:space="preserve"> a </w:t>
      </w:r>
      <w:r w:rsidR="00F6438A" w:rsidRPr="001A5573">
        <w:rPr>
          <w:rFonts w:ascii="Garamond" w:hAnsi="Garamond"/>
        </w:rPr>
        <w:t xml:space="preserve">continuum </w:t>
      </w:r>
      <w:r w:rsidR="00B00998" w:rsidRPr="001A5573">
        <w:rPr>
          <w:rFonts w:ascii="Garamond" w:hAnsi="Garamond"/>
        </w:rPr>
        <w:t>of habitat types</w:t>
      </w:r>
      <w:r w:rsidR="00F6438A" w:rsidRPr="001A5573">
        <w:rPr>
          <w:rFonts w:ascii="Garamond" w:hAnsi="Garamond"/>
        </w:rPr>
        <w:t xml:space="preserve"> </w:t>
      </w:r>
      <w:r w:rsidR="00B00998" w:rsidRPr="001A5573">
        <w:rPr>
          <w:rFonts w:ascii="Garamond" w:hAnsi="Garamond"/>
        </w:rPr>
        <w:t>throughout the basin.</w:t>
      </w:r>
      <w:r w:rsidR="00F6438A" w:rsidRPr="001A5573">
        <w:rPr>
          <w:rFonts w:ascii="Garamond" w:hAnsi="Garamond"/>
        </w:rPr>
        <w:t xml:space="preserve"> </w:t>
      </w:r>
    </w:p>
    <w:p w14:paraId="2F22F2B6" w14:textId="77777777" w:rsidR="006E5085" w:rsidRDefault="006E5085" w:rsidP="006E5085">
      <w:pPr>
        <w:pStyle w:val="font-claude-response-body"/>
        <w:spacing w:line="360" w:lineRule="auto"/>
        <w:ind w:firstLine="360"/>
        <w:rPr>
          <w:rFonts w:ascii="Garamond" w:hAnsi="Garamond"/>
        </w:rPr>
      </w:pPr>
    </w:p>
    <w:p w14:paraId="5970D70F" w14:textId="77777777" w:rsidR="006E5085" w:rsidRDefault="006E5085" w:rsidP="006E5085">
      <w:pPr>
        <w:pStyle w:val="font-claude-response-body"/>
        <w:spacing w:line="360" w:lineRule="auto"/>
        <w:ind w:firstLine="360"/>
        <w:rPr>
          <w:rFonts w:ascii="Garamond" w:hAnsi="Garamond"/>
        </w:rPr>
      </w:pPr>
    </w:p>
    <w:p w14:paraId="263F41F0" w14:textId="241BCC14" w:rsidR="00F76583" w:rsidRPr="001A5573" w:rsidRDefault="00F06875" w:rsidP="006E5085">
      <w:pPr>
        <w:pStyle w:val="font-claude-response-body"/>
        <w:spacing w:line="360" w:lineRule="auto"/>
        <w:ind w:firstLine="360"/>
        <w:rPr>
          <w:rFonts w:ascii="Garamond" w:hAnsi="Garamond"/>
        </w:rPr>
      </w:pPr>
      <w:r w:rsidRPr="001A5573">
        <w:rPr>
          <w:rFonts w:ascii="Garamond" w:hAnsi="Garamond"/>
        </w:rPr>
        <w:t>T</w:t>
      </w:r>
      <w:r w:rsidR="00771117" w:rsidRPr="001A5573">
        <w:rPr>
          <w:rFonts w:ascii="Garamond" w:hAnsi="Garamond"/>
        </w:rPr>
        <w:t>he dynamic interplay between environmental conditions and landscape features</w:t>
      </w:r>
      <w:r w:rsidRPr="001A5573">
        <w:rPr>
          <w:rFonts w:ascii="Garamond" w:hAnsi="Garamond"/>
        </w:rPr>
        <w:t xml:space="preserve"> over time</w:t>
      </w:r>
      <w:r w:rsidR="00771117" w:rsidRPr="001A5573">
        <w:rPr>
          <w:rFonts w:ascii="Garamond" w:hAnsi="Garamond"/>
        </w:rPr>
        <w:t xml:space="preserve"> produces a</w:t>
      </w:r>
      <w:r w:rsidRPr="001A5573">
        <w:rPr>
          <w:rFonts w:ascii="Garamond" w:hAnsi="Garamond"/>
        </w:rPr>
        <w:t xml:space="preserve"> shifting</w:t>
      </w:r>
      <w:r w:rsidRPr="001A5573">
        <w:rPr>
          <w:rStyle w:val="Emphasis"/>
          <w:rFonts w:ascii="Garamond" w:eastAsiaTheme="majorEastAsia" w:hAnsi="Garamond"/>
        </w:rPr>
        <w:t xml:space="preserve"> </w:t>
      </w:r>
      <w:r w:rsidRPr="001A5573">
        <w:rPr>
          <w:rStyle w:val="Emphasis"/>
          <w:rFonts w:ascii="Garamond" w:eastAsiaTheme="majorEastAsia" w:hAnsi="Garamond"/>
          <w:i w:val="0"/>
          <w:iCs w:val="0"/>
        </w:rPr>
        <w:t>mosaic</w:t>
      </w:r>
      <w:r w:rsidRPr="001A5573">
        <w:rPr>
          <w:rFonts w:ascii="Garamond" w:hAnsi="Garamond"/>
        </w:rPr>
        <w:t xml:space="preserve"> of </w:t>
      </w:r>
      <w:r w:rsidR="00CE7CBF" w:rsidRPr="001A5573">
        <w:rPr>
          <w:rFonts w:ascii="Garamond" w:hAnsi="Garamond"/>
        </w:rPr>
        <w:t xml:space="preserve">habitat types </w:t>
      </w:r>
      <w:r w:rsidRPr="001A5573">
        <w:rPr>
          <w:rFonts w:ascii="Garamond" w:hAnsi="Garamond"/>
        </w:rPr>
        <w:t xml:space="preserve">across </w:t>
      </w:r>
      <w:r w:rsidR="00CE7CBF" w:rsidRPr="001A5573">
        <w:rPr>
          <w:rFonts w:ascii="Garamond" w:hAnsi="Garamond"/>
        </w:rPr>
        <w:t xml:space="preserve">the watershed which </w:t>
      </w:r>
      <w:r w:rsidR="00771117" w:rsidRPr="001A5573">
        <w:rPr>
          <w:rFonts w:ascii="Garamond" w:hAnsi="Garamond"/>
        </w:rPr>
        <w:t xml:space="preserve">differ in </w:t>
      </w:r>
      <w:r w:rsidR="00CE7CBF" w:rsidRPr="001A5573">
        <w:rPr>
          <w:rFonts w:ascii="Garamond" w:hAnsi="Garamond"/>
        </w:rPr>
        <w:t>suitability a</w:t>
      </w:r>
      <w:r w:rsidR="00771117" w:rsidRPr="001A5573">
        <w:rPr>
          <w:rFonts w:ascii="Garamond" w:hAnsi="Garamond"/>
        </w:rPr>
        <w:t xml:space="preserve">nd spatial arrangement and are continually reorganized across multiple spatial and temporal scales. </w:t>
      </w:r>
      <w:r w:rsidR="00FD6E18" w:rsidRPr="001A5573">
        <w:rPr>
          <w:rFonts w:ascii="Garamond" w:hAnsi="Garamond"/>
        </w:rPr>
        <w:t xml:space="preserve">In healthy, well-functioning watersheds, this process is expected to produce spatially heterogeneous patterns of ecological performance (e.g., growth and production) </w:t>
      </w:r>
      <w:r w:rsidR="00A65358" w:rsidRPr="001A5573">
        <w:rPr>
          <w:rFonts w:ascii="Garamond" w:hAnsi="Garamond"/>
        </w:rPr>
        <w:t xml:space="preserve">that shift in their spatial configuration </w:t>
      </w:r>
      <w:r w:rsidR="00F76583" w:rsidRPr="001A5573">
        <w:rPr>
          <w:rFonts w:ascii="Garamond" w:hAnsi="Garamond"/>
        </w:rPr>
        <w:t xml:space="preserve">as </w:t>
      </w:r>
      <w:r w:rsidR="00FD6E18" w:rsidRPr="001A5573">
        <w:rPr>
          <w:rFonts w:ascii="Garamond" w:hAnsi="Garamond"/>
        </w:rPr>
        <w:t xml:space="preserve">locally adapted subpopulations </w:t>
      </w:r>
      <w:r w:rsidR="00A65358" w:rsidRPr="001A5573">
        <w:rPr>
          <w:rFonts w:ascii="Garamond" w:hAnsi="Garamond"/>
        </w:rPr>
        <w:t>interact with variable</w:t>
      </w:r>
      <w:r w:rsidR="00FD6E18" w:rsidRPr="001A5573">
        <w:rPr>
          <w:rFonts w:ascii="Garamond" w:hAnsi="Garamond"/>
        </w:rPr>
        <w:t xml:space="preserve"> habitat suitability through space and time</w:t>
      </w:r>
      <w:r w:rsidR="00CF241E" w:rsidRPr="001A5573">
        <w:rPr>
          <w:rFonts w:ascii="Garamond" w:hAnsi="Garamond"/>
        </w:rPr>
        <w:t xml:space="preserve">. </w:t>
      </w:r>
      <w:r w:rsidR="00F76583" w:rsidRPr="001A5573">
        <w:rPr>
          <w:rFonts w:ascii="Garamond" w:hAnsi="Garamond"/>
        </w:rPr>
        <w:t>Despite variability among tributaries and sub-basin regions, this pattern is expected to stabilize ecosystem-scale performance (i.e., total salmon returns) by maintaining a diverse set of habitat conditions whose performance is weakly or negatively correlated under varying environmental conditions.</w:t>
      </w:r>
    </w:p>
    <w:p w14:paraId="1E3312FC" w14:textId="23697803" w:rsidR="007E5044" w:rsidRPr="001A5573" w:rsidRDefault="00832611" w:rsidP="00923E83">
      <w:pPr>
        <w:pStyle w:val="font-claude-response-body"/>
        <w:spacing w:line="360" w:lineRule="auto"/>
        <w:ind w:firstLine="360"/>
        <w:rPr>
          <w:rFonts w:ascii="Garamond" w:hAnsi="Garamond"/>
        </w:rPr>
      </w:pPr>
      <w:r w:rsidRPr="001A5573">
        <w:rPr>
          <w:rFonts w:ascii="Garamond" w:hAnsi="Garamond"/>
        </w:rPr>
        <w:t xml:space="preserve">Although the “shifting habitat mosaic” has been extensively described in relatively small ecosystems, it has only recently been empirically tested at the watershed scale in salmon systems, and then over relatively short timeframes (≤3 years; Brennan et al., 2019). To date, this pattern has not been examined in the world’s largest salmon-bearing watersheds or over longer temporal scales. </w:t>
      </w:r>
      <w:r w:rsidRPr="001A5573">
        <w:rPr>
          <w:rFonts w:ascii="Garamond" w:hAnsi="Garamond"/>
        </w:rPr>
        <w:lastRenderedPageBreak/>
        <w:t>Here, we reconstruct spatiotemporal patterns of watershed-scale production in the Yukon and Kuskokwim river basins—the largest salmon-bearing watersheds in North America—over a six-year period using otolith microchemistry, providing a framework for evaluating shifting habitat mosaics across large spatial extents and multi-year timescales.</w:t>
      </w:r>
    </w:p>
    <w:p w14:paraId="2BCA3ADC" w14:textId="77777777" w:rsidR="007E5044" w:rsidRPr="001A5573" w:rsidRDefault="007E5044" w:rsidP="001458A1">
      <w:pPr>
        <w:pStyle w:val="font-claude-response-body"/>
        <w:numPr>
          <w:ilvl w:val="0"/>
          <w:numId w:val="2"/>
        </w:numPr>
        <w:spacing w:line="360" w:lineRule="auto"/>
        <w:rPr>
          <w:rFonts w:ascii="Garamond" w:hAnsi="Garamond"/>
        </w:rPr>
      </w:pPr>
    </w:p>
    <w:p w14:paraId="6A915326" w14:textId="77777777" w:rsidR="00D93412" w:rsidRPr="001A5573" w:rsidRDefault="00D93412" w:rsidP="001458A1">
      <w:pPr>
        <w:pStyle w:val="font-claude-response-body"/>
        <w:spacing w:line="360" w:lineRule="auto"/>
        <w:rPr>
          <w:rFonts w:ascii="Garamond" w:hAnsi="Garamond"/>
          <w:b/>
          <w:bCs/>
          <w:u w:val="single"/>
        </w:rPr>
      </w:pPr>
    </w:p>
    <w:p w14:paraId="7C1A9FD7" w14:textId="77777777" w:rsidR="00D93412" w:rsidRPr="001A5573" w:rsidRDefault="00D93412" w:rsidP="001458A1">
      <w:pPr>
        <w:pStyle w:val="font-claude-response-body"/>
        <w:spacing w:line="360" w:lineRule="auto"/>
        <w:rPr>
          <w:rFonts w:ascii="Garamond" w:hAnsi="Garamond"/>
          <w:b/>
          <w:bCs/>
          <w:u w:val="single"/>
        </w:rPr>
      </w:pPr>
    </w:p>
    <w:p w14:paraId="28488EA9" w14:textId="06C62F8B" w:rsidR="00D93412" w:rsidRPr="001A5573" w:rsidRDefault="001458A1" w:rsidP="001458A1">
      <w:pPr>
        <w:pStyle w:val="font-claude-response-body"/>
        <w:spacing w:line="360" w:lineRule="auto"/>
        <w:rPr>
          <w:rFonts w:ascii="Garamond" w:hAnsi="Garamond"/>
          <w:b/>
          <w:bCs/>
          <w:u w:val="single"/>
        </w:rPr>
      </w:pPr>
      <w:r w:rsidRPr="001A5573">
        <w:rPr>
          <w:rFonts w:ascii="Garamond" w:hAnsi="Garamond"/>
          <w:b/>
          <w:bCs/>
          <w:u w:val="single"/>
        </w:rPr>
        <w:t>Methods</w:t>
      </w:r>
      <w:r w:rsidR="007E5044" w:rsidRPr="001A5573">
        <w:rPr>
          <w:rFonts w:ascii="Garamond" w:hAnsi="Garamond"/>
          <w:b/>
          <w:bCs/>
          <w:u w:val="single"/>
        </w:rPr>
        <w:t xml:space="preserve">: </w:t>
      </w:r>
    </w:p>
    <w:p w14:paraId="25DACF6F" w14:textId="7950C1A6" w:rsidR="007E0C3E" w:rsidRPr="001A5573" w:rsidRDefault="007E0C3E" w:rsidP="007E0C3E">
      <w:pPr>
        <w:pStyle w:val="font-claude-response-body"/>
        <w:spacing w:line="360" w:lineRule="auto"/>
        <w:rPr>
          <w:rFonts w:ascii="Garamond" w:hAnsi="Garamond"/>
          <w:b/>
          <w:bCs/>
          <w:u w:val="single"/>
        </w:rPr>
      </w:pPr>
      <w:r w:rsidRPr="001A5573">
        <w:rPr>
          <w:rFonts w:ascii="Garamond" w:hAnsi="Garamond"/>
          <w:b/>
          <w:bCs/>
          <w:u w:val="single"/>
        </w:rPr>
        <w:t xml:space="preserve">Otolith and Genetic Data: </w:t>
      </w:r>
    </w:p>
    <w:p w14:paraId="1A40552A" w14:textId="4D8E0867" w:rsidR="005462A2" w:rsidRPr="001A5573" w:rsidRDefault="00D93412" w:rsidP="005462A2">
      <w:pPr>
        <w:pStyle w:val="font-claude-response-body"/>
        <w:spacing w:line="360" w:lineRule="auto"/>
        <w:ind w:firstLine="720"/>
        <w:rPr>
          <w:rFonts w:ascii="Garamond" w:hAnsi="Garamond"/>
        </w:rPr>
      </w:pPr>
      <w:r w:rsidRPr="001A5573">
        <w:rPr>
          <w:rFonts w:ascii="Garamond" w:hAnsi="Garamond"/>
        </w:rPr>
        <w:t xml:space="preserve">Chinook salmon otoliths were collected from the Yukon (2015, 2016, 2019–2021) and Kuskokwim (2017–2022) rivers over several years from the downstream terminus of both rivers. Yukon otoliths were collected from the Lower Yukon Test Fishery (LYTF) operated by the Alaska Department of Fish and Game near </w:t>
      </w:r>
      <w:proofErr w:type="spellStart"/>
      <w:r w:rsidRPr="001A5573">
        <w:rPr>
          <w:rFonts w:ascii="Garamond" w:hAnsi="Garamond"/>
        </w:rPr>
        <w:t>Emmonok</w:t>
      </w:r>
      <w:proofErr w:type="spellEnd"/>
      <w:r w:rsidRPr="001A5573">
        <w:rPr>
          <w:rFonts w:ascii="Garamond" w:hAnsi="Garamond"/>
        </w:rPr>
        <w:t xml:space="preserve">, Ak and Kuskokwim otoliths were collected by collaborators at the </w:t>
      </w:r>
      <w:proofErr w:type="spellStart"/>
      <w:r w:rsidRPr="001A5573">
        <w:rPr>
          <w:rFonts w:ascii="Garamond" w:hAnsi="Garamond"/>
        </w:rPr>
        <w:t>Orutsararmiut</w:t>
      </w:r>
      <w:proofErr w:type="spellEnd"/>
      <w:r w:rsidRPr="001A5573">
        <w:rPr>
          <w:rFonts w:ascii="Garamond" w:hAnsi="Garamond"/>
        </w:rPr>
        <w:t xml:space="preserve"> Native Council at the Bethel Test Fishery (BTF) near Bethel, AK (Figure _). It is assumed that fish caught in each test fishery reared in their respective river and were therefore returning to their natal spawning grounds on capture. Both test fisheries are designed to </w:t>
      </w:r>
      <w:r w:rsidR="0017696D" w:rsidRPr="001A5573">
        <w:rPr>
          <w:rFonts w:ascii="Garamond" w:hAnsi="Garamond"/>
        </w:rPr>
        <w:t xml:space="preserve">sample throughout the run to gain insight on the timing of individual stocks throughout the basin. </w:t>
      </w:r>
      <w:r w:rsidRPr="001A5573">
        <w:rPr>
          <w:rFonts w:ascii="Garamond" w:hAnsi="Garamond"/>
        </w:rPr>
        <w:t xml:space="preserve">Roughly 500 otoliths were collected from each sample site and in each year, </w:t>
      </w:r>
      <w:proofErr w:type="gramStart"/>
      <w:r w:rsidRPr="001A5573">
        <w:rPr>
          <w:rFonts w:ascii="Garamond" w:hAnsi="Garamond"/>
        </w:rPr>
        <w:t>with the exception of</w:t>
      </w:r>
      <w:commentRangeStart w:id="0"/>
      <w:proofErr w:type="gramEnd"/>
      <w:r w:rsidRPr="001A5573">
        <w:rPr>
          <w:rFonts w:ascii="Garamond" w:hAnsi="Garamond"/>
        </w:rPr>
        <w:t xml:space="preserve"> ________________. </w:t>
      </w:r>
      <w:commentRangeEnd w:id="0"/>
      <w:r w:rsidRPr="001A5573">
        <w:rPr>
          <w:rStyle w:val="CommentReference"/>
          <w:rFonts w:ascii="Garamond" w:eastAsiaTheme="minorHAnsi" w:hAnsi="Garamond" w:cstheme="minorBidi"/>
          <w:kern w:val="2"/>
          <w:sz w:val="24"/>
          <w:szCs w:val="24"/>
          <w14:ligatures w14:val="standardContextual"/>
        </w:rPr>
        <w:commentReference w:id="0"/>
      </w:r>
      <w:r w:rsidRPr="001A5573">
        <w:rPr>
          <w:rFonts w:ascii="Garamond" w:hAnsi="Garamond"/>
        </w:rPr>
        <w:t xml:space="preserve">From these, ~250 otoliths per river and per year were selected for further analysis, ensuring relatively equal representation relative to CPUE across the full year. </w:t>
      </w:r>
      <w:r w:rsidR="0017696D" w:rsidRPr="001A5573">
        <w:rPr>
          <w:rFonts w:ascii="Garamond" w:hAnsi="Garamond"/>
        </w:rPr>
        <w:t>Selected otoliths wer</w:t>
      </w:r>
      <w:r w:rsidR="00B52516" w:rsidRPr="001A5573">
        <w:rPr>
          <w:rFonts w:ascii="Garamond" w:hAnsi="Garamond"/>
        </w:rPr>
        <w:t xml:space="preserve">e cut along the transverse plane using a low speed </w:t>
      </w:r>
      <w:proofErr w:type="spellStart"/>
      <w:r w:rsidR="00B52516" w:rsidRPr="001A5573">
        <w:rPr>
          <w:rFonts w:ascii="Garamond" w:hAnsi="Garamond"/>
        </w:rPr>
        <w:t>isomet</w:t>
      </w:r>
      <w:proofErr w:type="spellEnd"/>
      <w:r w:rsidR="00B52516" w:rsidRPr="001A5573">
        <w:rPr>
          <w:rFonts w:ascii="Garamond" w:hAnsi="Garamond"/>
        </w:rPr>
        <w:t xml:space="preserve"> saw to reveal the core and growth structure of the otolith, mounted on a microscope slide, and polished. </w:t>
      </w:r>
      <w:r w:rsidR="00B52516" w:rsidRPr="001A5573">
        <w:rPr>
          <w:rFonts w:ascii="Garamond" w:hAnsi="Garamond"/>
        </w:rPr>
        <w:fldChar w:fldCharType="begin"/>
      </w:r>
      <w:r w:rsidR="00B52516" w:rsidRPr="001A5573">
        <w:rPr>
          <w:rFonts w:ascii="Garamond" w:hAnsi="Garamond"/>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B52516" w:rsidRPr="001A5573">
        <w:rPr>
          <w:rFonts w:ascii="Garamond" w:hAnsi="Garamond"/>
        </w:rPr>
        <w:fldChar w:fldCharType="separate"/>
      </w:r>
      <w:r w:rsidR="00B52516" w:rsidRPr="001A5573">
        <w:rPr>
          <w:rFonts w:ascii="Garamond" w:hAnsi="Garamond"/>
          <w:noProof/>
        </w:rPr>
        <w:t>(Donohoe &amp; Zimmerman, 2010; Zimmerman &amp; Reeves, 2002)</w:t>
      </w:r>
      <w:r w:rsidR="00B52516" w:rsidRPr="001A5573">
        <w:rPr>
          <w:rFonts w:ascii="Garamond" w:hAnsi="Garamond"/>
        </w:rPr>
        <w:fldChar w:fldCharType="end"/>
      </w:r>
      <w:r w:rsidR="00B52516" w:rsidRPr="001A5573">
        <w:rPr>
          <w:rFonts w:ascii="Garamond" w:hAnsi="Garamond"/>
        </w:rPr>
        <w:t xml:space="preserve">. Samples were then analyzed for Sr8786 and Sr88 using Laser Ablation Inductively Coupled Plasma Mass Spectrometry (LA-ICP-MS) at the University of Utah Strontium Metals Lab. Laser ablation was performed from the otolith core to just after the onset of the marine signature along the dorsal lobe scanning at 2 microns/second. </w:t>
      </w:r>
      <w:r w:rsidR="00531B95" w:rsidRPr="001A5573">
        <w:rPr>
          <w:rFonts w:ascii="Garamond" w:hAnsi="Garamond"/>
        </w:rPr>
        <w:t xml:space="preserve">The Sr87/Sr86 value from the natal rearing location was identified manually by examining the first stable value following the rapid decrease from that of the core, which was identified both by examining the </w:t>
      </w:r>
      <w:r w:rsidR="00531B95" w:rsidRPr="001A5573">
        <w:rPr>
          <w:rFonts w:ascii="Garamond" w:hAnsi="Garamond"/>
        </w:rPr>
        <w:lastRenderedPageBreak/>
        <w:t xml:space="preserve">position of the ablation transect relative to the visible core region on the otolith as well as a general </w:t>
      </w:r>
      <w:r w:rsidR="005462A2" w:rsidRPr="001A5573">
        <w:rPr>
          <w:rFonts w:ascii="Garamond" w:hAnsi="Garamond"/>
        </w:rPr>
        <w:t>convergence</w:t>
      </w:r>
      <w:r w:rsidR="00531B95" w:rsidRPr="001A5573">
        <w:rPr>
          <w:rFonts w:ascii="Garamond" w:hAnsi="Garamond"/>
        </w:rPr>
        <w:t xml:space="preserve"> towards the global marine Sr8786 value (0.70819</w:t>
      </w:r>
      <w:r w:rsidR="005462A2" w:rsidRPr="001A5573">
        <w:rPr>
          <w:rFonts w:ascii="Garamond" w:hAnsi="Garamond"/>
        </w:rPr>
        <w:t xml:space="preserve">). Fin clip samples were taken from as many Yukon individuals as possible and genetic stock identification (GSI) assignments were estimated based on methods in Makhlouf et al., 2025 using X genetic baselines </w:t>
      </w:r>
      <w:proofErr w:type="gramStart"/>
      <w:r w:rsidR="005462A2" w:rsidRPr="001A5573">
        <w:rPr>
          <w:rFonts w:ascii="Garamond" w:hAnsi="Garamond"/>
        </w:rPr>
        <w:t>( cites</w:t>
      </w:r>
      <w:proofErr w:type="gramEnd"/>
      <w:r w:rsidR="005462A2" w:rsidRPr="001A5573">
        <w:rPr>
          <w:rFonts w:ascii="Garamond" w:hAnsi="Garamond"/>
        </w:rPr>
        <w:t xml:space="preserve"> from there here). </w:t>
      </w:r>
    </w:p>
    <w:p w14:paraId="6CDF2D7D" w14:textId="77777777" w:rsidR="00617B10" w:rsidRPr="001A5573" w:rsidRDefault="00617B10" w:rsidP="001458A1">
      <w:pPr>
        <w:pStyle w:val="font-claude-response-body"/>
        <w:spacing w:line="360" w:lineRule="auto"/>
        <w:rPr>
          <w:rFonts w:ascii="Garamond" w:hAnsi="Garamond"/>
          <w:b/>
          <w:bCs/>
          <w:u w:val="single"/>
        </w:rPr>
      </w:pPr>
    </w:p>
    <w:p w14:paraId="77312142" w14:textId="77777777" w:rsidR="00617B10" w:rsidRPr="001A5573" w:rsidRDefault="00617B10" w:rsidP="001458A1">
      <w:pPr>
        <w:pStyle w:val="font-claude-response-body"/>
        <w:spacing w:line="360" w:lineRule="auto"/>
        <w:rPr>
          <w:rFonts w:ascii="Garamond" w:hAnsi="Garamond"/>
          <w:b/>
          <w:bCs/>
          <w:u w:val="single"/>
        </w:rPr>
      </w:pPr>
    </w:p>
    <w:p w14:paraId="365A8E8B" w14:textId="0AEE68A4" w:rsidR="00923E83" w:rsidRPr="001A5573" w:rsidRDefault="00923E83" w:rsidP="001458A1">
      <w:pPr>
        <w:pStyle w:val="font-claude-response-body"/>
        <w:spacing w:line="360" w:lineRule="auto"/>
        <w:rPr>
          <w:rFonts w:ascii="Garamond" w:hAnsi="Garamond"/>
          <w:b/>
          <w:bCs/>
          <w:u w:val="single"/>
        </w:rPr>
      </w:pPr>
      <w:r w:rsidRPr="001A5573">
        <w:rPr>
          <w:rFonts w:ascii="Garamond" w:hAnsi="Garamond"/>
          <w:b/>
          <w:bCs/>
          <w:u w:val="single"/>
        </w:rPr>
        <w:t>Provenance estimates</w:t>
      </w:r>
    </w:p>
    <w:p w14:paraId="4C690695" w14:textId="47A06FAA" w:rsidR="00617B10" w:rsidRPr="001A5573" w:rsidRDefault="00A6046C" w:rsidP="00A6046C">
      <w:pPr>
        <w:pStyle w:val="font-claude-response-body"/>
        <w:spacing w:line="360" w:lineRule="auto"/>
        <w:ind w:firstLine="720"/>
        <w:rPr>
          <w:rFonts w:ascii="Garamond" w:hAnsi="Garamond"/>
          <w:b/>
          <w:bCs/>
          <w:u w:val="single"/>
        </w:rPr>
      </w:pPr>
      <w:r w:rsidRPr="001A5573">
        <w:rPr>
          <w:rFonts w:ascii="Garamond" w:hAnsi="Garamond"/>
        </w:rPr>
        <w:t>Maps of the spatial distribution of ^87Sr/^86Sr (i.e., “</w:t>
      </w:r>
      <w:proofErr w:type="spellStart"/>
      <w:r w:rsidRPr="001A5573">
        <w:rPr>
          <w:rFonts w:ascii="Garamond" w:hAnsi="Garamond"/>
        </w:rPr>
        <w:t>isoscapes</w:t>
      </w:r>
      <w:proofErr w:type="spellEnd"/>
      <w:r w:rsidRPr="001A5573">
        <w:rPr>
          <w:rFonts w:ascii="Garamond" w:hAnsi="Garamond"/>
        </w:rPr>
        <w:t xml:space="preserve">”) have been developed for both the Kuskokwim and Yukon river basins using spatial stream network modeling (SSNM). This approach accounts for both Euclidean and flow-connected spatial autocorrelation, as well as the influence of multiple reach-scale covariates on strontium isotope ratios (French et al., X; Makhlouf et al., 2025). Both </w:t>
      </w:r>
      <w:proofErr w:type="spellStart"/>
      <w:r w:rsidRPr="001A5573">
        <w:rPr>
          <w:rFonts w:ascii="Garamond" w:hAnsi="Garamond"/>
        </w:rPr>
        <w:t>isoscapes</w:t>
      </w:r>
      <w:proofErr w:type="spellEnd"/>
      <w:r w:rsidRPr="001A5573">
        <w:rPr>
          <w:rFonts w:ascii="Garamond" w:hAnsi="Garamond"/>
        </w:rPr>
        <w:t xml:space="preserve"> include reach-specific estimates of model uncertainty. Because the Yukon </w:t>
      </w:r>
      <w:proofErr w:type="spellStart"/>
      <w:r w:rsidRPr="001A5573">
        <w:rPr>
          <w:rFonts w:ascii="Garamond" w:hAnsi="Garamond"/>
        </w:rPr>
        <w:t>isoscape</w:t>
      </w:r>
      <w:proofErr w:type="spellEnd"/>
      <w:r w:rsidRPr="001A5573">
        <w:rPr>
          <w:rFonts w:ascii="Garamond" w:hAnsi="Garamond"/>
        </w:rPr>
        <w:t xml:space="preserve"> encompasses a substantially larger spatial extent and has lower sampling density per river kilometer, associated prediction error is considerably higher than in the Kuskokwim (add error range). In both systems, however, reaches with exceptionally low prediction error—typically those closest to sampling locations—are relatively rare and tend to receive a disproportionate number of assignments.</w:t>
      </w:r>
      <w:r w:rsidR="006D31BE" w:rsidRPr="001A5573">
        <w:rPr>
          <w:rFonts w:ascii="Garamond" w:hAnsi="Garamond"/>
        </w:rPr>
        <w:t xml:space="preserve"> To avoid this, minimum error values for each </w:t>
      </w:r>
      <w:proofErr w:type="spellStart"/>
      <w:r w:rsidR="006D31BE" w:rsidRPr="001A5573">
        <w:rPr>
          <w:rFonts w:ascii="Garamond" w:hAnsi="Garamond"/>
        </w:rPr>
        <w:t>isoscape</w:t>
      </w:r>
      <w:proofErr w:type="spellEnd"/>
      <w:r w:rsidR="006D31BE" w:rsidRPr="001A5573">
        <w:rPr>
          <w:rFonts w:ascii="Garamond" w:hAnsi="Garamond"/>
        </w:rPr>
        <w:t xml:space="preserve"> were adjusted to .003 and .00003 for the Yukon and Kuskokwim </w:t>
      </w:r>
      <w:proofErr w:type="spellStart"/>
      <w:r w:rsidR="006D31BE" w:rsidRPr="001A5573">
        <w:rPr>
          <w:rFonts w:ascii="Garamond" w:hAnsi="Garamond"/>
        </w:rPr>
        <w:t>isoscape</w:t>
      </w:r>
      <w:proofErr w:type="spellEnd"/>
      <w:r w:rsidR="006D31BE" w:rsidRPr="001A5573">
        <w:rPr>
          <w:rFonts w:ascii="Garamond" w:hAnsi="Garamond"/>
        </w:rPr>
        <w:t xml:space="preserve">, respectively. All reaches with error values below this were assigned this value. </w:t>
      </w:r>
    </w:p>
    <w:p w14:paraId="7EDDF165" w14:textId="50983BFB" w:rsidR="00B7063C" w:rsidRDefault="00B7063C" w:rsidP="00B7063C">
      <w:pPr>
        <w:pStyle w:val="font-claude-response-body"/>
        <w:spacing w:line="360" w:lineRule="auto"/>
        <w:rPr>
          <w:rFonts w:ascii="Garamond" w:hAnsi="Garamond"/>
        </w:rPr>
      </w:pPr>
      <w:r w:rsidRPr="001A5573">
        <w:rPr>
          <w:rFonts w:ascii="Garamond" w:hAnsi="Garamond"/>
        </w:rPr>
        <w:tab/>
      </w:r>
      <w:r w:rsidR="000B246E" w:rsidRPr="001A5573">
        <w:rPr>
          <w:rFonts w:ascii="Garamond" w:hAnsi="Garamond"/>
        </w:rPr>
        <w:t xml:space="preserve">From the extracted natal-origin values, the likelihood of provenance was estimated for all reaches within each basin using a probabilistic Bayesian framework (Makhlouf et al., 2025). For Yukon samples, a genetic prior was incorporated based on posterior probabilities from genetic stock identification assignments (Makhlouf et al., 2025). In addition, three spatial priors were applied to reduce assignment to reaches with low likelihood of occupancy by spawning adult Chinook salmon. </w:t>
      </w:r>
      <w:r w:rsidR="009E2EDB" w:rsidRPr="001A5573">
        <w:rPr>
          <w:rFonts w:ascii="Garamond" w:hAnsi="Garamond"/>
        </w:rPr>
        <w:t xml:space="preserve">Specifically, assignments were constrained to streams of order X or greater, and a habitat prior assigned zero probability to reaches with average channel gradients &gt; X. Together, these constraints reflect the preference of Chinook salmon for spawning in larger tributaries and the observed </w:t>
      </w:r>
      <w:r w:rsidR="009E2EDB" w:rsidRPr="001A5573">
        <w:rPr>
          <w:rFonts w:ascii="Garamond" w:hAnsi="Garamond"/>
        </w:rPr>
        <w:lastRenderedPageBreak/>
        <w:t>unsuitability of both extremely low-gradient and steep reaches. Finally, a “presence prior” was derived from USGS intrinsic potential mapping, which identifies reaches where spawning Chinook salmon have been observed based on multiple data sources [ref]. This prior was applied to mainstem tributaries in both river basins, assigning zero probability to reaches with no documented evidence of spawning Chinook salmon. We restricted application of this prior to mainstem reaches to avoid unduly limiting assignments in more remote tributaries where the absence of observations likely reflects limited sampling effort rather than true absence, while still incorporating available presence information into the assignment framework.</w:t>
      </w:r>
      <w:r w:rsidR="00305904">
        <w:rPr>
          <w:rFonts w:ascii="Garamond" w:hAnsi="Garamond"/>
        </w:rPr>
        <w:t xml:space="preserve"> </w:t>
      </w:r>
      <w:r w:rsidR="00C72A0B">
        <w:rPr>
          <w:rFonts w:ascii="Garamond" w:hAnsi="Garamond"/>
        </w:rPr>
        <w:t xml:space="preserve">For </w:t>
      </w:r>
      <w:proofErr w:type="gramStart"/>
      <w:r w:rsidR="00C72A0B">
        <w:rPr>
          <w:rFonts w:ascii="Garamond" w:hAnsi="Garamond"/>
        </w:rPr>
        <w:t>each individual</w:t>
      </w:r>
      <w:proofErr w:type="gramEnd"/>
      <w:r w:rsidR="00C72A0B">
        <w:rPr>
          <w:rFonts w:ascii="Garamond" w:hAnsi="Garamond"/>
        </w:rPr>
        <w:t xml:space="preserve">, the result is a posterior probability of provenance for all tributaries in the basin. These data were then normalized to sum to 1 across the basin and rescaled to range from 0-1, thereby indicating relative probability of provenance across the basin. </w:t>
      </w:r>
    </w:p>
    <w:p w14:paraId="4B94F9FB" w14:textId="77777777" w:rsidR="00C72A0B" w:rsidRDefault="00C72A0B" w:rsidP="00B7063C">
      <w:pPr>
        <w:pStyle w:val="font-claude-response-body"/>
        <w:spacing w:line="360" w:lineRule="auto"/>
        <w:rPr>
          <w:rFonts w:ascii="Garamond" w:hAnsi="Garamond"/>
        </w:rPr>
      </w:pPr>
    </w:p>
    <w:p w14:paraId="11ADC1DF" w14:textId="240A4E7F" w:rsidR="00C72A0B" w:rsidRPr="00453CA2" w:rsidRDefault="00C72A0B" w:rsidP="00B7063C">
      <w:pPr>
        <w:pStyle w:val="font-claude-response-body"/>
        <w:spacing w:line="360" w:lineRule="auto"/>
        <w:rPr>
          <w:rFonts w:ascii="Garamond" w:hAnsi="Garamond"/>
          <w:b/>
          <w:bCs/>
        </w:rPr>
      </w:pPr>
      <w:r w:rsidRPr="00453CA2">
        <w:rPr>
          <w:rFonts w:ascii="Garamond" w:hAnsi="Garamond"/>
          <w:b/>
          <w:bCs/>
        </w:rPr>
        <w:t xml:space="preserve">Population scale provenance Estimates </w:t>
      </w:r>
    </w:p>
    <w:p w14:paraId="25ED1735" w14:textId="07FD2467" w:rsidR="00B7063C" w:rsidRDefault="00E42C33" w:rsidP="00453CA2">
      <w:pPr>
        <w:pStyle w:val="font-claude-response-body"/>
        <w:spacing w:line="360" w:lineRule="auto"/>
        <w:ind w:firstLine="720"/>
        <w:rPr>
          <w:rFonts w:ascii="Garamond" w:hAnsi="Garamond"/>
        </w:rPr>
      </w:pPr>
      <w:r w:rsidRPr="00453CA2">
        <w:rPr>
          <w:rFonts w:ascii="Garamond" w:hAnsi="Garamond"/>
        </w:rPr>
        <w:t xml:space="preserve">To estimate the spatial distribution of natal origin locations across the full year, normalized individual probabilities were summed across all locations. Before summing, </w:t>
      </w:r>
      <w:proofErr w:type="gramStart"/>
      <w:r w:rsidRPr="00453CA2">
        <w:rPr>
          <w:rFonts w:ascii="Garamond" w:hAnsi="Garamond"/>
        </w:rPr>
        <w:t>each individual’s</w:t>
      </w:r>
      <w:proofErr w:type="gramEnd"/>
      <w:r w:rsidRPr="00453CA2">
        <w:rPr>
          <w:rFonts w:ascii="Garamond" w:hAnsi="Garamond"/>
        </w:rPr>
        <w:t xml:space="preserve"> normalized provenance assignment was weighted by the ratio of the catch-per-unit-effort (CPUE) proportion to the proportion of the total otolith dataset within five equally spaced seasonal strata. This weighting ensured that otolith-based assignments proportionally represented the number of fish entering the river throughout the season. Summed basin-scale estimates of natal origin were then rescaled to sum to 1 and normalized to range from 0 to 1, reflecting relative production across the basin. Finally, these rescaled basin-scale assignments were multiplied by </w:t>
      </w:r>
      <w:r w:rsidRPr="00453CA2">
        <w:rPr>
          <w:rStyle w:val="Emphasis"/>
          <w:rFonts w:ascii="Garamond" w:eastAsiaTheme="majorEastAsia" w:hAnsi="Garamond"/>
        </w:rPr>
        <w:t>Total escapement</w:t>
      </w:r>
      <w:r w:rsidRPr="00453CA2">
        <w:rPr>
          <w:rFonts w:ascii="Garamond" w:hAnsi="Garamond"/>
        </w:rPr>
        <w:t xml:space="preserve"> to convert relative production estimates into the estimated number of individuals originating from each reach.</w:t>
      </w:r>
    </w:p>
    <w:p w14:paraId="508906D8" w14:textId="77777777" w:rsidR="00453CA2" w:rsidRDefault="00453CA2" w:rsidP="00453CA2">
      <w:pPr>
        <w:pStyle w:val="font-claude-response-body"/>
        <w:spacing w:line="360" w:lineRule="auto"/>
        <w:rPr>
          <w:rFonts w:ascii="Garamond" w:hAnsi="Garamond"/>
        </w:rPr>
      </w:pPr>
    </w:p>
    <w:p w14:paraId="04EDEFAD" w14:textId="73981FA0" w:rsidR="00453CA2" w:rsidRPr="00453CA2" w:rsidRDefault="00453CA2" w:rsidP="00453CA2">
      <w:pPr>
        <w:pStyle w:val="font-claude-response-body"/>
        <w:spacing w:line="360" w:lineRule="auto"/>
        <w:rPr>
          <w:rFonts w:ascii="Garamond" w:hAnsi="Garamond"/>
        </w:rPr>
      </w:pPr>
      <w:r>
        <w:rPr>
          <w:rFonts w:ascii="Garamond" w:hAnsi="Garamond"/>
        </w:rPr>
        <w:t xml:space="preserve">Spatial distribution of Age class and top growth </w:t>
      </w:r>
    </w:p>
    <w:p w14:paraId="1B039373" w14:textId="77777777" w:rsidR="001A5573" w:rsidRDefault="001A5573" w:rsidP="00B7063C">
      <w:pPr>
        <w:pStyle w:val="font-claude-response-body"/>
        <w:spacing w:line="360" w:lineRule="auto"/>
        <w:rPr>
          <w:rFonts w:ascii="Garamond" w:hAnsi="Garamond"/>
        </w:rPr>
      </w:pPr>
    </w:p>
    <w:p w14:paraId="0DBD65D8" w14:textId="77777777" w:rsidR="001A5573" w:rsidRDefault="001A5573" w:rsidP="00B7063C">
      <w:pPr>
        <w:pStyle w:val="font-claude-response-body"/>
        <w:spacing w:line="360" w:lineRule="auto"/>
        <w:rPr>
          <w:rFonts w:ascii="Garamond" w:hAnsi="Garamond"/>
        </w:rPr>
      </w:pPr>
    </w:p>
    <w:p w14:paraId="5DCE5F84" w14:textId="77777777" w:rsidR="00C72A0B" w:rsidRDefault="00C72A0B" w:rsidP="00B7063C">
      <w:pPr>
        <w:pStyle w:val="font-claude-response-body"/>
        <w:spacing w:line="360" w:lineRule="auto"/>
        <w:rPr>
          <w:rFonts w:ascii="Garamond" w:hAnsi="Garamond"/>
        </w:rPr>
      </w:pPr>
    </w:p>
    <w:p w14:paraId="0F7F824C" w14:textId="77777777" w:rsidR="00C72A0B" w:rsidRDefault="00C72A0B" w:rsidP="00B7063C">
      <w:pPr>
        <w:pStyle w:val="font-claude-response-body"/>
        <w:spacing w:line="360" w:lineRule="auto"/>
        <w:rPr>
          <w:rFonts w:ascii="Garamond" w:hAnsi="Garamond"/>
        </w:rPr>
      </w:pPr>
    </w:p>
    <w:p w14:paraId="369AEB74" w14:textId="77777777" w:rsidR="00C72A0B" w:rsidRDefault="00C72A0B" w:rsidP="00B7063C">
      <w:pPr>
        <w:pStyle w:val="font-claude-response-body"/>
        <w:spacing w:line="360" w:lineRule="auto"/>
        <w:rPr>
          <w:rFonts w:ascii="Garamond" w:hAnsi="Garamond"/>
        </w:rPr>
      </w:pPr>
    </w:p>
    <w:p w14:paraId="79DA45B8" w14:textId="77777777" w:rsidR="00C72A0B" w:rsidRDefault="00C72A0B" w:rsidP="00B7063C">
      <w:pPr>
        <w:pStyle w:val="font-claude-response-body"/>
        <w:spacing w:line="360" w:lineRule="auto"/>
        <w:rPr>
          <w:rFonts w:ascii="Garamond" w:hAnsi="Garamond"/>
        </w:rPr>
      </w:pPr>
    </w:p>
    <w:p w14:paraId="0A548AA0" w14:textId="77777777" w:rsidR="00C72A0B" w:rsidRDefault="00C72A0B" w:rsidP="00B7063C">
      <w:pPr>
        <w:pStyle w:val="font-claude-response-body"/>
        <w:spacing w:line="360" w:lineRule="auto"/>
        <w:rPr>
          <w:rFonts w:ascii="Garamond" w:hAnsi="Garamond"/>
        </w:rPr>
      </w:pPr>
    </w:p>
    <w:p w14:paraId="6930380A" w14:textId="77777777" w:rsidR="00C72A0B" w:rsidRDefault="00C72A0B" w:rsidP="00B7063C">
      <w:pPr>
        <w:pStyle w:val="font-claude-response-body"/>
        <w:spacing w:line="360" w:lineRule="auto"/>
        <w:rPr>
          <w:rFonts w:ascii="Garamond" w:hAnsi="Garamond"/>
        </w:rPr>
      </w:pPr>
    </w:p>
    <w:p w14:paraId="45416F27" w14:textId="1DDCA63C" w:rsidR="008C7704" w:rsidRPr="008C7704" w:rsidRDefault="008C7704" w:rsidP="00453CA2">
      <w:pPr>
        <w:pStyle w:val="font-claude-response-body"/>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7865BC79" w14:textId="77777777" w:rsidR="00DE117F" w:rsidRDefault="00DE117F" w:rsidP="001458A1">
      <w:pPr>
        <w:pStyle w:val="font-claude-response-body"/>
        <w:spacing w:line="360" w:lineRule="auto"/>
        <w:rPr>
          <w:rFonts w:ascii="Garamond" w:hAnsi="Garamond"/>
          <w:b/>
          <w:bCs/>
          <w:sz w:val="32"/>
          <w:szCs w:val="32"/>
          <w:u w:val="single"/>
        </w:rPr>
      </w:pPr>
    </w:p>
    <w:p w14:paraId="1B98B282" w14:textId="77777777" w:rsidR="00DE117F" w:rsidRDefault="00DE117F" w:rsidP="001458A1">
      <w:pPr>
        <w:pStyle w:val="font-claude-response-body"/>
        <w:spacing w:line="360" w:lineRule="auto"/>
        <w:rPr>
          <w:rFonts w:ascii="Garamond" w:hAnsi="Garamond"/>
          <w:b/>
          <w:bCs/>
          <w:sz w:val="32"/>
          <w:szCs w:val="32"/>
          <w:u w:val="single"/>
        </w:rPr>
      </w:pPr>
    </w:p>
    <w:p w14:paraId="5D241948" w14:textId="77777777" w:rsidR="00DE117F" w:rsidRDefault="00DE117F" w:rsidP="001458A1">
      <w:pPr>
        <w:pStyle w:val="font-claude-response-body"/>
        <w:spacing w:line="360" w:lineRule="auto"/>
        <w:rPr>
          <w:rFonts w:ascii="Garamond" w:hAnsi="Garamond"/>
          <w:b/>
          <w:bCs/>
          <w:sz w:val="32"/>
          <w:szCs w:val="32"/>
          <w:u w:val="single"/>
        </w:rPr>
      </w:pPr>
    </w:p>
    <w:p w14:paraId="4F307B53" w14:textId="77777777" w:rsidR="00DE117F" w:rsidRDefault="00DE117F" w:rsidP="001458A1">
      <w:pPr>
        <w:pStyle w:val="font-claude-response-body"/>
        <w:spacing w:line="360" w:lineRule="auto"/>
        <w:rPr>
          <w:rFonts w:ascii="Garamond" w:hAnsi="Garamond"/>
          <w:b/>
          <w:bCs/>
          <w:sz w:val="32"/>
          <w:szCs w:val="32"/>
          <w:u w:val="single"/>
        </w:rPr>
      </w:pPr>
    </w:p>
    <w:p w14:paraId="3DCE34D7" w14:textId="77777777" w:rsidR="00DE117F" w:rsidRDefault="00DE117F" w:rsidP="001458A1">
      <w:pPr>
        <w:pStyle w:val="font-claude-response-body"/>
        <w:spacing w:line="360" w:lineRule="auto"/>
        <w:rPr>
          <w:rFonts w:ascii="Garamond" w:hAnsi="Garamond"/>
          <w:b/>
          <w:bCs/>
          <w:sz w:val="32"/>
          <w:szCs w:val="32"/>
          <w:u w:val="single"/>
        </w:rPr>
      </w:pPr>
    </w:p>
    <w:p w14:paraId="4FA07BDB" w14:textId="77777777" w:rsidR="00DE117F" w:rsidRDefault="00DE117F"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lastRenderedPageBreak/>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mak29" w:date="2025-12-24T12:30:00Z" w:initials="b">
    <w:p w14:paraId="137C340C" w14:textId="77777777" w:rsidR="00D93412" w:rsidRDefault="00D93412" w:rsidP="00D93412">
      <w:r>
        <w:rPr>
          <w:rStyle w:val="CommentReference"/>
        </w:rPr>
        <w:annotationRef/>
      </w:r>
      <w:r>
        <w:rPr>
          <w:sz w:val="20"/>
          <w:szCs w:val="20"/>
        </w:rPr>
        <w:t>Note to self to quantify the sample size and add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C34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977636" w16cex:dateUtc="2025-12-24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C340C" w16cid:durableId="779776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25F12"/>
    <w:rsid w:val="00042ED8"/>
    <w:rsid w:val="00045FA5"/>
    <w:rsid w:val="00085352"/>
    <w:rsid w:val="000941AF"/>
    <w:rsid w:val="000B246E"/>
    <w:rsid w:val="000C3379"/>
    <w:rsid w:val="001458A1"/>
    <w:rsid w:val="00166559"/>
    <w:rsid w:val="0017696D"/>
    <w:rsid w:val="001844EB"/>
    <w:rsid w:val="001A5573"/>
    <w:rsid w:val="00206BA8"/>
    <w:rsid w:val="00210847"/>
    <w:rsid w:val="002204C4"/>
    <w:rsid w:val="002C2367"/>
    <w:rsid w:val="002F12C3"/>
    <w:rsid w:val="00302363"/>
    <w:rsid w:val="00305904"/>
    <w:rsid w:val="00331E1C"/>
    <w:rsid w:val="003642FE"/>
    <w:rsid w:val="00397D74"/>
    <w:rsid w:val="003B0A46"/>
    <w:rsid w:val="00402911"/>
    <w:rsid w:val="00437104"/>
    <w:rsid w:val="00453CA2"/>
    <w:rsid w:val="004547E2"/>
    <w:rsid w:val="004564FF"/>
    <w:rsid w:val="00464971"/>
    <w:rsid w:val="00482966"/>
    <w:rsid w:val="00490C40"/>
    <w:rsid w:val="004C2FBE"/>
    <w:rsid w:val="004D176C"/>
    <w:rsid w:val="00531B95"/>
    <w:rsid w:val="005462A2"/>
    <w:rsid w:val="005736BA"/>
    <w:rsid w:val="005E5343"/>
    <w:rsid w:val="00617B10"/>
    <w:rsid w:val="00634AE0"/>
    <w:rsid w:val="006D31BE"/>
    <w:rsid w:val="006E5085"/>
    <w:rsid w:val="0073537D"/>
    <w:rsid w:val="00744D0E"/>
    <w:rsid w:val="00770C34"/>
    <w:rsid w:val="00771117"/>
    <w:rsid w:val="00777D93"/>
    <w:rsid w:val="00780305"/>
    <w:rsid w:val="0078224C"/>
    <w:rsid w:val="007E0C3E"/>
    <w:rsid w:val="007E5044"/>
    <w:rsid w:val="00832611"/>
    <w:rsid w:val="00854826"/>
    <w:rsid w:val="00886C2E"/>
    <w:rsid w:val="008922E1"/>
    <w:rsid w:val="008C65D7"/>
    <w:rsid w:val="008C6661"/>
    <w:rsid w:val="008C7704"/>
    <w:rsid w:val="008E4157"/>
    <w:rsid w:val="008F6F8C"/>
    <w:rsid w:val="00900F01"/>
    <w:rsid w:val="00907410"/>
    <w:rsid w:val="00923E83"/>
    <w:rsid w:val="009574E3"/>
    <w:rsid w:val="00967C6D"/>
    <w:rsid w:val="00973DDA"/>
    <w:rsid w:val="009A78C2"/>
    <w:rsid w:val="009E2291"/>
    <w:rsid w:val="009E2EDB"/>
    <w:rsid w:val="009F4401"/>
    <w:rsid w:val="00A11CE1"/>
    <w:rsid w:val="00A4712A"/>
    <w:rsid w:val="00A6046C"/>
    <w:rsid w:val="00A626E0"/>
    <w:rsid w:val="00A65358"/>
    <w:rsid w:val="00A80DFC"/>
    <w:rsid w:val="00AD67D4"/>
    <w:rsid w:val="00AE5034"/>
    <w:rsid w:val="00B001D1"/>
    <w:rsid w:val="00B00998"/>
    <w:rsid w:val="00B4526D"/>
    <w:rsid w:val="00B52516"/>
    <w:rsid w:val="00B65D13"/>
    <w:rsid w:val="00B7063C"/>
    <w:rsid w:val="00B73D94"/>
    <w:rsid w:val="00B928DF"/>
    <w:rsid w:val="00BA3B78"/>
    <w:rsid w:val="00BA7F0B"/>
    <w:rsid w:val="00BB04D8"/>
    <w:rsid w:val="00BC4F60"/>
    <w:rsid w:val="00BD2B41"/>
    <w:rsid w:val="00C11B9A"/>
    <w:rsid w:val="00C34DD2"/>
    <w:rsid w:val="00C42FB3"/>
    <w:rsid w:val="00C72A0B"/>
    <w:rsid w:val="00C87061"/>
    <w:rsid w:val="00C92E33"/>
    <w:rsid w:val="00C9741A"/>
    <w:rsid w:val="00CC7F33"/>
    <w:rsid w:val="00CE7CBF"/>
    <w:rsid w:val="00CF241E"/>
    <w:rsid w:val="00D7385F"/>
    <w:rsid w:val="00D93412"/>
    <w:rsid w:val="00DE117F"/>
    <w:rsid w:val="00E225FA"/>
    <w:rsid w:val="00E243DA"/>
    <w:rsid w:val="00E42C33"/>
    <w:rsid w:val="00E454BB"/>
    <w:rsid w:val="00E847A0"/>
    <w:rsid w:val="00E92BEA"/>
    <w:rsid w:val="00EA6C20"/>
    <w:rsid w:val="00EE4536"/>
    <w:rsid w:val="00F06875"/>
    <w:rsid w:val="00F16708"/>
    <w:rsid w:val="00F6438A"/>
    <w:rsid w:val="00F76583"/>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7</Pages>
  <Words>10214</Words>
  <Characters>55466</Characters>
  <Application>Microsoft Office Word</Application>
  <DocSecurity>0</DocSecurity>
  <Lines>2218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52</cp:revision>
  <dcterms:created xsi:type="dcterms:W3CDTF">2025-12-09T15:39:00Z</dcterms:created>
  <dcterms:modified xsi:type="dcterms:W3CDTF">2026-01-06T18:48:00Z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id="8OUvbJAf"/&gt;&lt;style id="http://www.zotero.org/styles/journal-of-applied-ecology" hasBibliography="1" bibliographyStyleHasBeenSet="0"/&gt;&lt;prefs&gt;&lt;pref name="fieldType" value="Field"/&gt;&lt;/prefs&gt;&lt;/data&gt;</vt:lpwstr>
  </property>
</Properties>
</file>