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BF4AB" w14:textId="4801175D" w:rsidR="00907410" w:rsidRDefault="00D2676F" w:rsidP="00D2676F">
      <w:pPr>
        <w:pStyle w:val="Title"/>
        <w:jc w:val="center"/>
        <w:rPr>
          <w:rFonts w:ascii="Garamond" w:hAnsi="Garamond"/>
          <w:sz w:val="40"/>
          <w:szCs w:val="40"/>
        </w:rPr>
      </w:pPr>
      <w:r w:rsidRPr="00D2676F">
        <w:rPr>
          <w:rFonts w:ascii="Garamond" w:hAnsi="Garamond"/>
          <w:sz w:val="40"/>
          <w:szCs w:val="40"/>
        </w:rPr>
        <w:t>Shifting patterns of Chinook salmon natal origin distributions across Alaska’s largest river basins.</w:t>
      </w:r>
    </w:p>
    <w:p w14:paraId="0CF9E330" w14:textId="77777777" w:rsidR="00D2676F" w:rsidRDefault="00D2676F" w:rsidP="00D2676F">
      <w:pPr>
        <w:rPr>
          <w:sz w:val="28"/>
          <w:szCs w:val="28"/>
        </w:rPr>
      </w:pPr>
    </w:p>
    <w:p w14:paraId="5A5AE224" w14:textId="0D58C3C8" w:rsidR="00D2676F" w:rsidRPr="00781D51" w:rsidRDefault="00D2676F" w:rsidP="00D2676F">
      <w:pPr>
        <w:rPr>
          <w:rFonts w:ascii="Garamond" w:hAnsi="Garamond"/>
          <w:b/>
          <w:bCs/>
          <w:sz w:val="32"/>
          <w:szCs w:val="32"/>
          <w:u w:val="single"/>
        </w:rPr>
      </w:pPr>
      <w:r w:rsidRPr="00781D51">
        <w:rPr>
          <w:rFonts w:ascii="Garamond" w:hAnsi="Garamond"/>
          <w:b/>
          <w:bCs/>
          <w:sz w:val="32"/>
          <w:szCs w:val="32"/>
          <w:u w:val="single"/>
        </w:rPr>
        <w:t xml:space="preserve">Introduction: </w:t>
      </w:r>
    </w:p>
    <w:p w14:paraId="7B9013AE" w14:textId="77777777" w:rsidR="00781D51" w:rsidRDefault="00781D51" w:rsidP="00D2676F">
      <w:pPr>
        <w:rPr>
          <w:rFonts w:ascii="Garamond" w:hAnsi="Garamond"/>
          <w:b/>
          <w:bCs/>
        </w:rPr>
      </w:pPr>
    </w:p>
    <w:p w14:paraId="53778F91" w14:textId="3E20F574" w:rsidR="00781D51" w:rsidRPr="00781D51" w:rsidRDefault="00781D51" w:rsidP="00D2676F">
      <w:pPr>
        <w:rPr>
          <w:rFonts w:ascii="Garamond" w:hAnsi="Garamond"/>
        </w:rPr>
      </w:pPr>
      <w:r w:rsidRPr="00781D51">
        <w:rPr>
          <w:rFonts w:ascii="Garamond" w:hAnsi="Garamond"/>
        </w:rPr>
        <w:t xml:space="preserve">Motivating questions… </w:t>
      </w:r>
    </w:p>
    <w:p w14:paraId="7247CC6E" w14:textId="15DDCAF2" w:rsidR="00D2676F" w:rsidRPr="00D2676F" w:rsidRDefault="00D2676F" w:rsidP="00D2676F">
      <w:pPr>
        <w:pStyle w:val="ListParagraph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 w:rsidRPr="00D2676F">
        <w:rPr>
          <w:rFonts w:ascii="Garamond" w:hAnsi="Garamond"/>
          <w:sz w:val="22"/>
          <w:szCs w:val="22"/>
        </w:rPr>
        <w:t xml:space="preserve">Salmon resources are important in many dimensions </w:t>
      </w:r>
    </w:p>
    <w:p w14:paraId="13D3C298" w14:textId="3ED57FAA" w:rsidR="00D2676F" w:rsidRDefault="00352923" w:rsidP="00D2676F">
      <w:pPr>
        <w:pStyle w:val="ListParagraph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Recent declines in AYK Chinook salmon have further highlighted a need to understand the ecology of Pacific salmon</w:t>
      </w:r>
    </w:p>
    <w:p w14:paraId="42BF27B1" w14:textId="77777777" w:rsidR="00352923" w:rsidRDefault="00352923" w:rsidP="00D2676F">
      <w:pPr>
        <w:pStyle w:val="ListParagraph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Understanding spatiotemporal patterns in habitat use/spatial ecology is key to </w:t>
      </w:r>
    </w:p>
    <w:p w14:paraId="4533215E" w14:textId="294BE0D2" w:rsidR="00352923" w:rsidRDefault="00352923" w:rsidP="00352923">
      <w:pPr>
        <w:pStyle w:val="ListParagraph"/>
        <w:numPr>
          <w:ilvl w:val="0"/>
          <w:numId w:val="2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understanding the mechanisms of a *relatively* pristine salmon ecosystem </w:t>
      </w:r>
    </w:p>
    <w:p w14:paraId="32635F4D" w14:textId="07E3E3FB" w:rsidR="00352923" w:rsidRDefault="00352923" w:rsidP="00352923">
      <w:pPr>
        <w:pStyle w:val="ListParagraph"/>
        <w:numPr>
          <w:ilvl w:val="0"/>
          <w:numId w:val="2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Identifying regions of high/low productivity </w:t>
      </w:r>
    </w:p>
    <w:p w14:paraId="353BA3BD" w14:textId="28CC63C6" w:rsidR="00781D51" w:rsidRDefault="00352923" w:rsidP="00781D51">
      <w:pPr>
        <w:pStyle w:val="ListParagraph"/>
        <w:numPr>
          <w:ilvl w:val="0"/>
          <w:numId w:val="2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Targeting management which maintains population diversity over long timescales as opposed to management which favors highly productive </w:t>
      </w:r>
      <w:proofErr w:type="spellStart"/>
      <w:r>
        <w:rPr>
          <w:rFonts w:ascii="Garamond" w:hAnsi="Garamond"/>
          <w:sz w:val="22"/>
          <w:szCs w:val="22"/>
        </w:rPr>
        <w:t>tribs</w:t>
      </w:r>
      <w:proofErr w:type="spellEnd"/>
      <w:r>
        <w:rPr>
          <w:rFonts w:ascii="Garamond" w:hAnsi="Garamond"/>
          <w:sz w:val="22"/>
          <w:szCs w:val="22"/>
        </w:rPr>
        <w:t xml:space="preserve"> in one snapshot.  </w:t>
      </w:r>
    </w:p>
    <w:p w14:paraId="5BDEE1C4" w14:textId="1406DA5F" w:rsidR="00781D51" w:rsidRDefault="00781D51" w:rsidP="00781D51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Hypotheses… </w:t>
      </w:r>
    </w:p>
    <w:p w14:paraId="3836692D" w14:textId="77777777" w:rsidR="00781D51" w:rsidRDefault="00781D51" w:rsidP="00781D51">
      <w:pPr>
        <w:pStyle w:val="ListParagraph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Previous research (Sean, Brendan Connors, Rodgers, Daniel) has established the highly dynamic nature of salmon ecosystems (portfolio effect)</w:t>
      </w:r>
    </w:p>
    <w:p w14:paraId="0346C6CC" w14:textId="77777777" w:rsidR="00781D51" w:rsidRDefault="00352923" w:rsidP="00781D51">
      <w:pPr>
        <w:pStyle w:val="ListParagraph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 w:rsidRPr="00781D51">
        <w:rPr>
          <w:rFonts w:ascii="Garamond" w:hAnsi="Garamond"/>
          <w:sz w:val="22"/>
          <w:szCs w:val="22"/>
        </w:rPr>
        <w:t>However, this is relatively unexplored in the Yukon and Kuskokwim River basins</w:t>
      </w:r>
      <w:r w:rsidR="00781D51">
        <w:rPr>
          <w:rFonts w:ascii="Garamond" w:hAnsi="Garamond"/>
          <w:sz w:val="22"/>
          <w:szCs w:val="22"/>
        </w:rPr>
        <w:t xml:space="preserve"> (</w:t>
      </w:r>
      <w:r w:rsidRPr="00781D51">
        <w:rPr>
          <w:rFonts w:ascii="Garamond" w:hAnsi="Garamond"/>
          <w:sz w:val="22"/>
          <w:szCs w:val="22"/>
        </w:rPr>
        <w:t xml:space="preserve">two </w:t>
      </w:r>
      <w:r w:rsidR="00781D51">
        <w:rPr>
          <w:rFonts w:ascii="Garamond" w:hAnsi="Garamond"/>
          <w:sz w:val="22"/>
          <w:szCs w:val="22"/>
        </w:rPr>
        <w:t>of</w:t>
      </w:r>
      <w:r w:rsidRPr="00781D51">
        <w:rPr>
          <w:rFonts w:ascii="Garamond" w:hAnsi="Garamond"/>
          <w:sz w:val="22"/>
          <w:szCs w:val="22"/>
        </w:rPr>
        <w:t xml:space="preserve"> the largest salmon baring watersheds in the world.</w:t>
      </w:r>
      <w:r w:rsidR="00781D51">
        <w:rPr>
          <w:rFonts w:ascii="Garamond" w:hAnsi="Garamond"/>
          <w:sz w:val="22"/>
          <w:szCs w:val="22"/>
        </w:rPr>
        <w:t xml:space="preserve">) </w:t>
      </w:r>
    </w:p>
    <w:p w14:paraId="4A1284F6" w14:textId="77777777" w:rsidR="00781D51" w:rsidRDefault="00781D51" w:rsidP="00781D51">
      <w:pPr>
        <w:pStyle w:val="ListParagraph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As opposed to genetics, </w:t>
      </w:r>
      <w:proofErr w:type="gramStart"/>
      <w:r>
        <w:rPr>
          <w:rFonts w:ascii="Garamond" w:hAnsi="Garamond"/>
          <w:sz w:val="22"/>
          <w:szCs w:val="22"/>
        </w:rPr>
        <w:t>otolith based</w:t>
      </w:r>
      <w:proofErr w:type="gramEnd"/>
      <w:r>
        <w:rPr>
          <w:rFonts w:ascii="Garamond" w:hAnsi="Garamond"/>
          <w:sz w:val="22"/>
          <w:szCs w:val="22"/>
        </w:rPr>
        <w:t xml:space="preserve"> provenance has come a long way and can now be combined with genetics to reasonably estimate provenance for exceedingly large river basins like the Yukon. </w:t>
      </w:r>
    </w:p>
    <w:p w14:paraId="6F281745" w14:textId="6258F551" w:rsidR="00352923" w:rsidRPr="00781D51" w:rsidRDefault="00352923" w:rsidP="00781D51">
      <w:pPr>
        <w:pStyle w:val="ListParagraph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 w:rsidRPr="00781D51">
        <w:rPr>
          <w:rFonts w:ascii="Garamond" w:hAnsi="Garamond"/>
          <w:sz w:val="22"/>
          <w:szCs w:val="22"/>
        </w:rPr>
        <w:t xml:space="preserve">We hypothesize that the same shifting habitat patterns seen in the Nush (Brennan 2019) are present in the Yukon/Kusko. </w:t>
      </w:r>
      <w:proofErr w:type="gramStart"/>
      <w:r w:rsidRPr="00781D51">
        <w:rPr>
          <w:rFonts w:ascii="Garamond" w:hAnsi="Garamond"/>
          <w:sz w:val="22"/>
          <w:szCs w:val="22"/>
        </w:rPr>
        <w:t>But,</w:t>
      </w:r>
      <w:proofErr w:type="gramEnd"/>
      <w:r w:rsidRPr="00781D51">
        <w:rPr>
          <w:rFonts w:ascii="Garamond" w:hAnsi="Garamond"/>
          <w:sz w:val="22"/>
          <w:szCs w:val="22"/>
        </w:rPr>
        <w:t xml:space="preserve"> this </w:t>
      </w:r>
      <w:r w:rsidR="00781D51">
        <w:rPr>
          <w:rFonts w:ascii="Garamond" w:hAnsi="Garamond"/>
          <w:sz w:val="22"/>
          <w:szCs w:val="22"/>
        </w:rPr>
        <w:t xml:space="preserve">it hasn’t been quantified </w:t>
      </w:r>
    </w:p>
    <w:p w14:paraId="2F64D54E" w14:textId="290898FB" w:rsidR="00352923" w:rsidRDefault="00352923" w:rsidP="00781D51">
      <w:pPr>
        <w:rPr>
          <w:rFonts w:ascii="Garamond" w:hAnsi="Garamond"/>
          <w:sz w:val="22"/>
          <w:szCs w:val="22"/>
        </w:rPr>
      </w:pPr>
    </w:p>
    <w:p w14:paraId="1259FB3B" w14:textId="77777777" w:rsidR="00781D51" w:rsidRDefault="00781D51" w:rsidP="00781D51">
      <w:pPr>
        <w:rPr>
          <w:rFonts w:ascii="Garamond" w:hAnsi="Garamond"/>
          <w:sz w:val="22"/>
          <w:szCs w:val="22"/>
        </w:rPr>
      </w:pPr>
    </w:p>
    <w:p w14:paraId="7D382342" w14:textId="49429C89" w:rsidR="00781D51" w:rsidRPr="00781D51" w:rsidRDefault="00781D51" w:rsidP="00781D51">
      <w:pPr>
        <w:rPr>
          <w:rFonts w:ascii="Garamond" w:hAnsi="Garamond"/>
          <w:b/>
          <w:bCs/>
          <w:sz w:val="32"/>
          <w:szCs w:val="32"/>
          <w:u w:val="single"/>
        </w:rPr>
      </w:pPr>
      <w:r w:rsidRPr="00781D51">
        <w:rPr>
          <w:rFonts w:ascii="Garamond" w:hAnsi="Garamond"/>
          <w:b/>
          <w:bCs/>
          <w:sz w:val="32"/>
          <w:szCs w:val="32"/>
          <w:u w:val="single"/>
        </w:rPr>
        <w:t xml:space="preserve">Methods: </w:t>
      </w:r>
    </w:p>
    <w:p w14:paraId="02A9D9C2" w14:textId="77777777" w:rsidR="00781D51" w:rsidRDefault="00781D51" w:rsidP="00781D51">
      <w:pPr>
        <w:rPr>
          <w:rFonts w:ascii="Garamond" w:hAnsi="Garamond"/>
          <w:b/>
          <w:bCs/>
          <w:sz w:val="22"/>
          <w:szCs w:val="22"/>
        </w:rPr>
      </w:pPr>
    </w:p>
    <w:p w14:paraId="196844E1" w14:textId="3FB0672D" w:rsidR="00170175" w:rsidRDefault="00170175" w:rsidP="00781D51">
      <w:pPr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MAPS</w:t>
      </w:r>
    </w:p>
    <w:p w14:paraId="68C2660E" w14:textId="361EC513" w:rsidR="00781D51" w:rsidRPr="00170175" w:rsidRDefault="00781D51" w:rsidP="00781D51">
      <w:pPr>
        <w:rPr>
          <w:rFonts w:ascii="Garamond" w:hAnsi="Garamond"/>
          <w:b/>
          <w:bCs/>
          <w:sz w:val="22"/>
          <w:szCs w:val="22"/>
        </w:rPr>
      </w:pPr>
      <w:r w:rsidRPr="00170175">
        <w:rPr>
          <w:rFonts w:ascii="Garamond" w:hAnsi="Garamond"/>
          <w:b/>
          <w:bCs/>
          <w:sz w:val="22"/>
          <w:szCs w:val="22"/>
        </w:rPr>
        <w:t>Annual production patterns</w:t>
      </w:r>
      <w:r w:rsidR="00170175">
        <w:rPr>
          <w:rFonts w:ascii="Garamond" w:hAnsi="Garamond"/>
          <w:b/>
          <w:bCs/>
          <w:sz w:val="22"/>
          <w:szCs w:val="22"/>
        </w:rPr>
        <w:t xml:space="preserve"> (tributary) </w:t>
      </w:r>
    </w:p>
    <w:p w14:paraId="403920D8" w14:textId="589E32AE" w:rsidR="00781D51" w:rsidRDefault="00781D51" w:rsidP="00781D51">
      <w:pPr>
        <w:pStyle w:val="ListParagraph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 w:rsidRPr="00781D51">
        <w:rPr>
          <w:rFonts w:ascii="Garamond" w:hAnsi="Garamond"/>
          <w:sz w:val="22"/>
          <w:szCs w:val="22"/>
        </w:rPr>
        <w:t xml:space="preserve">Constructed at the tributary scale for 2015, 2016, 2021 Yukon and 2017,2018,2019,2020,2021 Kusko. </w:t>
      </w:r>
    </w:p>
    <w:p w14:paraId="6F20C121" w14:textId="614806D5" w:rsidR="00781D51" w:rsidRDefault="00781D51" w:rsidP="00781D51">
      <w:pPr>
        <w:pStyle w:val="ListParagraph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~250 otoliths over the full course of the run </w:t>
      </w:r>
    </w:p>
    <w:p w14:paraId="2A771BA7" w14:textId="03F9BEBE" w:rsidR="00781D51" w:rsidRDefault="00781D51" w:rsidP="00781D51">
      <w:pPr>
        <w:pStyle w:val="ListParagraph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Weighted by proportion of CPUE/Proportion of otolith collected for </w:t>
      </w:r>
      <w:commentRangeStart w:id="0"/>
      <w:r>
        <w:rPr>
          <w:rFonts w:ascii="Garamond" w:hAnsi="Garamond"/>
          <w:sz w:val="22"/>
          <w:szCs w:val="22"/>
        </w:rPr>
        <w:t xml:space="preserve">each day </w:t>
      </w:r>
      <w:commentRangeEnd w:id="0"/>
      <w:r>
        <w:rPr>
          <w:rStyle w:val="CommentReference"/>
        </w:rPr>
        <w:commentReference w:id="0"/>
      </w:r>
    </w:p>
    <w:p w14:paraId="3CD20597" w14:textId="6E7F97A3" w:rsidR="00781D51" w:rsidRDefault="00781D51" w:rsidP="00781D51">
      <w:pPr>
        <w:pStyle w:val="ListParagraph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For Yukon samples, genetics-based prior was added to constrain assignments. </w:t>
      </w:r>
    </w:p>
    <w:p w14:paraId="1F2AF50F" w14:textId="6B0EC5CE" w:rsidR="00781D51" w:rsidRDefault="00781D51" w:rsidP="00781D51">
      <w:pPr>
        <w:pStyle w:val="ListParagraph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Minimum error and Stream order were chosen based </w:t>
      </w:r>
      <w:proofErr w:type="gramStart"/>
      <w:r>
        <w:rPr>
          <w:rFonts w:ascii="Garamond" w:hAnsi="Garamond"/>
          <w:sz w:val="22"/>
          <w:szCs w:val="22"/>
        </w:rPr>
        <w:t>on;</w:t>
      </w:r>
      <w:proofErr w:type="gramEnd"/>
      <w:r>
        <w:rPr>
          <w:rFonts w:ascii="Garamond" w:hAnsi="Garamond"/>
          <w:sz w:val="22"/>
          <w:szCs w:val="22"/>
        </w:rPr>
        <w:t xml:space="preserve"> </w:t>
      </w:r>
    </w:p>
    <w:p w14:paraId="58C6AB54" w14:textId="258C4FEC" w:rsidR="00170175" w:rsidRDefault="00170175" w:rsidP="00170175">
      <w:pPr>
        <w:pStyle w:val="ListParagraph"/>
        <w:numPr>
          <w:ilvl w:val="1"/>
          <w:numId w:val="1"/>
        </w:numPr>
        <w:rPr>
          <w:rFonts w:ascii="Garamond" w:hAnsi="Garamond"/>
          <w:sz w:val="22"/>
          <w:szCs w:val="22"/>
        </w:rPr>
      </w:pPr>
      <w:commentRangeStart w:id="1"/>
      <w:r>
        <w:rPr>
          <w:rFonts w:ascii="Garamond" w:hAnsi="Garamond"/>
          <w:sz w:val="22"/>
          <w:szCs w:val="22"/>
        </w:rPr>
        <w:lastRenderedPageBreak/>
        <w:t xml:space="preserve">A qualitative analysis of the lowest error value before there were significant changes to the spatial patterns of production. </w:t>
      </w:r>
    </w:p>
    <w:p w14:paraId="247C3007" w14:textId="0F51BCBA" w:rsidR="00170175" w:rsidRDefault="00170175" w:rsidP="00170175">
      <w:pPr>
        <w:pStyle w:val="ListParagraph"/>
        <w:numPr>
          <w:ilvl w:val="1"/>
          <w:numId w:val="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Stream orders expected to be well suited to spawners. </w:t>
      </w:r>
      <w:commentRangeEnd w:id="1"/>
      <w:r>
        <w:rPr>
          <w:rStyle w:val="CommentReference"/>
        </w:rPr>
        <w:commentReference w:id="1"/>
      </w:r>
    </w:p>
    <w:p w14:paraId="3BB0318A" w14:textId="15B312F8" w:rsidR="00170175" w:rsidRDefault="00170175" w:rsidP="00170175">
      <w:pPr>
        <w:pStyle w:val="ListParagraph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USGS intrinsic potential values incorporated (for now, no) </w:t>
      </w:r>
    </w:p>
    <w:p w14:paraId="4802C519" w14:textId="18DE504B" w:rsidR="00781D51" w:rsidRDefault="00170175" w:rsidP="00781D51">
      <w:pPr>
        <w:pStyle w:val="ListParagraph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USGS survey data from (</w:t>
      </w:r>
      <w:proofErr w:type="spellStart"/>
      <w:proofErr w:type="gramStart"/>
      <w:r>
        <w:rPr>
          <w:rFonts w:ascii="Garamond" w:hAnsi="Garamond"/>
          <w:sz w:val="22"/>
          <w:szCs w:val="22"/>
        </w:rPr>
        <w:t>x,y</w:t>
      </w:r>
      <w:proofErr w:type="gramEnd"/>
      <w:r>
        <w:rPr>
          <w:rFonts w:ascii="Garamond" w:hAnsi="Garamond"/>
          <w:sz w:val="22"/>
          <w:szCs w:val="22"/>
        </w:rPr>
        <w:t>,z</w:t>
      </w:r>
      <w:proofErr w:type="spellEnd"/>
      <w:r>
        <w:rPr>
          <w:rFonts w:ascii="Garamond" w:hAnsi="Garamond"/>
          <w:sz w:val="22"/>
          <w:szCs w:val="22"/>
        </w:rPr>
        <w:t xml:space="preserve">) incorporated into the USGS intrinsic potential maps was used for mainstem and the next lowest stream order to turn off regions with no presence data for spawning chinook. </w:t>
      </w:r>
    </w:p>
    <w:p w14:paraId="5A1733DC" w14:textId="77777777" w:rsidR="00170175" w:rsidRDefault="00170175" w:rsidP="00170175">
      <w:pPr>
        <w:rPr>
          <w:rFonts w:ascii="Garamond" w:hAnsi="Garamond"/>
          <w:sz w:val="22"/>
          <w:szCs w:val="22"/>
        </w:rPr>
      </w:pPr>
    </w:p>
    <w:p w14:paraId="5B62B3A1" w14:textId="4EED3F4A" w:rsidR="00170175" w:rsidRPr="00170175" w:rsidRDefault="00170175" w:rsidP="00170175">
      <w:pPr>
        <w:rPr>
          <w:rFonts w:ascii="Garamond" w:hAnsi="Garamond"/>
          <w:b/>
          <w:bCs/>
          <w:sz w:val="22"/>
          <w:szCs w:val="22"/>
        </w:rPr>
      </w:pPr>
      <w:r w:rsidRPr="00170175">
        <w:rPr>
          <w:rFonts w:ascii="Garamond" w:hAnsi="Garamond"/>
          <w:b/>
          <w:bCs/>
          <w:sz w:val="22"/>
          <w:szCs w:val="22"/>
        </w:rPr>
        <w:t>Binning into HUC polygons</w:t>
      </w:r>
    </w:p>
    <w:p w14:paraId="2A234714" w14:textId="3094562B" w:rsidR="00781D51" w:rsidRDefault="00781D51" w:rsidP="00781D51">
      <w:pPr>
        <w:pStyle w:val="ListParagraph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Binned into HUC sub-basins for more direct comparison of production patterns at the sub-basin scale </w:t>
      </w:r>
    </w:p>
    <w:p w14:paraId="0D9CC84E" w14:textId="04A540E2" w:rsidR="00170175" w:rsidRDefault="00781D51" w:rsidP="00170175">
      <w:pPr>
        <w:pStyle w:val="ListParagraph"/>
        <w:numPr>
          <w:ilvl w:val="1"/>
          <w:numId w:val="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For </w:t>
      </w:r>
      <w:proofErr w:type="gramStart"/>
      <w:r>
        <w:rPr>
          <w:rFonts w:ascii="Garamond" w:hAnsi="Garamond"/>
          <w:sz w:val="22"/>
          <w:szCs w:val="22"/>
        </w:rPr>
        <w:t>now</w:t>
      </w:r>
      <w:proofErr w:type="gramEnd"/>
      <w:r>
        <w:rPr>
          <w:rFonts w:ascii="Garamond" w:hAnsi="Garamond"/>
          <w:sz w:val="22"/>
          <w:szCs w:val="22"/>
        </w:rPr>
        <w:t xml:space="preserve"> only HUC8, could do HUC10 but </w:t>
      </w:r>
      <w:proofErr w:type="spellStart"/>
      <w:r>
        <w:rPr>
          <w:rFonts w:ascii="Garamond" w:hAnsi="Garamond"/>
          <w:sz w:val="22"/>
          <w:szCs w:val="22"/>
        </w:rPr>
        <w:t>its</w:t>
      </w:r>
      <w:proofErr w:type="spellEnd"/>
      <w:r>
        <w:rPr>
          <w:rFonts w:ascii="Garamond" w:hAnsi="Garamond"/>
          <w:sz w:val="22"/>
          <w:szCs w:val="22"/>
        </w:rPr>
        <w:t xml:space="preserve"> very small. </w:t>
      </w:r>
    </w:p>
    <w:p w14:paraId="71AD15A2" w14:textId="2139F307" w:rsidR="00170175" w:rsidRDefault="00170175" w:rsidP="00170175">
      <w:pPr>
        <w:pStyle w:val="ListParagraph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Assignments (both Trib and Huc) were constrained to the polygon with the greatest amount of production in the top 5% of all production, thereby constraining each individual assignment to a single region.</w:t>
      </w:r>
    </w:p>
    <w:p w14:paraId="2602D606" w14:textId="77777777" w:rsidR="00170175" w:rsidRDefault="00170175" w:rsidP="00170175">
      <w:pPr>
        <w:rPr>
          <w:rFonts w:ascii="Garamond" w:hAnsi="Garamond"/>
          <w:sz w:val="22"/>
          <w:szCs w:val="22"/>
        </w:rPr>
      </w:pPr>
    </w:p>
    <w:p w14:paraId="4645E18C" w14:textId="54830FE5" w:rsidR="00170175" w:rsidRDefault="00170175" w:rsidP="00170175">
      <w:pPr>
        <w:rPr>
          <w:rFonts w:ascii="Garamond" w:hAnsi="Garamond"/>
          <w:b/>
          <w:bCs/>
          <w:sz w:val="22"/>
          <w:szCs w:val="22"/>
        </w:rPr>
      </w:pPr>
      <w:r w:rsidRPr="00170175">
        <w:rPr>
          <w:rFonts w:ascii="Garamond" w:hAnsi="Garamond"/>
          <w:b/>
          <w:bCs/>
          <w:sz w:val="22"/>
          <w:szCs w:val="22"/>
        </w:rPr>
        <w:t>ANALYSIS</w:t>
      </w:r>
    </w:p>
    <w:p w14:paraId="23AA3A15" w14:textId="41427A71" w:rsidR="007A0E82" w:rsidRPr="007A0E82" w:rsidRDefault="007A0E82" w:rsidP="007A0E82">
      <w:pPr>
        <w:pStyle w:val="ListParagraph"/>
        <w:numPr>
          <w:ilvl w:val="0"/>
          <w:numId w:val="3"/>
        </w:numPr>
        <w:rPr>
          <w:rFonts w:ascii="Garamond" w:hAnsi="Garamond"/>
          <w:b/>
          <w:bCs/>
          <w:sz w:val="22"/>
          <w:szCs w:val="22"/>
        </w:rPr>
      </w:pPr>
      <w:r w:rsidRPr="007A0E82">
        <w:rPr>
          <w:rFonts w:ascii="Garamond" w:hAnsi="Garamond"/>
          <w:b/>
          <w:bCs/>
          <w:sz w:val="22"/>
          <w:szCs w:val="22"/>
        </w:rPr>
        <w:t>Qualitative,</w:t>
      </w:r>
      <w:r w:rsidR="00170175" w:rsidRPr="007A0E82">
        <w:rPr>
          <w:rFonts w:ascii="Garamond" w:hAnsi="Garamond"/>
          <w:b/>
          <w:bCs/>
          <w:sz w:val="22"/>
          <w:szCs w:val="22"/>
        </w:rPr>
        <w:t xml:space="preserve"> descriptive analysis of changes among years </w:t>
      </w:r>
    </w:p>
    <w:p w14:paraId="2307BEB0" w14:textId="77777777" w:rsidR="007A0E82" w:rsidRDefault="007A0E82" w:rsidP="007A0E82">
      <w:pPr>
        <w:rPr>
          <w:rFonts w:ascii="Garamond" w:hAnsi="Garamond"/>
          <w:b/>
          <w:bCs/>
          <w:sz w:val="22"/>
          <w:szCs w:val="22"/>
        </w:rPr>
      </w:pPr>
    </w:p>
    <w:p w14:paraId="4F66D43A" w14:textId="252C65E1" w:rsidR="007A0E82" w:rsidRPr="007A0E82" w:rsidRDefault="00170175" w:rsidP="007A0E82">
      <w:pPr>
        <w:pStyle w:val="ListParagraph"/>
        <w:numPr>
          <w:ilvl w:val="0"/>
          <w:numId w:val="3"/>
        </w:numPr>
        <w:rPr>
          <w:rFonts w:ascii="Garamond" w:hAnsi="Garamond"/>
          <w:b/>
          <w:bCs/>
          <w:sz w:val="22"/>
          <w:szCs w:val="22"/>
        </w:rPr>
      </w:pPr>
      <w:r w:rsidRPr="007A0E82">
        <w:rPr>
          <w:rFonts w:ascii="Garamond" w:hAnsi="Garamond"/>
          <w:b/>
          <w:bCs/>
          <w:sz w:val="22"/>
          <w:szCs w:val="22"/>
        </w:rPr>
        <w:t xml:space="preserve">Hot spot analysis </w:t>
      </w:r>
    </w:p>
    <w:p w14:paraId="482EA848" w14:textId="11ABA06C" w:rsidR="00170175" w:rsidRPr="007A0E82" w:rsidRDefault="007A0E82" w:rsidP="007A0E82">
      <w:pPr>
        <w:pStyle w:val="ListParagraph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 w:rsidRPr="007A0E82">
        <w:rPr>
          <w:rFonts w:ascii="Garamond" w:hAnsi="Garamond"/>
          <w:sz w:val="22"/>
          <w:szCs w:val="22"/>
        </w:rPr>
        <w:t>Q</w:t>
      </w:r>
      <w:r w:rsidR="00170175" w:rsidRPr="007A0E82">
        <w:rPr>
          <w:rFonts w:ascii="Garamond" w:hAnsi="Garamond"/>
          <w:sz w:val="22"/>
          <w:szCs w:val="22"/>
        </w:rPr>
        <w:t xml:space="preserve">uantifies </w:t>
      </w:r>
      <w:r w:rsidRPr="007A0E82">
        <w:rPr>
          <w:rFonts w:ascii="Garamond" w:hAnsi="Garamond"/>
          <w:sz w:val="22"/>
          <w:szCs w:val="22"/>
        </w:rPr>
        <w:t xml:space="preserve">statistically </w:t>
      </w:r>
      <w:r w:rsidR="00170175" w:rsidRPr="007A0E82">
        <w:rPr>
          <w:rFonts w:ascii="Garamond" w:hAnsi="Garamond"/>
          <w:sz w:val="22"/>
          <w:szCs w:val="22"/>
        </w:rPr>
        <w:t xml:space="preserve">significant regions of </w:t>
      </w:r>
      <w:r w:rsidRPr="007A0E82">
        <w:rPr>
          <w:rFonts w:ascii="Garamond" w:hAnsi="Garamond"/>
          <w:sz w:val="22"/>
          <w:szCs w:val="22"/>
        </w:rPr>
        <w:t xml:space="preserve">hot or cold production </w:t>
      </w:r>
    </w:p>
    <w:p w14:paraId="6D50D664" w14:textId="53FCA610" w:rsidR="007A0E82" w:rsidRDefault="007A0E82" w:rsidP="00170175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fldChar w:fldCharType="begin"/>
      </w:r>
      <w:r>
        <w:rPr>
          <w:rFonts w:ascii="Garamond" w:hAnsi="Garamond"/>
          <w:sz w:val="20"/>
          <w:szCs w:val="20"/>
        </w:rPr>
        <w:instrText>HYPERLINK "</w:instrText>
      </w:r>
      <w:r w:rsidRPr="007A0E82">
        <w:rPr>
          <w:rFonts w:ascii="Garamond" w:hAnsi="Garamond"/>
          <w:sz w:val="20"/>
          <w:szCs w:val="20"/>
        </w:rPr>
        <w:instrText>https://pro.arcgis.com/en/pro-app/latest/tool-reference/spatial-statistics/optimized-hot-spot-analysis.htm</w:instrText>
      </w:r>
      <w:r>
        <w:rPr>
          <w:rFonts w:ascii="Garamond" w:hAnsi="Garamond"/>
          <w:sz w:val="20"/>
          <w:szCs w:val="20"/>
        </w:rPr>
        <w:instrText>"</w:instrText>
      </w:r>
      <w:r>
        <w:rPr>
          <w:rFonts w:ascii="Garamond" w:hAnsi="Garamond"/>
          <w:sz w:val="20"/>
          <w:szCs w:val="20"/>
        </w:rPr>
        <w:fldChar w:fldCharType="separate"/>
      </w:r>
      <w:r w:rsidRPr="00DD0AE1">
        <w:rPr>
          <w:rStyle w:val="Hyperlink"/>
          <w:rFonts w:ascii="Garamond" w:hAnsi="Garamond"/>
          <w:sz w:val="20"/>
          <w:szCs w:val="20"/>
        </w:rPr>
        <w:t>https://pro.arcgis.com/en/pro-app/latest/tool-reference/spatial-statistics/optimized-hot-spot-analysis.htm</w:t>
      </w:r>
      <w:r>
        <w:rPr>
          <w:rFonts w:ascii="Garamond" w:hAnsi="Garamond"/>
          <w:sz w:val="20"/>
          <w:szCs w:val="20"/>
        </w:rPr>
        <w:fldChar w:fldCharType="end"/>
      </w:r>
    </w:p>
    <w:p w14:paraId="385C8B06" w14:textId="0409D74B" w:rsidR="007A0E82" w:rsidRDefault="007A0E82" w:rsidP="007A0E82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Spatial statics/hotspot Analysis comparison then quantifies statistically significant shifts in these hot/cold spots and produced maps of the change among years. </w:t>
      </w:r>
    </w:p>
    <w:p w14:paraId="2B2A8605" w14:textId="242C9A75" w:rsidR="007A0E82" w:rsidRPr="007A0E82" w:rsidRDefault="007A0E82" w:rsidP="007A0E82">
      <w:pPr>
        <w:rPr>
          <w:rFonts w:ascii="Garamond" w:hAnsi="Garamond"/>
          <w:sz w:val="20"/>
          <w:szCs w:val="20"/>
        </w:rPr>
      </w:pPr>
      <w:r w:rsidRPr="007A0E82">
        <w:rPr>
          <w:rFonts w:ascii="Garamond" w:hAnsi="Garamond"/>
          <w:sz w:val="20"/>
          <w:szCs w:val="20"/>
        </w:rPr>
        <w:t>https://pro.arcgis.com/en/pro-app/latest/tool-reference/spatial-statistics/hot-spot-comparison.htm</w:t>
      </w:r>
    </w:p>
    <w:p w14:paraId="5A7F789D" w14:textId="144BC1E7" w:rsidR="007A0E82" w:rsidRPr="007A0E82" w:rsidRDefault="007A0E82" w:rsidP="00170175">
      <w:pPr>
        <w:rPr>
          <w:rFonts w:ascii="Garamond" w:hAnsi="Garamond"/>
          <w:b/>
          <w:bCs/>
          <w:sz w:val="20"/>
          <w:szCs w:val="20"/>
        </w:rPr>
      </w:pPr>
    </w:p>
    <w:p w14:paraId="5E1BC0EC" w14:textId="4836CE7A" w:rsidR="007A0E82" w:rsidRDefault="007A0E82" w:rsidP="007A0E82">
      <w:pPr>
        <w:pStyle w:val="ListParagraph"/>
        <w:numPr>
          <w:ilvl w:val="0"/>
          <w:numId w:val="3"/>
        </w:numPr>
        <w:rPr>
          <w:rFonts w:ascii="Garamond" w:hAnsi="Garamond"/>
          <w:b/>
          <w:bCs/>
          <w:sz w:val="20"/>
          <w:szCs w:val="20"/>
        </w:rPr>
      </w:pPr>
      <w:r w:rsidRPr="007A0E82">
        <w:rPr>
          <w:rFonts w:ascii="Garamond" w:hAnsi="Garamond"/>
          <w:b/>
          <w:bCs/>
          <w:sz w:val="20"/>
          <w:szCs w:val="20"/>
        </w:rPr>
        <w:t xml:space="preserve">Calculate CV at multiple spatial scales </w:t>
      </w:r>
      <w:r>
        <w:rPr>
          <w:rFonts w:ascii="Garamond" w:hAnsi="Garamond"/>
          <w:b/>
          <w:bCs/>
          <w:sz w:val="20"/>
          <w:szCs w:val="20"/>
        </w:rPr>
        <w:t xml:space="preserve">(by stream order, by HUC, etc.) </w:t>
      </w:r>
    </w:p>
    <w:p w14:paraId="246DB4E5" w14:textId="394D14D6" w:rsidR="00D2676F" w:rsidRDefault="00D2676F" w:rsidP="00352923">
      <w:pPr>
        <w:rPr>
          <w:rFonts w:ascii="Garamond" w:hAnsi="Garamond"/>
          <w:sz w:val="22"/>
          <w:szCs w:val="22"/>
        </w:rPr>
      </w:pPr>
    </w:p>
    <w:p w14:paraId="344EAD4B" w14:textId="78414AEF" w:rsidR="00D2676F" w:rsidRPr="007A0E82" w:rsidRDefault="007A0E82" w:rsidP="00D2676F">
      <w:pPr>
        <w:rPr>
          <w:rFonts w:ascii="Garamond" w:hAnsi="Garamond"/>
          <w:b/>
          <w:bCs/>
          <w:sz w:val="22"/>
          <w:szCs w:val="22"/>
        </w:rPr>
      </w:pPr>
      <w:r w:rsidRPr="007A0E82">
        <w:rPr>
          <w:rFonts w:ascii="Garamond" w:hAnsi="Garamond"/>
          <w:b/>
          <w:bCs/>
          <w:sz w:val="22"/>
          <w:szCs w:val="22"/>
        </w:rPr>
        <w:t xml:space="preserve">Results </w:t>
      </w:r>
    </w:p>
    <w:p w14:paraId="0ED4AF61" w14:textId="017A57E8" w:rsidR="007A0E82" w:rsidRPr="007A0E82" w:rsidRDefault="007A0E82" w:rsidP="00D2676F">
      <w:pPr>
        <w:rPr>
          <w:b/>
          <w:bCs/>
        </w:rPr>
      </w:pPr>
      <w:r w:rsidRPr="007A0E82">
        <w:rPr>
          <w:rFonts w:ascii="Garamond" w:hAnsi="Garamond"/>
          <w:b/>
          <w:bCs/>
          <w:sz w:val="22"/>
          <w:szCs w:val="22"/>
        </w:rPr>
        <w:t xml:space="preserve">Discussion </w:t>
      </w:r>
    </w:p>
    <w:sectPr w:rsidR="007A0E82" w:rsidRPr="007A0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enjamin J. Makhlouf" w:date="2025-05-13T15:23:00Z" w:initials="b">
    <w:p w14:paraId="1139AD0D" w14:textId="77777777" w:rsidR="00781D51" w:rsidRDefault="00781D51" w:rsidP="00781D5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This is different than how Sean had done it. </w:t>
      </w:r>
    </w:p>
    <w:p w14:paraId="1F172DDB" w14:textId="77777777" w:rsidR="00781D51" w:rsidRDefault="00781D51" w:rsidP="00781D51"/>
  </w:comment>
  <w:comment w:id="1" w:author="Benjamin J. Makhlouf" w:date="2025-05-13T15:28:00Z" w:initials="b">
    <w:p w14:paraId="67B5EDCC" w14:textId="77777777" w:rsidR="00170175" w:rsidRDefault="00170175" w:rsidP="0017017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This feels weak </w:t>
      </w:r>
    </w:p>
    <w:p w14:paraId="4DC1D35B" w14:textId="77777777" w:rsidR="00170175" w:rsidRDefault="00170175" w:rsidP="00170175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F172DDB" w15:done="0"/>
  <w15:commentEx w15:paraId="4DC1D35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68DA477" w16cex:dateUtc="2025-05-13T22:23:00Z"/>
  <w16cex:commentExtensible w16cex:durableId="726711EF" w16cex:dateUtc="2025-05-13T22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F172DDB" w16cid:durableId="368DA477"/>
  <w16cid:commentId w16cid:paraId="4DC1D35B" w16cid:durableId="726711E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910C1"/>
    <w:multiLevelType w:val="hybridMultilevel"/>
    <w:tmpl w:val="B3D8E4B4"/>
    <w:lvl w:ilvl="0" w:tplc="C5C492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B4542"/>
    <w:multiLevelType w:val="hybridMultilevel"/>
    <w:tmpl w:val="C61CC660"/>
    <w:lvl w:ilvl="0" w:tplc="4DF2B7E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05C10FC"/>
    <w:multiLevelType w:val="hybridMultilevel"/>
    <w:tmpl w:val="560A2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339230">
    <w:abstractNumId w:val="0"/>
  </w:num>
  <w:num w:numId="2" w16cid:durableId="56709656">
    <w:abstractNumId w:val="1"/>
  </w:num>
  <w:num w:numId="3" w16cid:durableId="37192231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enjamin J. Makhlouf">
    <w15:presenceInfo w15:providerId="AD" w15:userId="S::bmak29@uw.edu::e2d819b1-db99-41fc-888c-ad60b4d561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20"/>
    <w:rsid w:val="000941AF"/>
    <w:rsid w:val="00170175"/>
    <w:rsid w:val="001844EB"/>
    <w:rsid w:val="00352923"/>
    <w:rsid w:val="003642FE"/>
    <w:rsid w:val="003B0A46"/>
    <w:rsid w:val="00464971"/>
    <w:rsid w:val="00513791"/>
    <w:rsid w:val="00780305"/>
    <w:rsid w:val="00781D51"/>
    <w:rsid w:val="007A0E82"/>
    <w:rsid w:val="008E6120"/>
    <w:rsid w:val="00907410"/>
    <w:rsid w:val="00A4712A"/>
    <w:rsid w:val="00C9741A"/>
    <w:rsid w:val="00D2676F"/>
    <w:rsid w:val="00E4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CF10F"/>
  <w15:chartTrackingRefBased/>
  <w15:docId w15:val="{15C0B738-131B-2749-9C6A-5428FA79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1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1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1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12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2676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781D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1D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1D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D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D5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0E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E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0E8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J. Makhlouf</dc:creator>
  <cp:keywords/>
  <dc:description/>
  <cp:lastModifiedBy>Benjamin J. Makhlouf</cp:lastModifiedBy>
  <cp:revision>2</cp:revision>
  <dcterms:created xsi:type="dcterms:W3CDTF">2025-05-13T21:56:00Z</dcterms:created>
  <dcterms:modified xsi:type="dcterms:W3CDTF">2025-05-13T22:41:00Z</dcterms:modified>
</cp:coreProperties>
</file>