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DBE74" w14:textId="68AA7B23" w:rsidR="00A52B54" w:rsidRPr="00A52B54" w:rsidRDefault="00A52B54" w:rsidP="00A52B54">
      <w:pPr>
        <w:ind w:firstLine="360"/>
        <w:jc w:val="center"/>
        <w:rPr>
          <w:rFonts w:ascii="Garamond" w:hAnsi="Garamond"/>
          <w:sz w:val="22"/>
          <w:szCs w:val="22"/>
        </w:rPr>
      </w:pPr>
      <w:r w:rsidRPr="00A52B54">
        <w:rPr>
          <w:rFonts w:ascii="Garamond" w:hAnsi="Garamond"/>
          <w:b/>
          <w:bCs/>
          <w:color w:val="000000"/>
          <w:sz w:val="22"/>
          <w:szCs w:val="22"/>
        </w:rPr>
        <w:t>Shifting patterns of production in Alaska’s largest watersheds</w:t>
      </w:r>
    </w:p>
    <w:p w14:paraId="7E5BA024" w14:textId="77777777" w:rsidR="00A52B54" w:rsidRPr="00A52B54" w:rsidRDefault="00A52B54" w:rsidP="00A52B54">
      <w:pPr>
        <w:ind w:firstLine="360"/>
        <w:jc w:val="both"/>
        <w:rPr>
          <w:rFonts w:ascii="Garamond" w:hAnsi="Garamond"/>
          <w:sz w:val="22"/>
          <w:szCs w:val="22"/>
        </w:rPr>
      </w:pPr>
    </w:p>
    <w:p w14:paraId="64FD821C" w14:textId="77777777" w:rsidR="00A52B54" w:rsidRPr="00A52B54" w:rsidRDefault="00A52B54" w:rsidP="00A52B54">
      <w:pPr>
        <w:ind w:firstLine="360"/>
        <w:jc w:val="both"/>
        <w:rPr>
          <w:rFonts w:ascii="Garamond" w:hAnsi="Garamond"/>
          <w:sz w:val="22"/>
          <w:szCs w:val="22"/>
        </w:rPr>
      </w:pPr>
    </w:p>
    <w:p w14:paraId="1C055FAB" w14:textId="1C1B78FF" w:rsidR="00A52B54" w:rsidRPr="00A52B54" w:rsidRDefault="00A52B54" w:rsidP="00A52B54">
      <w:pPr>
        <w:ind w:firstLine="360"/>
        <w:jc w:val="both"/>
        <w:rPr>
          <w:rFonts w:ascii="Garamond" w:hAnsi="Garamond"/>
          <w:sz w:val="22"/>
          <w:szCs w:val="22"/>
        </w:rPr>
      </w:pPr>
      <w:r w:rsidRPr="00A52B54">
        <w:rPr>
          <w:rFonts w:ascii="Garamond" w:hAnsi="Garamond"/>
          <w:sz w:val="22"/>
          <w:szCs w:val="22"/>
        </w:rPr>
        <w:t>Introduction</w:t>
      </w:r>
    </w:p>
    <w:p w14:paraId="04E9CD26" w14:textId="77777777" w:rsidR="00A52B54" w:rsidRPr="00A52B54" w:rsidRDefault="00A52B54" w:rsidP="00D31EED">
      <w:pPr>
        <w:ind w:firstLine="360"/>
        <w:rPr>
          <w:rFonts w:ascii="Garamond" w:hAnsi="Garamond"/>
          <w:sz w:val="22"/>
          <w:szCs w:val="22"/>
        </w:rPr>
      </w:pPr>
    </w:p>
    <w:p w14:paraId="332584E9" w14:textId="1533F279"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Management and resource allocation of Pacific Salmon present a significant challenge due in part to the diverse life history strategies of salmon subpopulations. It is this diversity, however, which plays a key role in maintaining population stability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{"citationID":"3WN3nJlR","properties":{"formattedCitation":"(Moore et al., 2021)","plainCitation":"(Moore et al., 2021)","noteIndex":0},"citationItems":[{"id":247,"uris":["http://zotero.org/users/8421274/items/V286BS7F"],"itemData":{"id":247,"type":"article-journal","abstract":"Fish biodiversity sustains the resilience and productivity of fisheries, yet this biodiversity can be threatened by overharvest and depletion in mixed-stock fisheries. Thus, the biodiversity that provides benefits may also make sustainable resource extraction more difficult, a key challenge in fisheries management. We simulated a mixed-stock fishery to explore relationships between different dimensions of biodiversity and fishery performance relative to conservation and fishery objectives. Different dimensions of biodiversity (number of stocks, evenness, asynchrony among stocks, heterogeneity in stock productivity) exacerbated trade-offs between fishery and conservation objectives. For example, fisheries targeting stock-complexes with greater asynchrony, and to a lesser extent richness, had greater stability in harvest through time but also greater risks of overfishing weak stocks and reduced yield compared to less biodiverse stock-complexes. These trade-offs were ameliorated by increasing management control—the capacity of fishery managers to harvest specific stocks. To explore these trade-offs in real-world fisheries, we contrasted the fishing and population status of individual stocks within three major mixed-stock sockeye salmon (Oncorhynchus nerka, Salmonidae) fisheries—Bristol Bay, Fraser River, and Skeena River. In general, the fisheries with lower management control had individual stocks that were more often being over- or under-fished, compared with those with higher management control, though variation among regions in biodiversity, scale of management, and magnitude of habitat alteration likely also contribute to these relationships. Collectively, our findings emphasize that there is a need to extract less or regulate better in order to conserve and benefit from biodiversity in fisheries and other natural resource management systems.","container-title":"Fish and Fisheries","DOI":"10.1111/faf.12567","ISSN":"1467-2979","issue":"5","language":"en","note":"_eprint: https://onlinelibrary.wiley.com/doi/pdf/10.1111/faf.12567","page":"1024-1040","source":"Wiley Online Library","title":"Conservation risks and portfolio effects in mixed-stock fisheries","volume":"22","author":[{"family":"Moore","given":"Jonathan W."},{"family":"Connors","given":"Brendan M."},{"family":"Hodgson","given":"Emma E."}],"issued":{"date-parts":[["2021"]]}}}],"schema":"https://github.com/citation-style-language/schema/raw/master/csl-citation.json"}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(Moore et al., 2021)</w:t>
      </w:r>
      <w:r w:rsidRPr="00A52B54">
        <w:rPr>
          <w:rFonts w:ascii="Garamond" w:hAnsi="Garamond"/>
          <w:sz w:val="22"/>
          <w:szCs w:val="22"/>
        </w:rPr>
        <w:fldChar w:fldCharType="end"/>
      </w:r>
      <w:r w:rsidRPr="00A52B54">
        <w:rPr>
          <w:rFonts w:ascii="Garamond" w:hAnsi="Garamond"/>
          <w:sz w:val="22"/>
          <w:szCs w:val="22"/>
        </w:rPr>
        <w:t xml:space="preserve">. Much in the same way that investment diversity within a financial portfolio stabilizes returns from market variability, genetic and life history diversity among salmon stocks dampen variability in returning spawners by distributing risk among subpopulations in different geographic regions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{"citationID":"GxC25Otc","properties":{"formattedCitation":"(Schindler et al., 2010, 2015)","plainCitation":"(Schindler et al., 2010, 2015)","noteIndex":0},"citationItems":[{"id":4151,"uris":["http://zotero.org/users/8421274/items/CXIT689N"],"itemData":{"id":4151,"type":"article-journal","abstract":"The role of species diversity in ecosystem stability is well appreciated, but population diversity within a species is also important and often overlooked. An analysis of over 50 years of data on sockeye salmon returns to the rivers of Bristol Bay, Alaska, shows just how important this portfolio effect — so-called by analogy with risk-spreading in financial markets — can be. The sockeye salmon fishery is one of the most valuable in the United States, with more than 60% of it coming from this region. The fact that it is made up of several hundred discrete populations makes the observed population variability about half what would be expected in a single homogenous population, and numerical modelling predicts that a homogenous population would be subject to ten times more fisheries closures. In terms of fisheries management, this work suggests that reducing the homogenizing effects of hatcheries on genetic diversity, protecting weak stocks from over-harvesting in mixed stock fisheries, and maintaining intact habitat networks should be prioritized.","container-title":"Nature","DOI":"10.1038/nature09060","ISSN":"1476-4687","issue":"7298","language":"en","license":"2010 Springer Nature Limited","note":"number: 7298\npublisher: Nature Publishing Group","page":"609-612","source":"www.nature.com","title":"Population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(Schindler et al., 2010, 2015)</w:t>
      </w:r>
      <w:r w:rsidRPr="00A52B54">
        <w:rPr>
          <w:rFonts w:ascii="Garamond" w:hAnsi="Garamond"/>
          <w:sz w:val="22"/>
          <w:szCs w:val="22"/>
        </w:rPr>
        <w:fldChar w:fldCharType="end"/>
      </w:r>
      <w:r w:rsidRPr="00A52B54">
        <w:rPr>
          <w:rFonts w:ascii="Garamond" w:hAnsi="Garamond"/>
          <w:sz w:val="22"/>
          <w:szCs w:val="22"/>
        </w:rPr>
        <w:t xml:space="preserve">. Shifting configurations of habitat and biological responses across space and time serve to increase population diversity and population resiliency by creating a continuum of habitat types which may be preferable to locally adapted populations under various environmental conditions (Brennan et al., 2019, Stanford et al., 2005, Ward et al., 2002). Maintaining habitat and life history diversity may therefore be key to maximizing climate adaptation and maintaining resilience under global change (Moore and Schindler 2023). However, how salmon stocks respond to environmental changes at regional spatial scales remains poorly documented in systems that remain intact and presumably functioning as they should in the absence of habitat fragmentation and degradation. </w:t>
      </w:r>
    </w:p>
    <w:p w14:paraId="02DA748D" w14:textId="7C66CF1F"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Salmon bearing watersheds in Western Alaska have remained relatively untouched compared to their southern counterparts in the U.S. and Canada. However, there has been a recent decline in returns of western Alaska Chinook salmon which has led to significant strife for both subsistence and commercial fisheries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{"citationID":"P1z14crr","properties":{"formattedCitation":"(Brown &amp; Godduhn, 2015; Schindler et al., 2013)","plainCitation":"(Brown &amp; Godduhn, 2015; Schindler et al., 2013)","noteIndex":0},"citationItems":[{"id":4428,"uris":["http://zotero.org/users/8421274/items/2WA8NCRM"],"itemData":{"id":4428,"type":"article-journal","language":"en","source":"Zotero","title":"Socioeconomic effects of declining salmon runs on the Yukon River","author":[{"family":"Brown","given":"Caroline L"},{"family":"Godduhn","given":"Anna"}],"issued":{"date-parts":[["2015"]]}}},{"id":4426,"uris":["http://zotero.org/users/8421274/items/GRMID2QD"],"itemData":{"id":4426,"type":"report","language":"en","source":"Zotero","title":"Arctic-Yukon-Kuskokwim Chinook Salmon Research Action Plan: Evidence of Decline of Chinook Salmon Populations and Recommendations for Future Research. Prepared for the AYK Sustainable Salmon Initiative","author":[{"family":"Schindler","given":"Daniel E"},{"family":"Krueger","given":"C"},{"family":"Bisson","given":"P"},{"family":"Bradford","given":"Michael J"},{"family":"Clark","given":"B"},{"family":"Conitz","given":"J"},{"family":"Howard","given":"K"},{"family":"Jones","given":"M"},{"family":"Murphy","given":"J"},{"family":"Myers","given":"Katherine W."},{"family":"Scheuerell","given":"Mark"},{"family":"Volk","given":"Eric C"},{"family":"Winton","given":"James"}],"issued":{"date-parts":[["2013",8]]}}}],"schema":"https://github.com/citation-style-language/schema/raw/master/csl-citation.json"}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(Brown &amp; Godduhn, 2015; Schindler et al., 2013)</w:t>
      </w:r>
      <w:r w:rsidRPr="00A52B54">
        <w:rPr>
          <w:rFonts w:ascii="Garamond" w:hAnsi="Garamond"/>
          <w:sz w:val="22"/>
          <w:szCs w:val="22"/>
        </w:rPr>
        <w:fldChar w:fldCharType="end"/>
      </w:r>
      <w:r w:rsidRPr="00A52B54">
        <w:rPr>
          <w:rFonts w:ascii="Garamond" w:hAnsi="Garamond"/>
          <w:sz w:val="22"/>
          <w:szCs w:val="22"/>
        </w:rPr>
        <w:t xml:space="preserve">. This has motivated increased interest in strategies to understand the degree of spatial diversity in these watersheds, which may provide insight into regional effects of climate on sub stocks or inform management strategies to maximize life history diversity across space and time. In addition, identifying regions of the watershed which disproportionately contribute to overall run success over multiple years may aid in identifying tributaries or sub-basin regions to be prioritized for conservation purposes. In total, a better understanding of the spatial ecology of Chinook salmon in western Alaska may provide valuable insight into methods to best rebuild and conserve struggling stocks while maximizing population resilience to climate change </w:t>
      </w:r>
      <w:r w:rsidR="00B867D0">
        <w:rPr>
          <w:rFonts w:ascii="Garamond" w:hAnsi="Garamond"/>
          <w:sz w:val="22"/>
          <w:szCs w:val="22"/>
        </w:rPr>
        <w:t xml:space="preserve">through the conservation of life history diversity. </w:t>
      </w:r>
    </w:p>
    <w:p w14:paraId="2EA7EE31" w14:textId="7BAF399B" w:rsidR="00B867D0" w:rsidRDefault="00D31EED" w:rsidP="00B867D0">
      <w:pPr>
        <w:ind w:firstLine="360"/>
        <w:rPr>
          <w:rFonts w:ascii="Garamond" w:hAnsi="Garamond"/>
          <w:sz w:val="22"/>
          <w:szCs w:val="22"/>
        </w:rPr>
      </w:pPr>
      <w:r w:rsidRPr="00A52B54">
        <w:rPr>
          <w:rFonts w:ascii="Garamond" w:hAnsi="Garamond"/>
          <w:sz w:val="22"/>
          <w:szCs w:val="22"/>
        </w:rPr>
        <w:t xml:space="preserve">Isotope ratios in the ear stones of fishes, or otoliths, have been used to </w:t>
      </w:r>
      <w:r w:rsidR="00B867D0">
        <w:rPr>
          <w:rFonts w:ascii="Garamond" w:hAnsi="Garamond"/>
          <w:sz w:val="22"/>
          <w:szCs w:val="22"/>
        </w:rPr>
        <w:t xml:space="preserve">estimate the spatial distribution of provenance for salmon in western Alaska watersheds </w:t>
      </w:r>
      <w:r w:rsidRPr="00A52B54">
        <w:rPr>
          <w:rFonts w:ascii="Garamond" w:hAnsi="Garamond"/>
          <w:sz w:val="22"/>
          <w:szCs w:val="22"/>
        </w:rPr>
        <w:t>(Brennan et al., 2017, 2019)</w:t>
      </w:r>
      <w:r w:rsidR="00B867D0">
        <w:rPr>
          <w:rFonts w:ascii="Garamond" w:hAnsi="Garamond"/>
          <w:sz w:val="22"/>
          <w:szCs w:val="22"/>
        </w:rPr>
        <w:t>. Otoliths, which grow continuously and sequentially over the individual’s lifetime, record elemental and isotopic signatures into a metabolically inert calcium carbonate structure. As a result, th</w:t>
      </w:r>
    </w:p>
    <w:p w14:paraId="1D03CAC4" w14:textId="77777777" w:rsidR="00B867D0" w:rsidRDefault="00B867D0" w:rsidP="00B867D0">
      <w:pPr>
        <w:ind w:firstLine="360"/>
        <w:rPr>
          <w:rFonts w:ascii="Garamond" w:hAnsi="Garamond"/>
          <w:sz w:val="22"/>
          <w:szCs w:val="22"/>
        </w:rPr>
      </w:pPr>
    </w:p>
    <w:p w14:paraId="0248481C" w14:textId="77777777" w:rsidR="00B867D0" w:rsidRDefault="00B867D0" w:rsidP="00B867D0">
      <w:pPr>
        <w:ind w:firstLine="360"/>
        <w:rPr>
          <w:rFonts w:ascii="Garamond" w:hAnsi="Garamond"/>
          <w:sz w:val="22"/>
          <w:szCs w:val="22"/>
        </w:rPr>
      </w:pPr>
    </w:p>
    <w:p w14:paraId="54295437" w14:textId="77777777" w:rsidR="00B867D0" w:rsidRDefault="00B867D0" w:rsidP="00B867D0">
      <w:pPr>
        <w:ind w:firstLine="360"/>
        <w:rPr>
          <w:rFonts w:ascii="Garamond" w:hAnsi="Garamond"/>
          <w:sz w:val="22"/>
          <w:szCs w:val="22"/>
        </w:rPr>
      </w:pPr>
    </w:p>
    <w:p w14:paraId="72BE5302" w14:textId="2A031AD6" w:rsidR="00B867D0" w:rsidRDefault="00B867D0" w:rsidP="00B867D0">
      <w:pPr>
        <w:ind w:firstLine="360"/>
        <w:rPr>
          <w:rFonts w:ascii="Garamond" w:hAnsi="Garamond"/>
          <w:sz w:val="22"/>
          <w:szCs w:val="22"/>
        </w:rPr>
      </w:pPr>
      <w:r>
        <w:rPr>
          <w:rFonts w:ascii="Garamond" w:hAnsi="Garamond"/>
          <w:sz w:val="22"/>
          <w:szCs w:val="22"/>
        </w:rPr>
        <w:t xml:space="preserve">The isotope ratio of Strontium (Sr87/Sr87) is heterogeneously distributed across geologically diverse landscapes and faithfully incorporated into the otolith. </w:t>
      </w:r>
    </w:p>
    <w:p w14:paraId="6F680A30" w14:textId="77777777" w:rsidR="00B867D0" w:rsidRDefault="00B867D0" w:rsidP="00B867D0">
      <w:pPr>
        <w:ind w:firstLine="360"/>
        <w:rPr>
          <w:rFonts w:ascii="Garamond" w:hAnsi="Garamond"/>
          <w:sz w:val="22"/>
          <w:szCs w:val="22"/>
        </w:rPr>
      </w:pPr>
    </w:p>
    <w:p w14:paraId="2B2D7A29" w14:textId="0A836FE3" w:rsidR="00B867D0" w:rsidRDefault="00B867D0" w:rsidP="00B867D0">
      <w:pPr>
        <w:ind w:firstLine="360"/>
        <w:rPr>
          <w:rFonts w:ascii="Garamond" w:hAnsi="Garamond"/>
          <w:sz w:val="22"/>
          <w:szCs w:val="22"/>
        </w:rPr>
      </w:pPr>
      <w:r>
        <w:rPr>
          <w:rFonts w:ascii="Garamond" w:hAnsi="Garamond"/>
          <w:sz w:val="22"/>
          <w:szCs w:val="22"/>
        </w:rPr>
        <w:t xml:space="preserve">Sr8786 ratios measured in the portion of the otolith which corresponds to the freshwater rearing period of the fish can therefore be directly related to ratios which are empirically measured or modeled across the landscape </w:t>
      </w:r>
    </w:p>
    <w:p w14:paraId="7B1FC3EC" w14:textId="77777777" w:rsidR="00B867D0" w:rsidRDefault="00B867D0" w:rsidP="00B867D0">
      <w:pPr>
        <w:ind w:firstLine="360"/>
        <w:rPr>
          <w:rFonts w:ascii="Garamond" w:hAnsi="Garamond"/>
          <w:sz w:val="22"/>
          <w:szCs w:val="22"/>
        </w:rPr>
      </w:pPr>
    </w:p>
    <w:p w14:paraId="41B79821" w14:textId="77777777" w:rsidR="00B867D0" w:rsidRDefault="00B867D0" w:rsidP="00B867D0">
      <w:pPr>
        <w:ind w:firstLine="360"/>
        <w:rPr>
          <w:rFonts w:ascii="Garamond" w:hAnsi="Garamond"/>
          <w:sz w:val="22"/>
          <w:szCs w:val="22"/>
        </w:rPr>
      </w:pPr>
    </w:p>
    <w:p w14:paraId="216B8A75" w14:textId="77777777" w:rsidR="00B867D0" w:rsidRDefault="00B867D0" w:rsidP="00B867D0">
      <w:pPr>
        <w:ind w:firstLine="360"/>
        <w:rPr>
          <w:rFonts w:ascii="Garamond" w:hAnsi="Garamond"/>
          <w:sz w:val="22"/>
          <w:szCs w:val="22"/>
        </w:rPr>
      </w:pPr>
    </w:p>
    <w:p w14:paraId="407925C4" w14:textId="77777777" w:rsidR="00B867D0" w:rsidRDefault="00B867D0" w:rsidP="00B867D0">
      <w:pPr>
        <w:ind w:firstLine="360"/>
        <w:rPr>
          <w:rFonts w:ascii="Garamond" w:hAnsi="Garamond"/>
          <w:sz w:val="22"/>
          <w:szCs w:val="22"/>
        </w:rPr>
      </w:pPr>
    </w:p>
    <w:p w14:paraId="68D0A659" w14:textId="0AB442F3" w:rsidR="00D31EED" w:rsidRPr="00A52B54" w:rsidRDefault="00A52B54" w:rsidP="00B867D0">
      <w:pPr>
        <w:ind w:firstLine="360"/>
        <w:rPr>
          <w:rFonts w:ascii="Garamond" w:hAnsi="Garamond"/>
          <w:sz w:val="22"/>
          <w:szCs w:val="22"/>
        </w:rPr>
      </w:pPr>
      <w:r w:rsidRPr="00A52B54">
        <w:rPr>
          <w:rFonts w:ascii="Garamond" w:hAnsi="Garamond"/>
          <w:sz w:val="22"/>
          <w:szCs w:val="22"/>
        </w:rPr>
        <w:t xml:space="preserve">This is accomplished by relating the isotope ratio (Sr87/86) found in the otolith to the same ratios found in the landscape, resulting in estimation of provenance to the tributary scale. At the population scale, this method can therefore be used to reconstruct the spatial distribution natal </w:t>
      </w:r>
      <w:r w:rsidR="00B867D0">
        <w:rPr>
          <w:rFonts w:ascii="Garamond" w:hAnsi="Garamond"/>
          <w:sz w:val="22"/>
          <w:szCs w:val="22"/>
        </w:rPr>
        <w:t>rearing habitat</w:t>
      </w:r>
      <w:r w:rsidRPr="00A52B54">
        <w:rPr>
          <w:rFonts w:ascii="Garamond" w:hAnsi="Garamond"/>
          <w:sz w:val="22"/>
          <w:szCs w:val="22"/>
        </w:rPr>
        <w:t xml:space="preserve"> for fish returning </w:t>
      </w:r>
      <w:proofErr w:type="gramStart"/>
      <w:r w:rsidRPr="00A52B54">
        <w:rPr>
          <w:rFonts w:ascii="Garamond" w:hAnsi="Garamond"/>
          <w:sz w:val="22"/>
          <w:szCs w:val="22"/>
        </w:rPr>
        <w:t>in a given year</w:t>
      </w:r>
      <w:proofErr w:type="gramEnd"/>
      <w:r w:rsidRPr="00A52B54">
        <w:rPr>
          <w:rFonts w:ascii="Garamond" w:hAnsi="Garamond"/>
          <w:sz w:val="22"/>
          <w:szCs w:val="22"/>
        </w:rPr>
        <w:t xml:space="preserve">. </w:t>
      </w:r>
      <w:r w:rsidR="00D31EED" w:rsidRPr="00A52B54">
        <w:rPr>
          <w:rFonts w:ascii="Garamond" w:hAnsi="Garamond"/>
          <w:sz w:val="22"/>
          <w:szCs w:val="22"/>
        </w:rPr>
        <w:t xml:space="preserve">In other systems, these reconstructions have demonstrated highly dynamic patterns of production over space and time, </w:t>
      </w:r>
      <w:r w:rsidR="00D31EED" w:rsidRPr="00A52B54">
        <w:rPr>
          <w:rFonts w:ascii="Garamond" w:hAnsi="Garamond"/>
          <w:color w:val="222222"/>
          <w:sz w:val="22"/>
          <w:szCs w:val="22"/>
        </w:rPr>
        <w:t xml:space="preserve">elucidating the scales at which the portfolio effect can contribute to stability in stock productivity </w:t>
      </w:r>
      <w:r w:rsidRPr="00A52B54">
        <w:rPr>
          <w:rFonts w:ascii="Garamond" w:hAnsi="Garamond"/>
          <w:color w:val="222222"/>
          <w:sz w:val="22"/>
          <w:szCs w:val="22"/>
        </w:rPr>
        <w:t xml:space="preserve">through a shifting habitat mosaics of salmon production </w:t>
      </w:r>
      <w:r w:rsidR="00D31EED" w:rsidRPr="00A52B54">
        <w:rPr>
          <w:rFonts w:ascii="Garamond" w:hAnsi="Garamond"/>
          <w:color w:val="222222"/>
          <w:sz w:val="22"/>
          <w:szCs w:val="22"/>
        </w:rPr>
        <w:t>(Brennan et a., 2019)</w:t>
      </w:r>
      <w:r w:rsidR="00D31EED" w:rsidRPr="00A52B54">
        <w:rPr>
          <w:rFonts w:ascii="Garamond" w:hAnsi="Garamond"/>
          <w:sz w:val="22"/>
          <w:szCs w:val="22"/>
        </w:rPr>
        <w:t xml:space="preserve">. </w:t>
      </w:r>
      <w:r w:rsidRPr="00A52B54">
        <w:rPr>
          <w:rFonts w:ascii="Garamond" w:hAnsi="Garamond"/>
          <w:sz w:val="22"/>
          <w:szCs w:val="22"/>
        </w:rPr>
        <w:lastRenderedPageBreak/>
        <w:t xml:space="preserve">However, these ecosystem patterns have </w:t>
      </w:r>
      <w:r w:rsidR="00D31EED" w:rsidRPr="00A52B54">
        <w:rPr>
          <w:rFonts w:ascii="Garamond" w:hAnsi="Garamond"/>
          <w:sz w:val="22"/>
          <w:szCs w:val="22"/>
        </w:rPr>
        <w:t xml:space="preserve">only been explored at short (3 </w:t>
      </w:r>
      <w:r w:rsidRPr="00A52B54">
        <w:rPr>
          <w:rFonts w:ascii="Garamond" w:hAnsi="Garamond"/>
          <w:sz w:val="22"/>
          <w:szCs w:val="22"/>
        </w:rPr>
        <w:t>year)</w:t>
      </w:r>
      <w:r w:rsidR="00D31EED" w:rsidRPr="00A52B54">
        <w:rPr>
          <w:rFonts w:ascii="Garamond" w:hAnsi="Garamond"/>
          <w:sz w:val="22"/>
          <w:szCs w:val="22"/>
        </w:rPr>
        <w:t xml:space="preserve"> temporal scales and have not been investigated in the Yukon or </w:t>
      </w:r>
      <w:r w:rsidRPr="00A52B54">
        <w:rPr>
          <w:rFonts w:ascii="Garamond" w:hAnsi="Garamond"/>
          <w:sz w:val="22"/>
          <w:szCs w:val="22"/>
        </w:rPr>
        <w:t>Kuskokwim River</w:t>
      </w:r>
      <w:r w:rsidR="00D31EED" w:rsidRPr="00A52B54">
        <w:rPr>
          <w:rFonts w:ascii="Garamond" w:hAnsi="Garamond"/>
          <w:sz w:val="22"/>
          <w:szCs w:val="22"/>
        </w:rPr>
        <w:t xml:space="preserve"> </w:t>
      </w:r>
      <w:proofErr w:type="gramStart"/>
      <w:r w:rsidR="00D31EED" w:rsidRPr="00A52B54">
        <w:rPr>
          <w:rFonts w:ascii="Garamond" w:hAnsi="Garamond"/>
          <w:sz w:val="22"/>
          <w:szCs w:val="22"/>
        </w:rPr>
        <w:t>basins;</w:t>
      </w:r>
      <w:proofErr w:type="gramEnd"/>
      <w:r w:rsidR="00D31EED" w:rsidRPr="00A52B54">
        <w:rPr>
          <w:rFonts w:ascii="Garamond" w:hAnsi="Garamond"/>
          <w:sz w:val="22"/>
          <w:szCs w:val="22"/>
        </w:rPr>
        <w:t xml:space="preserve"> which contribute the majority of Chinook salmon in Alaska. As a result, it is not readily known how patterns of production are distributed across these systems in space, how these patterns change over time, and at how this variability may contribute to a portfolio effect which maximizes population scale resiliency. </w:t>
      </w:r>
    </w:p>
    <w:p w14:paraId="2445AF2B" w14:textId="7543B7DB" w:rsidR="00907410" w:rsidRDefault="00907410"/>
    <w:sectPr w:rsidR="0090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0E"/>
    <w:rsid w:val="001844EB"/>
    <w:rsid w:val="001E280E"/>
    <w:rsid w:val="003642FE"/>
    <w:rsid w:val="003B0A46"/>
    <w:rsid w:val="00597996"/>
    <w:rsid w:val="00780305"/>
    <w:rsid w:val="00907410"/>
    <w:rsid w:val="00A52B54"/>
    <w:rsid w:val="00B867D0"/>
    <w:rsid w:val="00D31EED"/>
    <w:rsid w:val="00E454BB"/>
    <w:rsid w:val="00F5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F2271"/>
  <w15:chartTrackingRefBased/>
  <w15:docId w15:val="{54BB90F4-6A31-1047-AC55-7AE32D0B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E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280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E280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E280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E280E"/>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E280E"/>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E280E"/>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E280E"/>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E280E"/>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E280E"/>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0E"/>
    <w:rPr>
      <w:rFonts w:eastAsiaTheme="majorEastAsia" w:cstheme="majorBidi"/>
      <w:color w:val="272727" w:themeColor="text1" w:themeTint="D8"/>
    </w:rPr>
  </w:style>
  <w:style w:type="paragraph" w:styleId="Title">
    <w:name w:val="Title"/>
    <w:basedOn w:val="Normal"/>
    <w:next w:val="Normal"/>
    <w:link w:val="TitleChar"/>
    <w:uiPriority w:val="10"/>
    <w:qFormat/>
    <w:rsid w:val="001E28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E2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0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E2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0E"/>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E280E"/>
    <w:rPr>
      <w:i/>
      <w:iCs/>
      <w:color w:val="404040" w:themeColor="text1" w:themeTint="BF"/>
    </w:rPr>
  </w:style>
  <w:style w:type="paragraph" w:styleId="ListParagraph">
    <w:name w:val="List Paragraph"/>
    <w:basedOn w:val="Normal"/>
    <w:uiPriority w:val="34"/>
    <w:qFormat/>
    <w:rsid w:val="001E280E"/>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E280E"/>
    <w:rPr>
      <w:i/>
      <w:iCs/>
      <w:color w:val="0F4761" w:themeColor="accent1" w:themeShade="BF"/>
    </w:rPr>
  </w:style>
  <w:style w:type="paragraph" w:styleId="IntenseQuote">
    <w:name w:val="Intense Quote"/>
    <w:basedOn w:val="Normal"/>
    <w:next w:val="Normal"/>
    <w:link w:val="IntenseQuoteChar"/>
    <w:uiPriority w:val="30"/>
    <w:qFormat/>
    <w:rsid w:val="001E280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E280E"/>
    <w:rPr>
      <w:i/>
      <w:iCs/>
      <w:color w:val="0F4761" w:themeColor="accent1" w:themeShade="BF"/>
    </w:rPr>
  </w:style>
  <w:style w:type="character" w:styleId="IntenseReference">
    <w:name w:val="Intense Reference"/>
    <w:basedOn w:val="DefaultParagraphFont"/>
    <w:uiPriority w:val="32"/>
    <w:qFormat/>
    <w:rsid w:val="001E2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bmak29</dc:creator>
  <cp:keywords/>
  <dc:description/>
  <cp:lastModifiedBy>Benjamin J. Makhlouf</cp:lastModifiedBy>
  <cp:revision>3</cp:revision>
  <dcterms:created xsi:type="dcterms:W3CDTF">2024-07-26T04:59:00Z</dcterms:created>
  <dcterms:modified xsi:type="dcterms:W3CDTF">2024-08-01T15:55:00Z</dcterms:modified>
</cp:coreProperties>
</file>