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DBE74" w14:textId="68AA7B23" w:rsidR="00A52B54" w:rsidRPr="00A52B54" w:rsidRDefault="00A52B54" w:rsidP="00A52B54">
      <w:pPr>
        <w:ind w:firstLine="360"/>
        <w:jc w:val="center"/>
        <w:rPr>
          <w:rFonts w:ascii="Garamond" w:hAnsi="Garamond"/>
          <w:sz w:val="22"/>
          <w:szCs w:val="22"/>
        </w:rPr>
      </w:pPr>
      <w:r w:rsidRPr="00A52B54">
        <w:rPr>
          <w:rFonts w:ascii="Garamond" w:hAnsi="Garamond"/>
          <w:b/>
          <w:bCs/>
          <w:color w:val="000000"/>
          <w:sz w:val="22"/>
          <w:szCs w:val="22"/>
        </w:rPr>
        <w:t>Shifting patterns of production in Alaska’s largest watersheds</w:t>
      </w:r>
    </w:p>
    <w:p w14:paraId="7E5BA024" w14:textId="77777777" w:rsidR="00A52B54" w:rsidRPr="00A52B54" w:rsidRDefault="00A52B54" w:rsidP="00A52B54">
      <w:pPr>
        <w:ind w:firstLine="360"/>
        <w:jc w:val="both"/>
        <w:rPr>
          <w:rFonts w:ascii="Garamond" w:hAnsi="Garamond"/>
          <w:sz w:val="22"/>
          <w:szCs w:val="22"/>
        </w:rPr>
      </w:pPr>
    </w:p>
    <w:p w14:paraId="64FD821C" w14:textId="77777777" w:rsidR="00A52B54" w:rsidRPr="00A52B54" w:rsidRDefault="00A52B54" w:rsidP="00A52B54">
      <w:pPr>
        <w:ind w:firstLine="360"/>
        <w:jc w:val="both"/>
        <w:rPr>
          <w:rFonts w:ascii="Garamond" w:hAnsi="Garamond"/>
          <w:sz w:val="22"/>
          <w:szCs w:val="22"/>
        </w:rPr>
      </w:pPr>
    </w:p>
    <w:p w14:paraId="1C055FAB" w14:textId="1C1B78FF" w:rsidR="00A52B54" w:rsidRPr="00A52B54" w:rsidRDefault="00A52B54" w:rsidP="00A52B54">
      <w:pPr>
        <w:ind w:firstLine="360"/>
        <w:jc w:val="both"/>
        <w:rPr>
          <w:rFonts w:ascii="Garamond" w:hAnsi="Garamond"/>
          <w:sz w:val="22"/>
          <w:szCs w:val="22"/>
        </w:rPr>
      </w:pPr>
      <w:r w:rsidRPr="00A52B54">
        <w:rPr>
          <w:rFonts w:ascii="Garamond" w:hAnsi="Garamond"/>
          <w:sz w:val="22"/>
          <w:szCs w:val="22"/>
        </w:rPr>
        <w:t>Introduction</w:t>
      </w:r>
    </w:p>
    <w:p w14:paraId="04E9CD26" w14:textId="77777777" w:rsidR="00A52B54" w:rsidRPr="00A52B54" w:rsidRDefault="00A52B54" w:rsidP="00D31EED">
      <w:pPr>
        <w:ind w:firstLine="360"/>
        <w:rPr>
          <w:rFonts w:ascii="Garamond" w:hAnsi="Garamond"/>
          <w:sz w:val="22"/>
          <w:szCs w:val="22"/>
        </w:rPr>
      </w:pPr>
    </w:p>
    <w:p w14:paraId="332584E9" w14:textId="1533F279" w:rsidR="00D31EED" w:rsidRPr="00A52B54" w:rsidRDefault="00D31EED" w:rsidP="00D31EED">
      <w:pPr>
        <w:ind w:firstLine="360"/>
        <w:rPr>
          <w:rFonts w:ascii="Garamond" w:hAnsi="Garamond"/>
          <w:sz w:val="22"/>
          <w:szCs w:val="22"/>
        </w:rPr>
      </w:pPr>
      <w:r w:rsidRPr="00A52B54">
        <w:rPr>
          <w:rFonts w:ascii="Garamond" w:hAnsi="Garamond"/>
          <w:sz w:val="22"/>
          <w:szCs w:val="22"/>
        </w:rPr>
        <w:t xml:space="preserve">Management and resource allocation of Pacific Salmon present a significant challenge due in part to the diverse life history strategies of salmon subpopulations. It is this diversity, however, which plays a key role in maintaining population stability </w:t>
      </w:r>
      <w:r w:rsidRPr="00A52B54">
        <w:rPr>
          <w:rFonts w:ascii="Garamond" w:hAnsi="Garamond"/>
          <w:sz w:val="22"/>
          <w:szCs w:val="22"/>
        </w:rPr>
        <w:fldChar w:fldCharType="begin"/>
      </w:r>
      <w:r w:rsidRPr="00A52B54">
        <w:rPr>
          <w:rFonts w:ascii="Garamond" w:hAnsi="Garamond"/>
          <w:sz w:val="22"/>
          <w:szCs w:val="22"/>
        </w:rPr>
        <w:instrText xml:space="preserve"> ADDIN ZOTERO_ITEM CSL_CITATION {"citationID":"3WN3nJlR","properties":{"formattedCitation":"(Moore et al., 2021)","plainCitation":"(Moore et al., 2021)","noteIndex":0},"citationItems":[{"id":247,"uris":["http://zotero.org/users/8421274/items/V286BS7F"],"itemData":{"id":247,"type":"article-journal","abstract":"Fish biodiversity sustains the resilience and productivity of fisheries, yet this biodiversity can be threatened by overharvest and depletion in mixed-stock fisheries. Thus, the biodiversity that provides benefits may also make sustainable resource extraction more difficult, a key challenge in fisheries management. We simulated a mixed-stock fishery to explore relationships between different dimensions of biodiversity and fishery performance relative to conservation and fishery objectives. Different dimensions of biodiversity (number of stocks, evenness, asynchrony among stocks, heterogeneity in stock productivity) exacerbated trade-offs between fishery and conservation objectives. For example, fisheries targeting stock-complexes with greater asynchrony, and to a lesser extent richness, had greater stability in harvest through time but also greater risks of overfishing weak stocks and reduced yield compared to less biodiverse stock-complexes. These trade-offs were ameliorated by increasing management control—the capacity of fishery managers to harvest specific stocks. To explore these trade-offs in real-world fisheries, we contrasted the fishing and population status of individual stocks within three major mixed-stock sockeye salmon (Oncorhynchus nerka, Salmonidae) fisheries—Bristol Bay, Fraser River, and Skeena River. In general, the fisheries with lower management control had individual stocks that were more often being over- or under-fished, compared with those with higher management control, though variation among regions in biodiversity, scale of management, and magnitude of habitat alteration likely also contribute to these relationships. Collectively, our findings emphasize that there is a need to extract less or regulate better in order to conserve and benefit from biodiversity in fisheries and other natural resource management systems.","container-title":"Fish and Fisheries","DOI":"10.1111/faf.12567","ISSN":"1467-2979","issue":"5","language":"en","note":"_eprint: https://onlinelibrary.wiley.com/doi/pdf/10.1111/faf.12567","page":"1024-1040","source":"Wiley Online Library","title":"Conservation risks and portfolio effects in mixed-stock fisheries","volume":"22","author":[{"family":"Moore","given":"Jonathan W."},{"family":"Connors","given":"Brendan M."},{"family":"Hodgson","given":"Emma E."}],"issued":{"date-parts":[["2021"]]}}}],"schema":"https://github.com/citation-style-language/schema/raw/master/csl-citation.json"} </w:instrText>
      </w:r>
      <w:r w:rsidRPr="00A52B54">
        <w:rPr>
          <w:rFonts w:ascii="Garamond" w:hAnsi="Garamond"/>
          <w:sz w:val="22"/>
          <w:szCs w:val="22"/>
        </w:rPr>
        <w:fldChar w:fldCharType="separate"/>
      </w:r>
      <w:r w:rsidRPr="00A52B54">
        <w:rPr>
          <w:rFonts w:ascii="Garamond" w:hAnsi="Garamond"/>
          <w:noProof/>
          <w:sz w:val="22"/>
          <w:szCs w:val="22"/>
        </w:rPr>
        <w:t>(Moore et al., 2021)</w:t>
      </w:r>
      <w:r w:rsidRPr="00A52B54">
        <w:rPr>
          <w:rFonts w:ascii="Garamond" w:hAnsi="Garamond"/>
          <w:sz w:val="22"/>
          <w:szCs w:val="22"/>
        </w:rPr>
        <w:fldChar w:fldCharType="end"/>
      </w:r>
      <w:r w:rsidRPr="00A52B54">
        <w:rPr>
          <w:rFonts w:ascii="Garamond" w:hAnsi="Garamond"/>
          <w:sz w:val="22"/>
          <w:szCs w:val="22"/>
        </w:rPr>
        <w:t xml:space="preserve">. Much in the same way that investment diversity within a financial portfolio stabilizes returns from market variability, genetic and life history diversity among salmon stocks dampen variability in returning spawners by distributing risk among subpopulations in different geographic regions </w:t>
      </w:r>
      <w:r w:rsidRPr="00A52B54">
        <w:rPr>
          <w:rFonts w:ascii="Garamond" w:hAnsi="Garamond"/>
          <w:sz w:val="22"/>
          <w:szCs w:val="22"/>
        </w:rPr>
        <w:fldChar w:fldCharType="begin"/>
      </w:r>
      <w:r w:rsidRPr="00A52B54">
        <w:rPr>
          <w:rFonts w:ascii="Garamond" w:hAnsi="Garamond"/>
          <w:sz w:val="22"/>
          <w:szCs w:val="22"/>
        </w:rPr>
        <w:instrText xml:space="preserve"> ADDIN ZOTERO_ITEM CSL_CITATION {"citationID":"GxC25Otc","properties":{"formattedCitation":"(Schindler et al., 2010, 2015)","plainCitation":"(Schindler et al., 2010, 2015)","noteIndex":0},"citationItems":[{"id":4151,"uris":["http://zotero.org/users/8421274/items/CXIT689N"],"itemData":{"id":4151,"type":"article-journal","abstract":"The role of species diversity in ecosystem stability is well appreciated, but population diversity within a species is also important and often overlooked. An analysis of over 50 years of data on sockeye salmon returns to the rivers of Bristol Bay, Alaska, shows just how important this portfolio effect — so-called by analogy with risk-spreading in financial markets — can be. The sockeye salmon fishery is one of the most valuable in the United States, with more than 60% of it coming from this region. The fact that it is made up of several hundred discrete populations makes the observed population variability about half what would be expected in a single homogenous population, and numerical modelling predicts that a homogenous population would be subject to ten times more fisheries closures. In terms of fisheries management, this work suggests that reducing the homogenizing effects of hatcheries on genetic diversity, protecting weak stocks from over-harvesting in mixed stock fisheries, and maintaining intact habitat networks should be prioritized.","container-title":"Nature","DOI":"10.1038/nature09060","ISSN":"1476-4687","issue":"7298","language":"en","license":"2010 Springer Nature Limited","note":"number: 7298\npublisher: Nature Publishing Group","page":"609-612","source":"www.nature.com","title":"Population diversity and the portfolio effect in an exploited species","volume":"465","author":[{"family":"Schindler","given":"Daniel E."},{"family":"Hilborn","given":"Ray"},{"family":"Chasco","given":"Brandon"},{"family":"Boatright","given":"Christopher P."},{"family":"Quinn","given":"Thomas P."},{"family":"Rogers","given":"Lauren A."},{"family":"Webster","given":"Michael S."}],"issued":{"date-parts":[["2010",6]]}}},{"id":68,"uris":["http://zotero.org/users/8421274/items/DIRY8NHC"],"itemData":{"id":68,"type":"article-journal","container-title":"Frontiers in Ecology and the Environment","issue":"5","note":"publisher: Wiley Online Library","page":"257–263","source":"Google Scholar","title":"The portfolio concept in ecology and evolution","volume":"13","author":[{"family":"Schindler","given":"Daniel E."},{"family":"Armstrong","given":"Jonathan B."},{"family":"Reed","given":"Thomas E."}],"issued":{"date-parts":[["2015"]]}}}],"schema":"https://github.com/citation-style-language/schema/raw/master/csl-citation.json"} </w:instrText>
      </w:r>
      <w:r w:rsidRPr="00A52B54">
        <w:rPr>
          <w:rFonts w:ascii="Garamond" w:hAnsi="Garamond"/>
          <w:sz w:val="22"/>
          <w:szCs w:val="22"/>
        </w:rPr>
        <w:fldChar w:fldCharType="separate"/>
      </w:r>
      <w:r w:rsidRPr="00A52B54">
        <w:rPr>
          <w:rFonts w:ascii="Garamond" w:hAnsi="Garamond"/>
          <w:noProof/>
          <w:sz w:val="22"/>
          <w:szCs w:val="22"/>
        </w:rPr>
        <w:t>(Schindler et al., 2010, 2015)</w:t>
      </w:r>
      <w:r w:rsidRPr="00A52B54">
        <w:rPr>
          <w:rFonts w:ascii="Garamond" w:hAnsi="Garamond"/>
          <w:sz w:val="22"/>
          <w:szCs w:val="22"/>
        </w:rPr>
        <w:fldChar w:fldCharType="end"/>
      </w:r>
      <w:r w:rsidRPr="00A52B54">
        <w:rPr>
          <w:rFonts w:ascii="Garamond" w:hAnsi="Garamond"/>
          <w:sz w:val="22"/>
          <w:szCs w:val="22"/>
        </w:rPr>
        <w:t xml:space="preserve">. Shifting configurations of habitat and biological responses across space and time serve to increase population diversity and population resiliency by creating a continuum of habitat types which may be preferable to locally adapted populations under various environmental conditions (Brennan et al., 2019, Stanford et al., 2005, Ward et al., 2002). Maintaining habitat and life history diversity may therefore be key to maximizing climate adaptation and maintaining resilience under global change (Moore and Schindler 2023). However, how salmon stocks respond to environmental changes at regional spatial scales remains poorly documented in systems that remain intact and presumably functioning as they should in the absence of habitat fragmentation and degradation. </w:t>
      </w:r>
    </w:p>
    <w:p w14:paraId="02DA748D" w14:textId="7C66CF1F" w:rsidR="00D31EED" w:rsidRPr="00A52B54" w:rsidRDefault="00D31EED" w:rsidP="00D31EED">
      <w:pPr>
        <w:ind w:firstLine="360"/>
        <w:rPr>
          <w:rFonts w:ascii="Garamond" w:hAnsi="Garamond"/>
          <w:sz w:val="22"/>
          <w:szCs w:val="22"/>
        </w:rPr>
      </w:pPr>
      <w:r w:rsidRPr="00A52B54">
        <w:rPr>
          <w:rFonts w:ascii="Garamond" w:hAnsi="Garamond"/>
          <w:sz w:val="22"/>
          <w:szCs w:val="22"/>
        </w:rPr>
        <w:t xml:space="preserve">Salmon bearing watersheds in Western Alaska have remained relatively untouched compared to their southern counterparts in the U.S. and Canada. However, there has been a recent decline in returns of western Alaska Chinook salmon which has led to significant strife for both subsistence and commercial fisheries </w:t>
      </w:r>
      <w:r w:rsidRPr="00A52B54">
        <w:rPr>
          <w:rFonts w:ascii="Garamond" w:hAnsi="Garamond"/>
          <w:sz w:val="22"/>
          <w:szCs w:val="22"/>
        </w:rPr>
        <w:fldChar w:fldCharType="begin"/>
      </w:r>
      <w:r w:rsidRPr="00A52B54">
        <w:rPr>
          <w:rFonts w:ascii="Garamond" w:hAnsi="Garamond"/>
          <w:sz w:val="22"/>
          <w:szCs w:val="22"/>
        </w:rPr>
        <w:instrText xml:space="preserve"> ADDIN ZOTERO_ITEM CSL_CITATION {"citationID":"P1z14crr","properties":{"formattedCitation":"(Brown &amp; Godduhn, 2015; Schindler et al., 2013)","plainCitation":"(Brown &amp; Godduhn, 2015; Schindler et al., 2013)","noteIndex":0},"citationItems":[{"id":4428,"uris":["http://zotero.org/users/8421274/items/2WA8NCRM"],"itemData":{"id":4428,"type":"article-journal","language":"en","source":"Zotero","title":"Socioeconomic effects of declining salmon runs on the Yukon River","author":[{"family":"Brown","given":"Caroline L"},{"family":"Godduhn","given":"Anna"}],"issued":{"date-parts":[["2015"]]}}},{"id":4426,"uris":["http://zotero.org/users/8421274/items/GRMID2QD"],"itemData":{"id":4426,"type":"report","language":"en","source":"Zotero","title":"Arctic-Yukon-Kuskokwim Chinook Salmon Research Action Plan: Evidence of Decline of Chinook Salmon Populations and Recommendations for Future Research. Prepared for the AYK Sustainable Salmon Initiative","author":[{"family":"Schindler","given":"Daniel E"},{"family":"Krueger","given":"C"},{"family":"Bisson","given":"P"},{"family":"Bradford","given":"Michael J"},{"family":"Clark","given":"B"},{"family":"Conitz","given":"J"},{"family":"Howard","given":"K"},{"family":"Jones","given":"M"},{"family":"Murphy","given":"J"},{"family":"Myers","given":"Katherine W."},{"family":"Scheuerell","given":"Mark"},{"family":"Volk","given":"Eric C"},{"family":"Winton","given":"James"}],"issued":{"date-parts":[["2013",8]]}}}],"schema":"https://github.com/citation-style-language/schema/raw/master/csl-citation.json"} </w:instrText>
      </w:r>
      <w:r w:rsidRPr="00A52B54">
        <w:rPr>
          <w:rFonts w:ascii="Garamond" w:hAnsi="Garamond"/>
          <w:sz w:val="22"/>
          <w:szCs w:val="22"/>
        </w:rPr>
        <w:fldChar w:fldCharType="separate"/>
      </w:r>
      <w:r w:rsidRPr="00A52B54">
        <w:rPr>
          <w:rFonts w:ascii="Garamond" w:hAnsi="Garamond"/>
          <w:noProof/>
          <w:sz w:val="22"/>
          <w:szCs w:val="22"/>
        </w:rPr>
        <w:t>(Brown &amp; Godduhn, 2015; Schindler et al., 2013)</w:t>
      </w:r>
      <w:r w:rsidRPr="00A52B54">
        <w:rPr>
          <w:rFonts w:ascii="Garamond" w:hAnsi="Garamond"/>
          <w:sz w:val="22"/>
          <w:szCs w:val="22"/>
        </w:rPr>
        <w:fldChar w:fldCharType="end"/>
      </w:r>
      <w:r w:rsidRPr="00A52B54">
        <w:rPr>
          <w:rFonts w:ascii="Garamond" w:hAnsi="Garamond"/>
          <w:sz w:val="22"/>
          <w:szCs w:val="22"/>
        </w:rPr>
        <w:t xml:space="preserve">. This has motivated increased interest in strategies to understand the degree of spatial diversity in these watersheds, which may provide insight into regional effects of climate on sub stocks or inform management strategies to maximize life history diversity across space and time. In addition, identifying regions of the watershed which disproportionately contribute to overall run success over multiple years may aid in identifying tributaries or sub-basin regions to be prioritized for conservation purposes. In total, a better understanding of the spatial ecology of Chinook salmon in western Alaska may provide valuable insight into methods to best rebuild and conserve struggling stocks while maximizing population resilience to climate change </w:t>
      </w:r>
      <w:r w:rsidR="00B867D0">
        <w:rPr>
          <w:rFonts w:ascii="Garamond" w:hAnsi="Garamond"/>
          <w:sz w:val="22"/>
          <w:szCs w:val="22"/>
        </w:rPr>
        <w:t xml:space="preserve">through the conservation of life history diversity. </w:t>
      </w:r>
    </w:p>
    <w:p w14:paraId="44316205" w14:textId="77777777" w:rsidR="009953B4" w:rsidRDefault="00D31EED" w:rsidP="009953B4">
      <w:pPr>
        <w:ind w:firstLine="360"/>
        <w:rPr>
          <w:rFonts w:ascii="Garamond" w:hAnsi="Garamond"/>
          <w:sz w:val="22"/>
          <w:szCs w:val="22"/>
        </w:rPr>
      </w:pPr>
      <w:r w:rsidRPr="00A52B54">
        <w:rPr>
          <w:rFonts w:ascii="Garamond" w:hAnsi="Garamond"/>
          <w:sz w:val="22"/>
          <w:szCs w:val="22"/>
        </w:rPr>
        <w:t xml:space="preserve">Isotope ratios in the ear stones of fishes, or otoliths, have been used to </w:t>
      </w:r>
      <w:r w:rsidR="00B867D0">
        <w:rPr>
          <w:rFonts w:ascii="Garamond" w:hAnsi="Garamond"/>
          <w:sz w:val="22"/>
          <w:szCs w:val="22"/>
        </w:rPr>
        <w:t xml:space="preserve">estimate the spatial distribution of provenance for salmon in western Alaska watersheds </w:t>
      </w:r>
      <w:r w:rsidRPr="00A52B54">
        <w:rPr>
          <w:rFonts w:ascii="Garamond" w:hAnsi="Garamond"/>
          <w:sz w:val="22"/>
          <w:szCs w:val="22"/>
        </w:rPr>
        <w:t>(Brennan et al., 2017, 2019)</w:t>
      </w:r>
      <w:r w:rsidR="00B867D0">
        <w:rPr>
          <w:rFonts w:ascii="Garamond" w:hAnsi="Garamond"/>
          <w:sz w:val="22"/>
          <w:szCs w:val="22"/>
        </w:rPr>
        <w:t>. Otoliths, which grow continuously and sequentially over the individual’s lifetime,</w:t>
      </w:r>
      <w:r w:rsidR="004616F9">
        <w:rPr>
          <w:rFonts w:ascii="Garamond" w:hAnsi="Garamond"/>
          <w:sz w:val="22"/>
          <w:szCs w:val="22"/>
        </w:rPr>
        <w:t xml:space="preserve"> faithfully</w:t>
      </w:r>
      <w:r w:rsidR="00B867D0">
        <w:rPr>
          <w:rFonts w:ascii="Garamond" w:hAnsi="Garamond"/>
          <w:sz w:val="22"/>
          <w:szCs w:val="22"/>
        </w:rPr>
        <w:t xml:space="preserve"> record elemental and isotopic signatures into a metabolically inert calcium carbonate structure. </w:t>
      </w:r>
      <w:r w:rsidR="004616F9">
        <w:rPr>
          <w:rFonts w:ascii="Garamond" w:hAnsi="Garamond"/>
          <w:sz w:val="22"/>
          <w:szCs w:val="22"/>
        </w:rPr>
        <w:t xml:space="preserve">As a result, these structures act as a time capsule of environmental and life history characteristics of discrete points in the individual’s life. One such signature is the relative ratio of Sr87/Sr86, which varies naturally across the landscape </w:t>
      </w:r>
      <w:r w:rsidR="009953B4">
        <w:rPr>
          <w:rFonts w:ascii="Garamond" w:hAnsi="Garamond"/>
          <w:sz w:val="22"/>
          <w:szCs w:val="22"/>
        </w:rPr>
        <w:t>because of</w:t>
      </w:r>
      <w:r w:rsidR="004616F9">
        <w:rPr>
          <w:rFonts w:ascii="Garamond" w:hAnsi="Garamond"/>
          <w:sz w:val="22"/>
          <w:szCs w:val="22"/>
        </w:rPr>
        <w:t xml:space="preserve"> geological diversity, has shown to be temporally stable, and is not biologically fractionated as it is incorporated into the otolith. </w:t>
      </w:r>
      <w:r w:rsidR="009953B4">
        <w:rPr>
          <w:rFonts w:ascii="Garamond" w:hAnsi="Garamond"/>
          <w:sz w:val="22"/>
          <w:szCs w:val="22"/>
        </w:rPr>
        <w:t xml:space="preserve">For geologically diverse landscapes such as those in portions of Alaska, the isotope ratio found in the otolith can therefore be used to posthumously estimate a geographic location of provenance for returning salmon caught in the downstream fishery. At the population scale, this method can </w:t>
      </w:r>
      <w:proofErr w:type="spellStart"/>
      <w:r w:rsidR="00A52B54" w:rsidRPr="00A52B54">
        <w:rPr>
          <w:rFonts w:ascii="Garamond" w:hAnsi="Garamond"/>
          <w:sz w:val="22"/>
          <w:szCs w:val="22"/>
        </w:rPr>
        <w:t>can</w:t>
      </w:r>
      <w:proofErr w:type="spellEnd"/>
      <w:r w:rsidR="00A52B54" w:rsidRPr="00A52B54">
        <w:rPr>
          <w:rFonts w:ascii="Garamond" w:hAnsi="Garamond"/>
          <w:sz w:val="22"/>
          <w:szCs w:val="22"/>
        </w:rPr>
        <w:t xml:space="preserve"> therefore be used to reconstruct the spatial distribution natal </w:t>
      </w:r>
      <w:r w:rsidR="00B867D0">
        <w:rPr>
          <w:rFonts w:ascii="Garamond" w:hAnsi="Garamond"/>
          <w:sz w:val="22"/>
          <w:szCs w:val="22"/>
        </w:rPr>
        <w:t>rearing habitat</w:t>
      </w:r>
      <w:r w:rsidR="00A52B54" w:rsidRPr="00A52B54">
        <w:rPr>
          <w:rFonts w:ascii="Garamond" w:hAnsi="Garamond"/>
          <w:sz w:val="22"/>
          <w:szCs w:val="22"/>
        </w:rPr>
        <w:t xml:space="preserve"> for fish returning </w:t>
      </w:r>
      <w:proofErr w:type="gramStart"/>
      <w:r w:rsidR="00A52B54" w:rsidRPr="00A52B54">
        <w:rPr>
          <w:rFonts w:ascii="Garamond" w:hAnsi="Garamond"/>
          <w:sz w:val="22"/>
          <w:szCs w:val="22"/>
        </w:rPr>
        <w:t>in a given year</w:t>
      </w:r>
      <w:proofErr w:type="gramEnd"/>
      <w:r w:rsidR="00A52B54" w:rsidRPr="00A52B54">
        <w:rPr>
          <w:rFonts w:ascii="Garamond" w:hAnsi="Garamond"/>
          <w:sz w:val="22"/>
          <w:szCs w:val="22"/>
        </w:rPr>
        <w:t xml:space="preserve">. </w:t>
      </w:r>
    </w:p>
    <w:p w14:paraId="68D0A659" w14:textId="2B31B897" w:rsidR="00D31EED" w:rsidRPr="00A52B54" w:rsidRDefault="009953B4" w:rsidP="009953B4">
      <w:pPr>
        <w:ind w:firstLine="360"/>
        <w:rPr>
          <w:rFonts w:ascii="Garamond" w:hAnsi="Garamond"/>
          <w:sz w:val="22"/>
          <w:szCs w:val="22"/>
        </w:rPr>
      </w:pPr>
      <w:r>
        <w:rPr>
          <w:rFonts w:ascii="Garamond" w:hAnsi="Garamond"/>
          <w:sz w:val="22"/>
          <w:szCs w:val="22"/>
        </w:rPr>
        <w:t>T</w:t>
      </w:r>
      <w:r w:rsidR="00D31EED" w:rsidRPr="00A52B54">
        <w:rPr>
          <w:rFonts w:ascii="Garamond" w:hAnsi="Garamond"/>
          <w:sz w:val="22"/>
          <w:szCs w:val="22"/>
        </w:rPr>
        <w:t xml:space="preserve">hese reconstructions have </w:t>
      </w:r>
      <w:r>
        <w:rPr>
          <w:rFonts w:ascii="Garamond" w:hAnsi="Garamond"/>
          <w:sz w:val="22"/>
          <w:szCs w:val="22"/>
        </w:rPr>
        <w:t xml:space="preserve">been used to </w:t>
      </w:r>
      <w:r w:rsidR="00D31EED" w:rsidRPr="00A52B54">
        <w:rPr>
          <w:rFonts w:ascii="Garamond" w:hAnsi="Garamond"/>
          <w:sz w:val="22"/>
          <w:szCs w:val="22"/>
        </w:rPr>
        <w:t>demonstrate</w:t>
      </w:r>
      <w:r>
        <w:rPr>
          <w:rFonts w:ascii="Garamond" w:hAnsi="Garamond"/>
          <w:sz w:val="22"/>
          <w:szCs w:val="22"/>
        </w:rPr>
        <w:t xml:space="preserve"> the </w:t>
      </w:r>
      <w:r w:rsidR="00D31EED" w:rsidRPr="00A52B54">
        <w:rPr>
          <w:rFonts w:ascii="Garamond" w:hAnsi="Garamond"/>
          <w:sz w:val="22"/>
          <w:szCs w:val="22"/>
        </w:rPr>
        <w:t>highly dynamic patterns of</w:t>
      </w:r>
      <w:r>
        <w:rPr>
          <w:rFonts w:ascii="Garamond" w:hAnsi="Garamond"/>
          <w:sz w:val="22"/>
          <w:szCs w:val="22"/>
        </w:rPr>
        <w:t xml:space="preserve"> salmon</w:t>
      </w:r>
      <w:r w:rsidR="00D31EED" w:rsidRPr="00A52B54">
        <w:rPr>
          <w:rFonts w:ascii="Garamond" w:hAnsi="Garamond"/>
          <w:sz w:val="22"/>
          <w:szCs w:val="22"/>
        </w:rPr>
        <w:t xml:space="preserve"> production over space and time, </w:t>
      </w:r>
      <w:r w:rsidR="00D31EED" w:rsidRPr="00A52B54">
        <w:rPr>
          <w:rFonts w:ascii="Garamond" w:hAnsi="Garamond"/>
          <w:color w:val="222222"/>
          <w:sz w:val="22"/>
          <w:szCs w:val="22"/>
        </w:rPr>
        <w:t xml:space="preserve">elucidating the scales at which the portfolio effect can contribute to stability in stock productivity </w:t>
      </w:r>
      <w:r w:rsidR="00A52B54" w:rsidRPr="00A52B54">
        <w:rPr>
          <w:rFonts w:ascii="Garamond" w:hAnsi="Garamond"/>
          <w:color w:val="222222"/>
          <w:sz w:val="22"/>
          <w:szCs w:val="22"/>
        </w:rPr>
        <w:t xml:space="preserve">through a shifting habitat mosaics of salmon production </w:t>
      </w:r>
      <w:r w:rsidR="00D31EED" w:rsidRPr="00A52B54">
        <w:rPr>
          <w:rFonts w:ascii="Garamond" w:hAnsi="Garamond"/>
          <w:color w:val="222222"/>
          <w:sz w:val="22"/>
          <w:szCs w:val="22"/>
        </w:rPr>
        <w:t>(Brennan et a., 2019)</w:t>
      </w:r>
      <w:r w:rsidR="00D31EED" w:rsidRPr="00A52B54">
        <w:rPr>
          <w:rFonts w:ascii="Garamond" w:hAnsi="Garamond"/>
          <w:sz w:val="22"/>
          <w:szCs w:val="22"/>
        </w:rPr>
        <w:t xml:space="preserve">. </w:t>
      </w:r>
      <w:r w:rsidR="00A52B54" w:rsidRPr="00A52B54">
        <w:rPr>
          <w:rFonts w:ascii="Garamond" w:hAnsi="Garamond"/>
          <w:sz w:val="22"/>
          <w:szCs w:val="22"/>
        </w:rPr>
        <w:t xml:space="preserve">However, these ecosystem patterns have </w:t>
      </w:r>
      <w:r w:rsidR="00D31EED" w:rsidRPr="00A52B54">
        <w:rPr>
          <w:rFonts w:ascii="Garamond" w:hAnsi="Garamond"/>
          <w:sz w:val="22"/>
          <w:szCs w:val="22"/>
        </w:rPr>
        <w:t xml:space="preserve">only been explored at short (3 </w:t>
      </w:r>
      <w:r w:rsidR="00A52B54" w:rsidRPr="00A52B54">
        <w:rPr>
          <w:rFonts w:ascii="Garamond" w:hAnsi="Garamond"/>
          <w:sz w:val="22"/>
          <w:szCs w:val="22"/>
        </w:rPr>
        <w:t>year)</w:t>
      </w:r>
      <w:r w:rsidR="00D31EED" w:rsidRPr="00A52B54">
        <w:rPr>
          <w:rFonts w:ascii="Garamond" w:hAnsi="Garamond"/>
          <w:sz w:val="22"/>
          <w:szCs w:val="22"/>
        </w:rPr>
        <w:t xml:space="preserve"> temporal scales and have not been investigated in the Yukon or </w:t>
      </w:r>
      <w:r w:rsidR="00A52B54" w:rsidRPr="00A52B54">
        <w:rPr>
          <w:rFonts w:ascii="Garamond" w:hAnsi="Garamond"/>
          <w:sz w:val="22"/>
          <w:szCs w:val="22"/>
        </w:rPr>
        <w:t>Kuskokwim River</w:t>
      </w:r>
      <w:r w:rsidR="00D31EED" w:rsidRPr="00A52B54">
        <w:rPr>
          <w:rFonts w:ascii="Garamond" w:hAnsi="Garamond"/>
          <w:sz w:val="22"/>
          <w:szCs w:val="22"/>
        </w:rPr>
        <w:t xml:space="preserve"> </w:t>
      </w:r>
      <w:proofErr w:type="gramStart"/>
      <w:r w:rsidR="00D31EED" w:rsidRPr="00A52B54">
        <w:rPr>
          <w:rFonts w:ascii="Garamond" w:hAnsi="Garamond"/>
          <w:sz w:val="22"/>
          <w:szCs w:val="22"/>
        </w:rPr>
        <w:t>basins;</w:t>
      </w:r>
      <w:proofErr w:type="gramEnd"/>
      <w:r w:rsidR="00D31EED" w:rsidRPr="00A52B54">
        <w:rPr>
          <w:rFonts w:ascii="Garamond" w:hAnsi="Garamond"/>
          <w:sz w:val="22"/>
          <w:szCs w:val="22"/>
        </w:rPr>
        <w:t xml:space="preserve"> which contribute the majority of Chinook salmon in Alaska. As a result, it is not readily known how patterns of production are distributed across these systems in space, how these patterns change over time, and at how this variability may contribute to a portfolio effect which maximizes population scale resiliency. </w:t>
      </w:r>
    </w:p>
    <w:p w14:paraId="2445AF2B" w14:textId="7543B7DB" w:rsidR="00907410" w:rsidRDefault="00907410"/>
    <w:sectPr w:rsidR="00907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80E"/>
    <w:rsid w:val="001844EB"/>
    <w:rsid w:val="001E280E"/>
    <w:rsid w:val="003642FE"/>
    <w:rsid w:val="003B0A46"/>
    <w:rsid w:val="004616F9"/>
    <w:rsid w:val="00597996"/>
    <w:rsid w:val="00780305"/>
    <w:rsid w:val="00907410"/>
    <w:rsid w:val="009953B4"/>
    <w:rsid w:val="00A52B54"/>
    <w:rsid w:val="00B867D0"/>
    <w:rsid w:val="00D31EED"/>
    <w:rsid w:val="00E454BB"/>
    <w:rsid w:val="00F53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AF2271"/>
  <w15:chartTrackingRefBased/>
  <w15:docId w15:val="{54BB90F4-6A31-1047-AC55-7AE32D0B7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EED"/>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E280E"/>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E280E"/>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E280E"/>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E280E"/>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1E280E"/>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1E280E"/>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1E280E"/>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1E280E"/>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1E280E"/>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8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28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28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28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28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28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8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8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80E"/>
    <w:rPr>
      <w:rFonts w:eastAsiaTheme="majorEastAsia" w:cstheme="majorBidi"/>
      <w:color w:val="272727" w:themeColor="text1" w:themeTint="D8"/>
    </w:rPr>
  </w:style>
  <w:style w:type="paragraph" w:styleId="Title">
    <w:name w:val="Title"/>
    <w:basedOn w:val="Normal"/>
    <w:next w:val="Normal"/>
    <w:link w:val="TitleChar"/>
    <w:uiPriority w:val="10"/>
    <w:qFormat/>
    <w:rsid w:val="001E280E"/>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E28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80E"/>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E28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80E"/>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1E280E"/>
    <w:rPr>
      <w:i/>
      <w:iCs/>
      <w:color w:val="404040" w:themeColor="text1" w:themeTint="BF"/>
    </w:rPr>
  </w:style>
  <w:style w:type="paragraph" w:styleId="ListParagraph">
    <w:name w:val="List Paragraph"/>
    <w:basedOn w:val="Normal"/>
    <w:uiPriority w:val="34"/>
    <w:qFormat/>
    <w:rsid w:val="001E280E"/>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1E280E"/>
    <w:rPr>
      <w:i/>
      <w:iCs/>
      <w:color w:val="0F4761" w:themeColor="accent1" w:themeShade="BF"/>
    </w:rPr>
  </w:style>
  <w:style w:type="paragraph" w:styleId="IntenseQuote">
    <w:name w:val="Intense Quote"/>
    <w:basedOn w:val="Normal"/>
    <w:next w:val="Normal"/>
    <w:link w:val="IntenseQuoteChar"/>
    <w:uiPriority w:val="30"/>
    <w:qFormat/>
    <w:rsid w:val="001E280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1E280E"/>
    <w:rPr>
      <w:i/>
      <w:iCs/>
      <w:color w:val="0F4761" w:themeColor="accent1" w:themeShade="BF"/>
    </w:rPr>
  </w:style>
  <w:style w:type="character" w:styleId="IntenseReference">
    <w:name w:val="Intense Reference"/>
    <w:basedOn w:val="DefaultParagraphFont"/>
    <w:uiPriority w:val="32"/>
    <w:qFormat/>
    <w:rsid w:val="001E28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1729</Words>
  <Characters>9859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bmak29</dc:creator>
  <cp:keywords/>
  <dc:description/>
  <cp:lastModifiedBy>bmak29</cp:lastModifiedBy>
  <cp:revision>4</cp:revision>
  <dcterms:created xsi:type="dcterms:W3CDTF">2024-07-26T04:59:00Z</dcterms:created>
  <dcterms:modified xsi:type="dcterms:W3CDTF">2024-08-03T00:29:00Z</dcterms:modified>
</cp:coreProperties>
</file>