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30354CB7" w14:textId="0769EBEB" w:rsidR="00F75B08" w:rsidRPr="00A0360F" w:rsidRDefault="00071CCC" w:rsidP="00103E0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6C7AE69D" w14:textId="77777777" w:rsidR="00A0360F" w:rsidRPr="00103E0E" w:rsidRDefault="00A0360F" w:rsidP="00103E0E">
      <w:pPr>
        <w:jc w:val="center"/>
        <w:rPr>
          <w:sz w:val="21"/>
          <w:szCs w:val="21"/>
        </w:rPr>
      </w:pPr>
    </w:p>
    <w:p w14:paraId="3A6ADA8E" w14:textId="2E4397A9" w:rsidR="00354445" w:rsidRPr="00354445" w:rsidRDefault="00354445" w:rsidP="00A0360F">
      <w:pPr>
        <w:pStyle w:val="NormalWeb"/>
        <w:spacing w:line="480" w:lineRule="auto"/>
        <w:ind w:firstLine="720"/>
        <w:rPr>
          <w:sz w:val="22"/>
          <w:szCs w:val="22"/>
        </w:rPr>
      </w:pPr>
      <w:r w:rsidRPr="00354445">
        <w:rPr>
          <w:sz w:val="22"/>
          <w:szCs w:val="22"/>
        </w:rPr>
        <w:t>Amid ongoing declines in Chinook and Chum salmon stocks across Western Alaska, there is an urgent need to identify the mechanisms driving population collapses in the region’s three major salmon-bearing watersheds. Several marine-based stressors have been proposed as potential contributors, including interspecies competition and incidental bycatch in federal trawl fisheries. In response, research efforts have intensified to evaluate the impacts of these stressors on salmon population health. However, most provenance estimates for fish sampled in the marine environment lack spatial resolution, often encompassing all three major watersheds and thousands of kilometers of stream habitat. This coarse geographic scale hampers our ability to assess the impacts of marine mortality on specific rivers, stocks, or upstream communities. Consequently, current methods are poorly suited to evaluate the role of marine mortality on river- or stock-specific population health, limiting our capacity to fully understand the drivers behind ongoing declines</w:t>
      </w:r>
    </w:p>
    <w:p w14:paraId="41E7DD5C" w14:textId="63978219" w:rsidR="008C6234" w:rsidRPr="00A0360F" w:rsidRDefault="00354445" w:rsidP="00A0360F">
      <w:pPr>
        <w:pStyle w:val="NormalWeb"/>
        <w:spacing w:line="480" w:lineRule="auto"/>
        <w:rPr>
          <w:rFonts w:ascii="Garamond" w:hAnsi="Garamond"/>
        </w:rPr>
      </w:pPr>
      <w:r>
        <w:tab/>
      </w:r>
      <w:r w:rsidR="008C6234" w:rsidRPr="00A0360F">
        <w:rPr>
          <w:rFonts w:ascii="Garamond" w:hAnsi="Garamond"/>
        </w:rPr>
        <w:t>Isotope-based methods have emerged as a promising approach for estimating salmon provenance at relatively fine spatial resolutions, particularly in systems where genetics-based approaches offer coarser estimates relative to the scale of available habitat. Otoliths—ear stones found in teleost fishes—act as natural recorders of isotopic and chemical signals from the environment, continuously incorporating these signals into a metabolically inert calcium carbonate matrix that can be extracted and analyzed post-mortem. As such, otolith chemistry serves as a chronological archive of environmental and life-history conditions, enabling the reconstruction of factors such as growth rate, temperature, metabolic rate, and salinity. For provenance applications, one of the most informative tracers is the strontium isotope ratio (</w:t>
      </w:r>
      <w:r w:rsidR="008C6234" w:rsidRPr="00A0360F">
        <w:rPr>
          <w:rFonts w:ascii="Cambria Math" w:hAnsi="Cambria Math" w:cs="Cambria Math"/>
        </w:rPr>
        <w:t>⁸⁷</w:t>
      </w:r>
      <w:r w:rsidR="008C6234" w:rsidRPr="00A0360F">
        <w:rPr>
          <w:rFonts w:ascii="Garamond" w:hAnsi="Garamond"/>
        </w:rPr>
        <w:t>Sr/</w:t>
      </w:r>
      <w:r w:rsidR="008C6234" w:rsidRPr="00A0360F">
        <w:rPr>
          <w:rFonts w:ascii="Cambria Math" w:hAnsi="Cambria Math" w:cs="Cambria Math"/>
        </w:rPr>
        <w:t>⁸⁶</w:t>
      </w:r>
      <w:r w:rsidR="008C6234" w:rsidRPr="00A0360F">
        <w:rPr>
          <w:rFonts w:ascii="Garamond" w:hAnsi="Garamond"/>
        </w:rPr>
        <w:t xml:space="preserve">Sr), which reflects the </w:t>
      </w:r>
      <w:r w:rsidR="008C6234" w:rsidRPr="00A0360F">
        <w:rPr>
          <w:rFonts w:ascii="Garamond" w:hAnsi="Garamond"/>
        </w:rPr>
        <w:lastRenderedPageBreak/>
        <w:t>geology of the surrounding watershed and can function as a natural geochemical tag in geologically diverse regions. This ratio can be measured using techniques such as Laser Ablation Inductively Coupled Plasma Mass Spectrometry (LA-ICPMS), which generates a continuous, sequential record of Sr</w:t>
      </w:r>
      <w:r w:rsidR="008C6234" w:rsidRPr="00A0360F">
        <w:rPr>
          <w:rFonts w:ascii="Cambria Math" w:hAnsi="Cambria Math" w:cs="Cambria Math"/>
        </w:rPr>
        <w:t>⁸⁷</w:t>
      </w:r>
      <w:r w:rsidR="008C6234" w:rsidRPr="00A0360F">
        <w:rPr>
          <w:rFonts w:ascii="Garamond" w:hAnsi="Garamond"/>
        </w:rPr>
        <w:t>/</w:t>
      </w:r>
      <w:r w:rsidR="008C6234" w:rsidRPr="00A0360F">
        <w:rPr>
          <w:rFonts w:ascii="Cambria Math" w:hAnsi="Cambria Math" w:cs="Cambria Math"/>
        </w:rPr>
        <w:t>⁸⁶</w:t>
      </w:r>
      <w:r w:rsidR="008C6234" w:rsidRPr="00A0360F">
        <w:rPr>
          <w:rFonts w:ascii="Garamond" w:hAnsi="Garamond"/>
        </w:rPr>
        <w:t xml:space="preserve"> throughout the fish’s life. In most applications, analysts isolate a specific portion of this time series, such as the natal freshwater rearing period in Pacific salmon, and compare the corresponding Sr</w:t>
      </w:r>
      <w:r w:rsidR="008C6234" w:rsidRPr="00A0360F">
        <w:rPr>
          <w:rFonts w:ascii="Cambria Math" w:hAnsi="Cambria Math" w:cs="Cambria Math"/>
        </w:rPr>
        <w:t>⁸⁷</w:t>
      </w:r>
      <w:r w:rsidR="008C6234" w:rsidRPr="00A0360F">
        <w:rPr>
          <w:rFonts w:ascii="Garamond" w:hAnsi="Garamond"/>
        </w:rPr>
        <w:t>/</w:t>
      </w:r>
      <w:r w:rsidR="008C6234" w:rsidRPr="00A0360F">
        <w:rPr>
          <w:rFonts w:ascii="Cambria Math" w:hAnsi="Cambria Math" w:cs="Cambria Math"/>
        </w:rPr>
        <w:t>⁸⁶</w:t>
      </w:r>
      <w:r w:rsidR="008C6234" w:rsidRPr="00A0360F">
        <w:rPr>
          <w:rFonts w:ascii="Garamond" w:hAnsi="Garamond"/>
        </w:rPr>
        <w:t xml:space="preserve"> value to empirically measured or modeled values across the landscape to estimate geographic origin. </w:t>
      </w:r>
    </w:p>
    <w:p w14:paraId="62FF4033" w14:textId="77777777" w:rsidR="0032184B" w:rsidRDefault="008C6234" w:rsidP="0032184B">
      <w:pPr>
        <w:pStyle w:val="NormalWeb"/>
        <w:spacing w:line="480" w:lineRule="auto"/>
        <w:ind w:firstLine="720"/>
        <w:rPr>
          <w:rFonts w:ascii="Garamond" w:hAnsi="Garamond"/>
        </w:rPr>
      </w:pPr>
      <w:r w:rsidRPr="00A0360F">
        <w:rPr>
          <w:rFonts w:ascii="Garamond" w:hAnsi="Garamond"/>
        </w:rPr>
        <w:t>In Western Alaska, underlying geologic diversity drives substantial spatial heterogeneity in Sr</w:t>
      </w:r>
      <w:r w:rsidRPr="00A0360F">
        <w:rPr>
          <w:rFonts w:ascii="Cambria Math" w:hAnsi="Cambria Math" w:cs="Cambria Math"/>
        </w:rPr>
        <w:t>⁸⁷</w:t>
      </w:r>
      <w:r w:rsidRPr="00A0360F">
        <w:rPr>
          <w:rFonts w:ascii="Garamond" w:hAnsi="Garamond"/>
        </w:rPr>
        <w:t>/</w:t>
      </w:r>
      <w:r w:rsidRPr="00A0360F">
        <w:rPr>
          <w:rFonts w:ascii="Cambria Math" w:hAnsi="Cambria Math" w:cs="Cambria Math"/>
        </w:rPr>
        <w:t>⁸⁶</w:t>
      </w:r>
      <w:r w:rsidRPr="00A0360F">
        <w:rPr>
          <w:rFonts w:ascii="Garamond" w:hAnsi="Garamond"/>
        </w:rPr>
        <w:t xml:space="preserve"> values. Within the Kuskokwim and </w:t>
      </w:r>
      <w:proofErr w:type="spellStart"/>
      <w:r w:rsidRPr="00A0360F">
        <w:rPr>
          <w:rFonts w:ascii="Garamond" w:hAnsi="Garamond"/>
        </w:rPr>
        <w:t>Nushagak</w:t>
      </w:r>
      <w:proofErr w:type="spellEnd"/>
      <w:r w:rsidRPr="00A0360F">
        <w:rPr>
          <w:rFonts w:ascii="Garamond" w:hAnsi="Garamond"/>
        </w:rPr>
        <w:t xml:space="preserve"> river basins, this heterogeneity is sufficient to support sub-basin-scale provenance estimates by comparing extracted natal origin Sr8786 values to Sr8786 values modeled across the landscape using methods such as spatial stream network modeling, also called </w:t>
      </w:r>
      <w:proofErr w:type="spellStart"/>
      <w:r w:rsidRPr="00A0360F">
        <w:rPr>
          <w:rFonts w:ascii="Garamond" w:hAnsi="Garamond"/>
        </w:rPr>
        <w:t>isoscapes</w:t>
      </w:r>
      <w:proofErr w:type="spellEnd"/>
      <w:r w:rsidRPr="00A0360F">
        <w:rPr>
          <w:rFonts w:ascii="Garamond" w:hAnsi="Garamond"/>
        </w:rPr>
        <w:t xml:space="preserve">. However, in larger systems like the Yukon River basin, the vast extent of potential habitat can overwhelm this geochemical signal, leading to redundancy in isotope ratios at several locations. As a result, individuals may be assigned similar likelihood of provenance to several locations, introducing uncertainty in assignment estimates. In some cases, such is the case for Chinook salmon in the Yukon River-basin, this uncertainty can be resolved by integrating complementary data sources such as genetics-based information to constrain assignments to regions with sufficient geological diversity. </w:t>
      </w:r>
      <w:r w:rsidR="00A0360F">
        <w:rPr>
          <w:rFonts w:ascii="Garamond" w:hAnsi="Garamond"/>
        </w:rPr>
        <w:t xml:space="preserve">For fish sampled in the open ocean, however, the scale of potential habitat includes all three major river-basins and hundreds of thousands of river km. At this spatial scale, significant redundancy in isotope ratios exists in several locations spread across the region. </w:t>
      </w:r>
      <w:r w:rsidR="0032184B">
        <w:rPr>
          <w:rFonts w:ascii="Garamond" w:hAnsi="Garamond"/>
        </w:rPr>
        <w:t>In addition, genetic data in this region is relatively poor. As a result, provenance estimation to a scale meaningful for management applications is not possible using natal origin isotope data.</w:t>
      </w:r>
    </w:p>
    <w:p w14:paraId="1F991C0B" w14:textId="1E105D7D" w:rsidR="00B119FB" w:rsidRDefault="0032184B" w:rsidP="00B119FB">
      <w:pPr>
        <w:pStyle w:val="NormalWeb"/>
        <w:spacing w:line="480" w:lineRule="auto"/>
        <w:ind w:firstLine="720"/>
      </w:pPr>
      <w:r>
        <w:rPr>
          <w:rFonts w:ascii="Garamond" w:hAnsi="Garamond"/>
        </w:rPr>
        <w:lastRenderedPageBreak/>
        <w:t xml:space="preserve"> </w:t>
      </w:r>
      <w:r w:rsidR="00435068">
        <w:t xml:space="preserve">Traditional provenance approaches focus narrowly on extracting natal origin signatures from a discrete portion of the otolith record. However, otolith LA-ICPMS profiles contain a wealth of additional information, including signatures from subsequent freshwater environments and data reflecting outmigration pathways from natal sites to marine waters. This signal is </w:t>
      </w:r>
      <w:r w:rsidR="00CF0294">
        <w:t>often obscured</w:t>
      </w:r>
      <w:r w:rsidR="00435068">
        <w:t xml:space="preserve"> as fish move</w:t>
      </w:r>
      <w:r w:rsidR="00435068">
        <w:t xml:space="preserve"> too</w:t>
      </w:r>
      <w:r w:rsidR="00435068">
        <w:t xml:space="preserve"> rapidly through multiple environments</w:t>
      </w:r>
      <w:r w:rsidR="00435068">
        <w:t xml:space="preserve"> for otolith Sr8786 to fully equilibrate to the new water chemistry in each environment. The result are timeseries with subtle but meaningful patterns, with underlying states that cannot be directly compared to </w:t>
      </w:r>
      <w:proofErr w:type="spellStart"/>
      <w:r w:rsidR="00435068">
        <w:t>isoscape</w:t>
      </w:r>
      <w:proofErr w:type="spellEnd"/>
      <w:r w:rsidR="00435068">
        <w:t xml:space="preserve"> values. Hidden in these patterns, however, may be watershed-specific life history characteristics which </w:t>
      </w:r>
      <w:r w:rsidR="00B119FB">
        <w:t xml:space="preserve">can be found in the relationship between multiple, subtle patterns across the timeseries. However, because these values do not directly reflect ambient water chemistry, manual comparison to the </w:t>
      </w:r>
      <w:proofErr w:type="spellStart"/>
      <w:r w:rsidR="00B119FB">
        <w:t>isoscape</w:t>
      </w:r>
      <w:proofErr w:type="spellEnd"/>
      <w:r w:rsidR="00B119FB">
        <w:t xml:space="preserve"> to elucidate potential pathways and discriminate among rivers is not always possible. </w:t>
      </w:r>
    </w:p>
    <w:p w14:paraId="76851258" w14:textId="3C983822" w:rsidR="00C02555" w:rsidRDefault="00B119FB" w:rsidP="00CF0294">
      <w:pPr>
        <w:pStyle w:val="NormalWeb"/>
        <w:spacing w:line="480" w:lineRule="auto"/>
        <w:ind w:firstLine="720"/>
      </w:pPr>
      <w:r>
        <w:t>The rapid proliferation of machine learning tools across scientific disciplines, driven by reduced computational requirements and their capacity to detect meaningful patterns in complex datasets, offers new opportunities for otolith-based analysis. Recent applications of machine learning to otolith classification problems have demonstrated superior performance compared to traditional approaches such as linear discriminant analysis. Simultaneously, researchers have begun recognizing the analytical power of incorporating complete otolith LA-ICPMS profiles rather than single-point extractions, using temporal patterns throughout the entire life history record to distinguish between populations. The integration of full otolith time series with advanced machine learning methods presents a promising avenue for uncovering population-specific patterns and enhancing classification accuracy when natal origin values alone prove insufficient for reliable provenance estimation.</w:t>
      </w:r>
      <w:r w:rsidR="00CF0294">
        <w:t xml:space="preserve"> </w:t>
      </w:r>
      <w:r w:rsidR="00CF0294">
        <w:t xml:space="preserve">Here, we demonstrate the capacity of machine </w:t>
      </w:r>
      <w:r w:rsidR="00CF0294">
        <w:lastRenderedPageBreak/>
        <w:t>learning approaches</w:t>
      </w:r>
      <w:r w:rsidR="00CF0294">
        <w:t xml:space="preserve"> </w:t>
      </w:r>
      <w:r w:rsidR="00CF0294">
        <w:t>including random forest classification and principal component analysis</w:t>
      </w:r>
      <w:r w:rsidR="00CF0294">
        <w:t xml:space="preserve"> </w:t>
      </w:r>
      <w:r w:rsidR="00CF0294">
        <w:t xml:space="preserve">to identify and exploit subtle patterns in complete otolith time series for classifying river of origin among Chinook salmon from Western Alaska. </w:t>
      </w:r>
      <w:r w:rsidR="00CF0294">
        <w:t xml:space="preserve">In doing so, we </w:t>
      </w:r>
      <w:r w:rsidR="00CF0294">
        <w:t xml:space="preserve">illustrate both the opportunities created by applying </w:t>
      </w:r>
      <w:r w:rsidR="00CF0294">
        <w:t xml:space="preserve">emerging data science tools </w:t>
      </w:r>
      <w:r w:rsidR="00CF0294">
        <w:t xml:space="preserve">to complex ecological datasets </w:t>
      </w:r>
      <w:r w:rsidR="00CF0294">
        <w:t xml:space="preserve">as well as the </w:t>
      </w:r>
      <w:r w:rsidR="00CF0294">
        <w:t xml:space="preserve">enhanced discriminatory power achieved by leveraging full otolith profiles rather than discrete natal origin </w:t>
      </w:r>
      <w:r w:rsidR="00CF0294">
        <w:t>values</w:t>
      </w:r>
      <w:r w:rsidR="00CF0294">
        <w:t>.</w:t>
      </w:r>
    </w:p>
    <w:p w14:paraId="688F3268" w14:textId="77777777" w:rsidR="00AA6FED" w:rsidRDefault="00AA6FED" w:rsidP="00AA6FED">
      <w:pPr>
        <w:pStyle w:val="NormalWeb"/>
        <w:rPr>
          <w:rFonts w:ascii="Garamond" w:hAnsi="Garamond"/>
          <w:sz w:val="22"/>
          <w:szCs w:val="22"/>
        </w:rPr>
      </w:pPr>
    </w:p>
    <w:p w14:paraId="23792A7B" w14:textId="77777777" w:rsidR="003A69C6" w:rsidRDefault="003A69C6" w:rsidP="008475B7">
      <w:pPr>
        <w:spacing w:line="480" w:lineRule="auto"/>
        <w:ind w:firstLine="720"/>
      </w:pPr>
    </w:p>
    <w:p w14:paraId="36EB19CD" w14:textId="4B14038B" w:rsidR="008475B7" w:rsidRDefault="008475B7" w:rsidP="00CF0294">
      <w:pPr>
        <w:spacing w:line="480" w:lineRule="auto"/>
        <w:rPr>
          <w:rFonts w:ascii="Garamond" w:hAnsi="Garamond"/>
          <w:sz w:val="22"/>
          <w:szCs w:val="22"/>
        </w:rPr>
      </w:pPr>
    </w:p>
    <w:p w14:paraId="260CA36D" w14:textId="77777777" w:rsidR="006D0CB1" w:rsidRDefault="006D0CB1" w:rsidP="006A5948">
      <w:pPr>
        <w:spacing w:line="480" w:lineRule="auto"/>
      </w:pPr>
    </w:p>
    <w:p w14:paraId="17B02DFF" w14:textId="77777777" w:rsidR="006D0CB1" w:rsidRPr="006D0CB1" w:rsidRDefault="006D0CB1" w:rsidP="006D0CB1">
      <w:pPr>
        <w:spacing w:line="480" w:lineRule="auto"/>
        <w:ind w:firstLine="720"/>
        <w:rPr>
          <w:rFonts w:ascii="Garamond" w:hAnsi="Garamond"/>
          <w:sz w:val="22"/>
          <w:szCs w:val="22"/>
        </w:rPr>
      </w:pPr>
    </w:p>
    <w:p w14:paraId="029BF8F6" w14:textId="444A005A" w:rsidR="00BD3BE0" w:rsidRDefault="00BD3BE0" w:rsidP="00071CCC">
      <w:pPr>
        <w:rPr>
          <w:rFonts w:ascii="Garamond" w:hAnsi="Garamond"/>
          <w:sz w:val="22"/>
          <w:szCs w:val="22"/>
        </w:rPr>
      </w:pPr>
      <w:r>
        <w:rPr>
          <w:rFonts w:ascii="Garamond" w:hAnsi="Garamond"/>
          <w:sz w:val="22"/>
          <w:szCs w:val="22"/>
        </w:rPr>
        <w:t xml:space="preserve">Introduce how otoliths have been used to assign provenance in the past, to estimate provenance of fish to the sub-basin scale from fish caught in test fisheries at the mouth of each tributary, presumed to have originated from and are returning to somewhere with that basin. At this spatial scale there is enough heterogeneity to reliably assign fish to the sub-basin scale, particularly when combined with genetics. </w:t>
      </w:r>
      <w:r w:rsidR="00135A3B">
        <w:rPr>
          <w:rFonts w:ascii="Garamond" w:hAnsi="Garamond"/>
          <w:sz w:val="22"/>
          <w:szCs w:val="22"/>
        </w:rPr>
        <w:t xml:space="preserve">This is accomplished by isolating the discrete value of the Sr8786 associated with the natal origin region of the fish. </w:t>
      </w:r>
    </w:p>
    <w:p w14:paraId="1AB92CA7" w14:textId="77777777" w:rsidR="00135A3B" w:rsidRDefault="00135A3B" w:rsidP="00071CCC">
      <w:pPr>
        <w:rPr>
          <w:rFonts w:ascii="Garamond" w:hAnsi="Garamond"/>
          <w:sz w:val="22"/>
          <w:szCs w:val="22"/>
        </w:rPr>
      </w:pPr>
    </w:p>
    <w:p w14:paraId="138387FB" w14:textId="05E52F08" w:rsidR="00BD3BE0" w:rsidRDefault="00BD3BE0" w:rsidP="00071CCC">
      <w:pPr>
        <w:rPr>
          <w:rFonts w:ascii="Garamond" w:hAnsi="Garamond"/>
          <w:sz w:val="22"/>
          <w:szCs w:val="22"/>
        </w:rPr>
      </w:pPr>
      <w:r>
        <w:rPr>
          <w:rFonts w:ascii="Garamond" w:hAnsi="Garamond"/>
          <w:sz w:val="22"/>
          <w:szCs w:val="22"/>
        </w:rPr>
        <w:t xml:space="preserve">However, at much broader spatial scales such as those encompassed by the potential natal origin of fish caught in the open ocean, there is far too much redundance in isotope ratios across all three basins. This </w:t>
      </w:r>
      <w:r w:rsidR="00135A3B">
        <w:rPr>
          <w:rFonts w:ascii="Garamond" w:hAnsi="Garamond"/>
          <w:sz w:val="22"/>
          <w:szCs w:val="22"/>
        </w:rPr>
        <w:t xml:space="preserve">means assignments are unreliable and cannot be used to assess impact among watersheds. </w:t>
      </w:r>
    </w:p>
    <w:p w14:paraId="4F45E26F" w14:textId="77777777" w:rsidR="00BD3BE0" w:rsidRDefault="00BD3BE0" w:rsidP="00071CCC">
      <w:pPr>
        <w:rPr>
          <w:rFonts w:ascii="Garamond" w:hAnsi="Garamond"/>
          <w:sz w:val="22"/>
          <w:szCs w:val="22"/>
        </w:rPr>
      </w:pPr>
    </w:p>
    <w:p w14:paraId="37CBB5E2"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 xml:space="preserve">Three major river systems—the Yukon, Kuskokwim, and </w:t>
      </w:r>
      <w:proofErr w:type="spellStart"/>
      <w:r w:rsidRPr="00D7690A">
        <w:rPr>
          <w:rFonts w:ascii="Times New Roman" w:eastAsia="Times New Roman" w:hAnsi="Times New Roman" w:cs="Times New Roman"/>
          <w:kern w:val="0"/>
          <w14:ligatures w14:val="none"/>
        </w:rPr>
        <w:t>Nushagak</w:t>
      </w:r>
      <w:proofErr w:type="spellEnd"/>
      <w:r w:rsidRPr="00D7690A">
        <w:rPr>
          <w:rFonts w:ascii="Times New Roman" w:eastAsia="Times New Roman" w:hAnsi="Times New Roman" w:cs="Times New Roman"/>
          <w:kern w:val="0"/>
          <w14:ligatures w14:val="none"/>
        </w:rPr>
        <w:t>—dominate Chinook salmon production in Western Alaska. Each basin supports a network of sub-basins and spawning habitats, contributing substantially to regional salmon abundance and diversity. Understanding how these individual watersheds are affected by marine-phase stressors is essential for developing targeted conservation strategies.</w:t>
      </w:r>
    </w:p>
    <w:p w14:paraId="1D0D6503"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 xml:space="preserve">To assess the provenance of Chinook salmon, researchers have historically relied on otolith geochemistry, particularly strontium isotope ratios (⁸⁷Sr/⁸⁶Sr), to assign fish to natal origins. In </w:t>
      </w:r>
      <w:r w:rsidRPr="00D7690A">
        <w:rPr>
          <w:rFonts w:ascii="Times New Roman" w:eastAsia="Times New Roman" w:hAnsi="Times New Roman" w:cs="Times New Roman"/>
          <w:kern w:val="0"/>
          <w14:ligatures w14:val="none"/>
        </w:rPr>
        <w:lastRenderedPageBreak/>
        <w:t>freshwater environments, otoliths can reliably distinguish among sub-basins due to the geochemical heterogeneity of the landscape. Fish caught in test fisheries at the mouths of major tributaries, for instance, can be assigned to specific upstream regions within a basin based on their otolith signatures. When paired with genetic data, these isotope-based approaches offer high resolution and accuracy at the sub-basin scale.</w:t>
      </w:r>
    </w:p>
    <w:p w14:paraId="25E8E9A0"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 xml:space="preserve">However, this approach becomes far less reliable at broader spatial scales. In the open ocean, where the natal origin of sampled fish could span across the Yukon, Kuskokwim, and </w:t>
      </w:r>
      <w:proofErr w:type="spellStart"/>
      <w:r w:rsidRPr="00D7690A">
        <w:rPr>
          <w:rFonts w:ascii="Times New Roman" w:eastAsia="Times New Roman" w:hAnsi="Times New Roman" w:cs="Times New Roman"/>
          <w:kern w:val="0"/>
          <w14:ligatures w14:val="none"/>
        </w:rPr>
        <w:t>Nushagak</w:t>
      </w:r>
      <w:proofErr w:type="spellEnd"/>
      <w:r w:rsidRPr="00D7690A">
        <w:rPr>
          <w:rFonts w:ascii="Times New Roman" w:eastAsia="Times New Roman" w:hAnsi="Times New Roman" w:cs="Times New Roman"/>
          <w:kern w:val="0"/>
          <w14:ligatures w14:val="none"/>
        </w:rPr>
        <w:t xml:space="preserve"> basins, there is considerable overlap in ⁸⁷Sr/⁸⁶Sr values. This redundancy makes it difficult to distinguish among river systems, limiting the ability to assess differential impacts of marine threats on specific stocks.</w:t>
      </w:r>
    </w:p>
    <w:p w14:paraId="18D5D187" w14:textId="77777777" w:rsidR="00D7690A" w:rsidRDefault="00D7690A"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71CCC"/>
    <w:rsid w:val="000941AF"/>
    <w:rsid w:val="00103E0E"/>
    <w:rsid w:val="00135A3B"/>
    <w:rsid w:val="001844EB"/>
    <w:rsid w:val="001D222B"/>
    <w:rsid w:val="001F7701"/>
    <w:rsid w:val="0032184B"/>
    <w:rsid w:val="00354445"/>
    <w:rsid w:val="003642FE"/>
    <w:rsid w:val="003A69C6"/>
    <w:rsid w:val="003B0A46"/>
    <w:rsid w:val="00406C9B"/>
    <w:rsid w:val="00435068"/>
    <w:rsid w:val="004472CA"/>
    <w:rsid w:val="00464971"/>
    <w:rsid w:val="00542302"/>
    <w:rsid w:val="00563F6D"/>
    <w:rsid w:val="005B3BF5"/>
    <w:rsid w:val="006A5948"/>
    <w:rsid w:val="006D0CB1"/>
    <w:rsid w:val="00780305"/>
    <w:rsid w:val="007803F1"/>
    <w:rsid w:val="008475B7"/>
    <w:rsid w:val="00882F20"/>
    <w:rsid w:val="008A53F5"/>
    <w:rsid w:val="008C6234"/>
    <w:rsid w:val="00907410"/>
    <w:rsid w:val="0092735E"/>
    <w:rsid w:val="0095522F"/>
    <w:rsid w:val="009D0CB2"/>
    <w:rsid w:val="00A0360F"/>
    <w:rsid w:val="00A4712A"/>
    <w:rsid w:val="00A60C7C"/>
    <w:rsid w:val="00AA6FED"/>
    <w:rsid w:val="00AB4F2C"/>
    <w:rsid w:val="00B119FB"/>
    <w:rsid w:val="00B30111"/>
    <w:rsid w:val="00B936A6"/>
    <w:rsid w:val="00BD3BE0"/>
    <w:rsid w:val="00C02555"/>
    <w:rsid w:val="00C9741A"/>
    <w:rsid w:val="00CF0294"/>
    <w:rsid w:val="00D7690A"/>
    <w:rsid w:val="00D86BCC"/>
    <w:rsid w:val="00D97F1C"/>
    <w:rsid w:val="00E06D65"/>
    <w:rsid w:val="00E454BB"/>
    <w:rsid w:val="00EE450C"/>
    <w:rsid w:val="00F75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Pages>
  <Words>1343</Words>
  <Characters>7661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10</cp:revision>
  <dcterms:created xsi:type="dcterms:W3CDTF">2025-05-19T03:17:00Z</dcterms:created>
  <dcterms:modified xsi:type="dcterms:W3CDTF">2025-06-11T17:29:00Z</dcterms:modified>
</cp:coreProperties>
</file>