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079B8" w14:textId="6A03DAB5" w:rsidR="00071CCC" w:rsidRPr="00103E0E" w:rsidRDefault="00071CCC" w:rsidP="00BD3BE0">
      <w:pPr>
        <w:jc w:val="center"/>
        <w:rPr>
          <w:b/>
          <w:bCs/>
        </w:rPr>
      </w:pPr>
      <w:r w:rsidRPr="00103E0E">
        <w:rPr>
          <w:b/>
          <w:bCs/>
        </w:rPr>
        <w:t xml:space="preserve">Machine learning applied to otolith timeseries data to discriminate river of origin </w:t>
      </w:r>
      <w:r w:rsidR="00103E0E" w:rsidRPr="00103E0E">
        <w:rPr>
          <w:b/>
          <w:bCs/>
        </w:rPr>
        <w:t xml:space="preserve">for </w:t>
      </w:r>
      <w:r w:rsidRPr="00103E0E">
        <w:rPr>
          <w:b/>
          <w:bCs/>
        </w:rPr>
        <w:t>Western Alaska</w:t>
      </w:r>
      <w:r w:rsidR="00103E0E" w:rsidRPr="00103E0E">
        <w:rPr>
          <w:b/>
          <w:bCs/>
        </w:rPr>
        <w:t xml:space="preserve"> Salmon</w:t>
      </w:r>
      <w:r w:rsidRPr="00103E0E">
        <w:rPr>
          <w:b/>
          <w:bCs/>
        </w:rPr>
        <w:t>.</w:t>
      </w:r>
    </w:p>
    <w:p w14:paraId="058C4C19" w14:textId="77777777" w:rsidR="00103E0E" w:rsidRDefault="00103E0E" w:rsidP="00103E0E">
      <w:pPr>
        <w:jc w:val="center"/>
        <w:rPr>
          <w:sz w:val="21"/>
          <w:szCs w:val="21"/>
        </w:rPr>
      </w:pPr>
    </w:p>
    <w:p w14:paraId="30354CB7" w14:textId="0769EBEB" w:rsidR="00F75B08" w:rsidRPr="00103E0E" w:rsidRDefault="00071CCC" w:rsidP="00103E0E">
      <w:pPr>
        <w:jc w:val="center"/>
        <w:rPr>
          <w:sz w:val="21"/>
          <w:szCs w:val="21"/>
        </w:rPr>
      </w:pPr>
      <w:r w:rsidRPr="00103E0E">
        <w:rPr>
          <w:sz w:val="21"/>
          <w:szCs w:val="21"/>
        </w:rPr>
        <w:t xml:space="preserve">Ben Makhlouf, Daniel Schindler, Valentina </w:t>
      </w:r>
      <w:proofErr w:type="spellStart"/>
      <w:r w:rsidRPr="00103E0E">
        <w:rPr>
          <w:sz w:val="21"/>
          <w:szCs w:val="21"/>
        </w:rPr>
        <w:t>Staneva</w:t>
      </w:r>
      <w:proofErr w:type="spellEnd"/>
      <w:r w:rsidRPr="00103E0E">
        <w:rPr>
          <w:sz w:val="21"/>
          <w:szCs w:val="21"/>
        </w:rPr>
        <w:t xml:space="preserve"> </w:t>
      </w:r>
    </w:p>
    <w:p w14:paraId="25AE70DC" w14:textId="77777777" w:rsidR="00103E0E" w:rsidRDefault="00103E0E" w:rsidP="00F75B08">
      <w:pPr>
        <w:ind w:firstLine="720"/>
      </w:pPr>
    </w:p>
    <w:p w14:paraId="39E4BC91" w14:textId="5F1F8197" w:rsidR="00A60C7C" w:rsidRPr="00A60C7C" w:rsidRDefault="00A60C7C" w:rsidP="00AB4F2C">
      <w:pPr>
        <w:spacing w:line="480" w:lineRule="auto"/>
        <w:ind w:firstLine="720"/>
        <w:rPr>
          <w:rFonts w:ascii="Garamond" w:hAnsi="Garamond"/>
          <w:sz w:val="22"/>
          <w:szCs w:val="22"/>
        </w:rPr>
      </w:pPr>
      <w:r w:rsidRPr="00A60C7C">
        <w:rPr>
          <w:rFonts w:ascii="Garamond" w:hAnsi="Garamond"/>
          <w:sz w:val="22"/>
          <w:szCs w:val="22"/>
        </w:rPr>
        <w:t xml:space="preserve">Amid ongoing declines in Chinook and Chum salmon stocks across Western Alaska, there is an urgent need to identify the mechanisms driving population collapses in the region’s three major salmon-bearing watersheds. Several hypotheses have been proposed to explain these declines, including marine-based stressors such as interspecies competition and incidental bycatch in federal trawl fisheries. In response, research efforts </w:t>
      </w:r>
      <w:r w:rsidR="008475B7">
        <w:rPr>
          <w:rFonts w:ascii="Garamond" w:hAnsi="Garamond"/>
          <w:sz w:val="22"/>
          <w:szCs w:val="22"/>
        </w:rPr>
        <w:t xml:space="preserve">have </w:t>
      </w:r>
      <w:r w:rsidRPr="00A60C7C">
        <w:rPr>
          <w:rFonts w:ascii="Garamond" w:hAnsi="Garamond"/>
          <w:sz w:val="22"/>
          <w:szCs w:val="22"/>
        </w:rPr>
        <w:t>intensified in recent years to explore the potential impact of these stressors on overall population health. However, a critical gap remains in understanding the spatially explicit impacts of ocean mortality across the</w:t>
      </w:r>
      <w:r w:rsidR="008475B7">
        <w:rPr>
          <w:rFonts w:ascii="Garamond" w:hAnsi="Garamond"/>
          <w:sz w:val="22"/>
          <w:szCs w:val="22"/>
        </w:rPr>
        <w:t xml:space="preserve"> region</w:t>
      </w:r>
      <w:r w:rsidRPr="00A60C7C">
        <w:rPr>
          <w:rFonts w:ascii="Garamond" w:hAnsi="Garamond"/>
          <w:sz w:val="22"/>
          <w:szCs w:val="22"/>
        </w:rPr>
        <w:t>. For example, aggregate bycatch estimates alone cannot determine the watershed-specific consequences of mortality events or whether intercepted fish would have contributed to rebuilding vulnerable stocks or healthier, more resilient populations. As such, significant gaps remain in our ability to link hypotheses of ocean mortality to stock-specific performance and to assess the resulting impacts on upstream communities across all three basins.</w:t>
      </w:r>
    </w:p>
    <w:p w14:paraId="1BD719E4" w14:textId="77777777" w:rsidR="007803F1" w:rsidRDefault="006D0CB1" w:rsidP="007803F1">
      <w:pPr>
        <w:spacing w:line="480" w:lineRule="auto"/>
        <w:ind w:firstLine="720"/>
      </w:pPr>
      <w:r w:rsidRPr="00EE450C">
        <w:rPr>
          <w:rFonts w:ascii="Garamond" w:hAnsi="Garamond"/>
          <w:sz w:val="22"/>
          <w:szCs w:val="22"/>
        </w:rPr>
        <w:t xml:space="preserve">In systems where genetic structure is relatively weak compared to the extent of available habitat, as is the case for Chinook salmon in Western Alaska, otolith chemistry has emerged as a promising alternative for estimating natal origin at tributary or sub-basin scales. </w:t>
      </w:r>
      <w:r w:rsidR="00EE450C" w:rsidRPr="007803F1">
        <w:rPr>
          <w:rFonts w:ascii="Garamond" w:hAnsi="Garamond"/>
          <w:sz w:val="22"/>
          <w:szCs w:val="22"/>
        </w:rPr>
        <w:t xml:space="preserve">As a fish grows, a suite of isotopic and elemental signals is recorded in the metabolically inert structure of the otolith, forming a chronological archive of the environmental and life-history conditions it experiences. These records can be analyzed using Laser Ablation Mass Spectrometry (LA-MS) to generate time series of isotopic or elemental values for individual fish. </w:t>
      </w:r>
    </w:p>
    <w:p w14:paraId="2D4DB1D7" w14:textId="0A108040" w:rsidR="001D222B" w:rsidRDefault="007803F1" w:rsidP="007803F1">
      <w:pPr>
        <w:spacing w:line="480" w:lineRule="auto"/>
        <w:ind w:firstLine="720"/>
        <w:rPr>
          <w:sz w:val="22"/>
          <w:szCs w:val="22"/>
        </w:rPr>
      </w:pPr>
      <w:r w:rsidRPr="007803F1">
        <w:rPr>
          <w:rFonts w:ascii="Garamond" w:eastAsia="Times New Roman" w:hAnsi="Garamond" w:cs="Times New Roman"/>
          <w:kern w:val="0"/>
          <w:sz w:val="22"/>
          <w:szCs w:val="22"/>
          <w14:ligatures w14:val="none"/>
        </w:rPr>
        <w:t>One of the most informative of these tracers is the strontium isotope ratio (</w:t>
      </w:r>
      <w:r w:rsidRPr="007803F1">
        <w:rPr>
          <w:rFonts w:ascii="Cambria Math" w:eastAsia="Times New Roman" w:hAnsi="Cambria Math" w:cs="Cambria Math"/>
          <w:kern w:val="0"/>
          <w:sz w:val="22"/>
          <w:szCs w:val="22"/>
          <w14:ligatures w14:val="none"/>
        </w:rPr>
        <w:t>⁸⁷</w:t>
      </w:r>
      <w:r w:rsidRPr="007803F1">
        <w:rPr>
          <w:rFonts w:ascii="Garamond" w:eastAsia="Times New Roman" w:hAnsi="Garamond" w:cs="Times New Roman"/>
          <w:kern w:val="0"/>
          <w:sz w:val="22"/>
          <w:szCs w:val="22"/>
          <w14:ligatures w14:val="none"/>
        </w:rPr>
        <w:t>Sr/</w:t>
      </w:r>
      <w:r w:rsidRPr="007803F1">
        <w:rPr>
          <w:rFonts w:ascii="Cambria Math" w:eastAsia="Times New Roman" w:hAnsi="Cambria Math" w:cs="Cambria Math"/>
          <w:kern w:val="0"/>
          <w:sz w:val="22"/>
          <w:szCs w:val="22"/>
          <w14:ligatures w14:val="none"/>
        </w:rPr>
        <w:t>⁸⁶</w:t>
      </w:r>
      <w:r w:rsidRPr="007803F1">
        <w:rPr>
          <w:rFonts w:ascii="Garamond" w:eastAsia="Times New Roman" w:hAnsi="Garamond" w:cs="Times New Roman"/>
          <w:kern w:val="0"/>
          <w:sz w:val="22"/>
          <w:szCs w:val="22"/>
          <w14:ligatures w14:val="none"/>
        </w:rPr>
        <w:t xml:space="preserve">Sr), which reflects underlying geology and can serve as a natural geochemical tag in geologically diverse regions. In Western Alaska, the Yukon, Kuskokwim, and </w:t>
      </w:r>
      <w:proofErr w:type="spellStart"/>
      <w:r w:rsidRPr="007803F1">
        <w:rPr>
          <w:rFonts w:ascii="Garamond" w:eastAsia="Times New Roman" w:hAnsi="Garamond" w:cs="Times New Roman"/>
          <w:kern w:val="0"/>
          <w:sz w:val="22"/>
          <w:szCs w:val="22"/>
          <w14:ligatures w14:val="none"/>
        </w:rPr>
        <w:t>Nushagak</w:t>
      </w:r>
      <w:proofErr w:type="spellEnd"/>
      <w:r w:rsidRPr="007803F1">
        <w:rPr>
          <w:rFonts w:ascii="Garamond" w:eastAsia="Times New Roman" w:hAnsi="Garamond" w:cs="Times New Roman"/>
          <w:kern w:val="0"/>
          <w:sz w:val="22"/>
          <w:szCs w:val="22"/>
          <w14:ligatures w14:val="none"/>
        </w:rPr>
        <w:t xml:space="preserve"> river basins each contain a geologically driven, heterogeneous distribution of strontium isotopes. This variation has been leveraged to estimate natal origin for Chinook and </w:t>
      </w:r>
      <w:r w:rsidRPr="007803F1">
        <w:rPr>
          <w:rFonts w:ascii="Garamond" w:eastAsia="Times New Roman" w:hAnsi="Garamond" w:cs="Times New Roman"/>
          <w:kern w:val="0"/>
          <w:sz w:val="22"/>
          <w:szCs w:val="22"/>
          <w14:ligatures w14:val="none"/>
        </w:rPr>
        <w:lastRenderedPageBreak/>
        <w:t>Sockeye salmon captured in downstream mixed-stock fisheries, where individuals are presumed to have originated from upstream tributaries.</w:t>
      </w:r>
      <w:r>
        <w:t xml:space="preserve"> </w:t>
      </w:r>
      <w:r w:rsidR="00542302" w:rsidRPr="003A69C6">
        <w:rPr>
          <w:rFonts w:ascii="Garamond" w:hAnsi="Garamond"/>
          <w:sz w:val="22"/>
          <w:szCs w:val="22"/>
        </w:rPr>
        <w:t xml:space="preserve">To make such assignments, the full </w:t>
      </w:r>
      <w:r w:rsidR="00542302" w:rsidRPr="003A69C6">
        <w:rPr>
          <w:rFonts w:ascii="Cambria Math" w:hAnsi="Cambria Math" w:cs="Cambria Math"/>
          <w:sz w:val="22"/>
          <w:szCs w:val="22"/>
        </w:rPr>
        <w:t>⁸⁷</w:t>
      </w:r>
      <w:r w:rsidR="00542302" w:rsidRPr="003A69C6">
        <w:rPr>
          <w:rFonts w:ascii="Garamond" w:hAnsi="Garamond"/>
          <w:sz w:val="22"/>
          <w:szCs w:val="22"/>
        </w:rPr>
        <w:t>Sr/</w:t>
      </w:r>
      <w:r w:rsidR="00542302" w:rsidRPr="003A69C6">
        <w:rPr>
          <w:rFonts w:ascii="Cambria Math" w:hAnsi="Cambria Math" w:cs="Cambria Math"/>
          <w:sz w:val="22"/>
          <w:szCs w:val="22"/>
        </w:rPr>
        <w:t>⁸⁶</w:t>
      </w:r>
      <w:r w:rsidR="00542302" w:rsidRPr="003A69C6">
        <w:rPr>
          <w:rFonts w:ascii="Garamond" w:hAnsi="Garamond"/>
          <w:sz w:val="22"/>
          <w:szCs w:val="22"/>
        </w:rPr>
        <w:t xml:space="preserve">Sr time series is often reduced to a single discrete value representing the natal rearing stage. This value can then be compared to modeled or measured spatial distributions of </w:t>
      </w:r>
      <w:r w:rsidR="00542302" w:rsidRPr="003A69C6">
        <w:rPr>
          <w:rFonts w:ascii="Cambria Math" w:hAnsi="Cambria Math" w:cs="Cambria Math"/>
          <w:sz w:val="22"/>
          <w:szCs w:val="22"/>
        </w:rPr>
        <w:t>⁸⁷</w:t>
      </w:r>
      <w:r w:rsidR="00542302" w:rsidRPr="003A69C6">
        <w:rPr>
          <w:rFonts w:ascii="Garamond" w:hAnsi="Garamond"/>
          <w:sz w:val="22"/>
          <w:szCs w:val="22"/>
        </w:rPr>
        <w:t>Sr/</w:t>
      </w:r>
      <w:r w:rsidR="00542302" w:rsidRPr="003A69C6">
        <w:rPr>
          <w:rFonts w:ascii="Cambria Math" w:hAnsi="Cambria Math" w:cs="Cambria Math"/>
          <w:sz w:val="22"/>
          <w:szCs w:val="22"/>
        </w:rPr>
        <w:t>⁸⁶</w:t>
      </w:r>
      <w:r w:rsidR="00542302" w:rsidRPr="003A69C6">
        <w:rPr>
          <w:rFonts w:ascii="Garamond" w:hAnsi="Garamond"/>
          <w:sz w:val="22"/>
          <w:szCs w:val="22"/>
        </w:rPr>
        <w:t xml:space="preserve">Sr—known as </w:t>
      </w:r>
      <w:proofErr w:type="spellStart"/>
      <w:r w:rsidR="00542302" w:rsidRPr="003A69C6">
        <w:rPr>
          <w:rFonts w:ascii="Garamond" w:hAnsi="Garamond"/>
          <w:sz w:val="22"/>
          <w:szCs w:val="22"/>
        </w:rPr>
        <w:t>isoscapes</w:t>
      </w:r>
      <w:proofErr w:type="spellEnd"/>
      <w:r w:rsidR="00542302" w:rsidRPr="003A69C6">
        <w:rPr>
          <w:rFonts w:ascii="Garamond" w:hAnsi="Garamond"/>
          <w:sz w:val="22"/>
          <w:szCs w:val="22"/>
        </w:rPr>
        <w:t xml:space="preserve">—to estimate geographic origin. However, this approach is only effective when isotopic heterogeneity across the landscape is sufficiently high </w:t>
      </w:r>
      <w:r w:rsidR="00542302" w:rsidRPr="003A69C6">
        <w:rPr>
          <w:rFonts w:ascii="Garamond" w:hAnsi="Garamond"/>
          <w:sz w:val="22"/>
          <w:szCs w:val="22"/>
        </w:rPr>
        <w:t xml:space="preserve">relative to </w:t>
      </w:r>
      <w:r w:rsidR="001D222B" w:rsidRPr="003A69C6">
        <w:rPr>
          <w:rFonts w:ascii="Garamond" w:hAnsi="Garamond"/>
          <w:sz w:val="22"/>
          <w:szCs w:val="22"/>
        </w:rPr>
        <w:t>the spatial scale of the application.</w:t>
      </w:r>
      <w:r w:rsidR="001D222B">
        <w:rPr>
          <w:sz w:val="22"/>
          <w:szCs w:val="22"/>
        </w:rPr>
        <w:t xml:space="preserve"> </w:t>
      </w:r>
    </w:p>
    <w:p w14:paraId="054213D6" w14:textId="23775310" w:rsidR="007803F1" w:rsidRDefault="001D222B" w:rsidP="0095522F">
      <w:pPr>
        <w:spacing w:before="100" w:beforeAutospacing="1" w:after="100" w:afterAutospacing="1" w:line="480" w:lineRule="auto"/>
        <w:ind w:firstLine="720"/>
        <w:rPr>
          <w:rFonts w:ascii="Garamond" w:hAnsi="Garamond"/>
        </w:rPr>
      </w:pPr>
      <w:r w:rsidRPr="003A69C6">
        <w:rPr>
          <w:rFonts w:ascii="Garamond" w:hAnsi="Garamond"/>
        </w:rPr>
        <w:t xml:space="preserve">In Western Alaska, within-watershed heterogeneity is typically sufficient to estimate provenance at the tributary or sub-basin scale when the watershed of origin is known, as in the case of fish captured in downstream mixed-stock fisheries near the river's terminus. However, estimating the origin of fish caught in marine fisheries requires considering potential natal habitats across all three major watersheds. At this broader spatial scale, many </w:t>
      </w:r>
      <w:r w:rsidRPr="003A69C6">
        <w:rPr>
          <w:rFonts w:ascii="Cambria Math" w:hAnsi="Cambria Math" w:cs="Cambria Math"/>
        </w:rPr>
        <w:t>⁸⁷</w:t>
      </w:r>
      <w:r w:rsidRPr="003A69C6">
        <w:rPr>
          <w:rFonts w:ascii="Garamond" w:hAnsi="Garamond"/>
        </w:rPr>
        <w:t>Sr/</w:t>
      </w:r>
      <w:r w:rsidRPr="003A69C6">
        <w:rPr>
          <w:rFonts w:ascii="Cambria Math" w:hAnsi="Cambria Math" w:cs="Cambria Math"/>
        </w:rPr>
        <w:t>⁸⁶</w:t>
      </w:r>
      <w:r w:rsidRPr="003A69C6">
        <w:rPr>
          <w:rFonts w:ascii="Garamond" w:hAnsi="Garamond"/>
        </w:rPr>
        <w:t xml:space="preserve">Sr values are not unique, and </w:t>
      </w:r>
      <w:r w:rsidRPr="003A69C6">
        <w:rPr>
          <w:rFonts w:ascii="Garamond" w:hAnsi="Garamond"/>
        </w:rPr>
        <w:t xml:space="preserve">many isotopic ratios </w:t>
      </w:r>
      <w:r w:rsidRPr="003A69C6">
        <w:rPr>
          <w:rFonts w:ascii="Garamond" w:hAnsi="Garamond"/>
        </w:rPr>
        <w:t xml:space="preserve">occur across </w:t>
      </w:r>
      <w:r w:rsidRPr="003A69C6">
        <w:rPr>
          <w:rFonts w:ascii="Garamond" w:hAnsi="Garamond"/>
        </w:rPr>
        <w:t xml:space="preserve">in several locations, including in multiple river basins. </w:t>
      </w:r>
      <w:r w:rsidRPr="003A69C6">
        <w:rPr>
          <w:rFonts w:ascii="Garamond" w:hAnsi="Garamond"/>
        </w:rPr>
        <w:t xml:space="preserve">This redundancy reduces the precision of provenance estimates and limits the ability to reliably distinguish </w:t>
      </w:r>
      <w:r w:rsidRPr="003A69C6">
        <w:rPr>
          <w:rFonts w:ascii="Garamond" w:hAnsi="Garamond"/>
        </w:rPr>
        <w:t xml:space="preserve">provenance </w:t>
      </w:r>
      <w:r w:rsidR="003A69C6" w:rsidRPr="003A69C6">
        <w:rPr>
          <w:rFonts w:ascii="Garamond" w:hAnsi="Garamond"/>
        </w:rPr>
        <w:t xml:space="preserve">among watersheds. </w:t>
      </w:r>
    </w:p>
    <w:p w14:paraId="247382AF" w14:textId="3DC80E8F" w:rsidR="003A69C6" w:rsidRPr="003A69C6" w:rsidRDefault="003A69C6" w:rsidP="008475B7">
      <w:pPr>
        <w:spacing w:line="480" w:lineRule="auto"/>
        <w:ind w:firstLine="720"/>
        <w:rPr>
          <w:sz w:val="22"/>
          <w:szCs w:val="22"/>
        </w:rPr>
      </w:pPr>
      <w:r w:rsidRPr="003A69C6">
        <w:rPr>
          <w:sz w:val="22"/>
          <w:szCs w:val="22"/>
        </w:rPr>
        <w:t>Otolith isotope values are continuously integrated into the otolith structure over the lifetime of the individual. As a result, time series of ⁸⁷Sr/⁸⁶Sr contain valuable information beyond the natal origin signature, including migration pathways, duration of residence in different environments, and even influences from the maternal return migration</w:t>
      </w:r>
      <w:r w:rsidRPr="003A69C6">
        <w:rPr>
          <w:sz w:val="22"/>
          <w:szCs w:val="22"/>
        </w:rPr>
        <w:t xml:space="preserve">. </w:t>
      </w:r>
    </w:p>
    <w:p w14:paraId="23792A7B" w14:textId="77777777" w:rsidR="003A69C6" w:rsidRDefault="003A69C6" w:rsidP="008475B7">
      <w:pPr>
        <w:spacing w:line="480" w:lineRule="auto"/>
        <w:ind w:firstLine="720"/>
      </w:pPr>
    </w:p>
    <w:p w14:paraId="6EA4D32A" w14:textId="7E6929E5" w:rsidR="008475B7" w:rsidRDefault="008475B7" w:rsidP="008475B7">
      <w:pPr>
        <w:spacing w:line="480" w:lineRule="auto"/>
        <w:ind w:firstLine="720"/>
        <w:rPr>
          <w:rFonts w:ascii="Garamond" w:hAnsi="Garamond"/>
          <w:sz w:val="22"/>
          <w:szCs w:val="22"/>
        </w:rPr>
      </w:pPr>
      <w:r>
        <w:rPr>
          <w:rFonts w:ascii="Garamond" w:hAnsi="Garamond"/>
          <w:sz w:val="22"/>
          <w:szCs w:val="22"/>
        </w:rPr>
        <w:t xml:space="preserve">There’s a lot of data missed </w:t>
      </w:r>
    </w:p>
    <w:p w14:paraId="4518229A" w14:textId="2AD59B81" w:rsidR="008475B7" w:rsidRDefault="008475B7" w:rsidP="008475B7">
      <w:pPr>
        <w:spacing w:line="480" w:lineRule="auto"/>
        <w:ind w:firstLine="720"/>
        <w:rPr>
          <w:rFonts w:ascii="Garamond" w:hAnsi="Garamond"/>
          <w:sz w:val="22"/>
          <w:szCs w:val="22"/>
        </w:rPr>
      </w:pPr>
      <w:r>
        <w:rPr>
          <w:rFonts w:ascii="Garamond" w:hAnsi="Garamond"/>
          <w:sz w:val="22"/>
          <w:szCs w:val="22"/>
        </w:rPr>
        <w:t xml:space="preserve">Although there are redundancies in </w:t>
      </w:r>
    </w:p>
    <w:p w14:paraId="36B6F826" w14:textId="5B826952" w:rsidR="008475B7" w:rsidRDefault="008475B7" w:rsidP="008475B7">
      <w:pPr>
        <w:spacing w:line="480" w:lineRule="auto"/>
        <w:ind w:firstLine="720"/>
        <w:rPr>
          <w:rFonts w:ascii="Garamond" w:hAnsi="Garamond"/>
          <w:sz w:val="22"/>
          <w:szCs w:val="22"/>
        </w:rPr>
      </w:pPr>
      <w:r>
        <w:rPr>
          <w:rFonts w:ascii="Garamond" w:hAnsi="Garamond"/>
          <w:sz w:val="22"/>
          <w:szCs w:val="22"/>
        </w:rPr>
        <w:t xml:space="preserve">Other people are starting to think about the full timeseries </w:t>
      </w:r>
    </w:p>
    <w:p w14:paraId="2A72AB59" w14:textId="32D4E3D0" w:rsidR="008475B7" w:rsidRDefault="008475B7" w:rsidP="008475B7">
      <w:pPr>
        <w:spacing w:line="480" w:lineRule="auto"/>
        <w:ind w:firstLine="720"/>
        <w:rPr>
          <w:rFonts w:ascii="Garamond" w:hAnsi="Garamond"/>
          <w:sz w:val="22"/>
          <w:szCs w:val="22"/>
        </w:rPr>
      </w:pPr>
      <w:r>
        <w:rPr>
          <w:rFonts w:ascii="Garamond" w:hAnsi="Garamond"/>
          <w:sz w:val="22"/>
          <w:szCs w:val="22"/>
        </w:rPr>
        <w:lastRenderedPageBreak/>
        <w:t xml:space="preserve">Otolith data in large watersheds may contain any number of potential state combinations, but there may be nearly indistinguishable changes that records watershed specific life history characteristics </w:t>
      </w:r>
    </w:p>
    <w:p w14:paraId="739298BA" w14:textId="5A442C61" w:rsidR="008475B7" w:rsidRDefault="008475B7" w:rsidP="008475B7">
      <w:pPr>
        <w:spacing w:line="480" w:lineRule="auto"/>
        <w:ind w:firstLine="720"/>
        <w:rPr>
          <w:rFonts w:ascii="Garamond" w:hAnsi="Garamond"/>
          <w:sz w:val="22"/>
          <w:szCs w:val="22"/>
        </w:rPr>
      </w:pPr>
      <w:r>
        <w:rPr>
          <w:rFonts w:ascii="Garamond" w:hAnsi="Garamond"/>
          <w:sz w:val="22"/>
          <w:szCs w:val="22"/>
        </w:rPr>
        <w:t xml:space="preserve">There is also a movement towards more rigorous machine learning and data science tools alongside ecological data. </w:t>
      </w:r>
    </w:p>
    <w:p w14:paraId="0EAE5D4F" w14:textId="49A59332" w:rsidR="008475B7" w:rsidRDefault="008475B7" w:rsidP="008475B7">
      <w:pPr>
        <w:spacing w:line="480" w:lineRule="auto"/>
        <w:ind w:firstLine="720"/>
        <w:rPr>
          <w:rFonts w:ascii="Garamond" w:hAnsi="Garamond"/>
          <w:sz w:val="22"/>
          <w:szCs w:val="22"/>
        </w:rPr>
      </w:pPr>
      <w:r>
        <w:rPr>
          <w:rFonts w:ascii="Garamond" w:hAnsi="Garamond"/>
          <w:sz w:val="22"/>
          <w:szCs w:val="22"/>
        </w:rPr>
        <w:t xml:space="preserve">In otoliths, this is just now beginning to be explored. </w:t>
      </w:r>
    </w:p>
    <w:p w14:paraId="36EB19CD" w14:textId="77777777" w:rsidR="008475B7" w:rsidRDefault="008475B7" w:rsidP="008475B7">
      <w:pPr>
        <w:spacing w:line="480" w:lineRule="auto"/>
        <w:ind w:firstLine="720"/>
        <w:rPr>
          <w:rFonts w:ascii="Garamond" w:hAnsi="Garamond"/>
          <w:sz w:val="22"/>
          <w:szCs w:val="22"/>
        </w:rPr>
      </w:pPr>
    </w:p>
    <w:p w14:paraId="260CA36D" w14:textId="77777777" w:rsidR="006D0CB1" w:rsidRDefault="006D0CB1" w:rsidP="006A5948">
      <w:pPr>
        <w:spacing w:line="480" w:lineRule="auto"/>
      </w:pPr>
    </w:p>
    <w:p w14:paraId="17B02DFF" w14:textId="77777777" w:rsidR="006D0CB1" w:rsidRPr="006D0CB1" w:rsidRDefault="006D0CB1" w:rsidP="006D0CB1">
      <w:pPr>
        <w:spacing w:line="480" w:lineRule="auto"/>
        <w:ind w:firstLine="720"/>
        <w:rPr>
          <w:rFonts w:ascii="Garamond" w:hAnsi="Garamond"/>
          <w:sz w:val="22"/>
          <w:szCs w:val="22"/>
        </w:rPr>
      </w:pPr>
    </w:p>
    <w:p w14:paraId="029BF8F6" w14:textId="444A005A" w:rsidR="00BD3BE0" w:rsidRDefault="00BD3BE0" w:rsidP="00071CCC">
      <w:pPr>
        <w:rPr>
          <w:rFonts w:ascii="Garamond" w:hAnsi="Garamond"/>
          <w:sz w:val="22"/>
          <w:szCs w:val="22"/>
        </w:rPr>
      </w:pPr>
      <w:r>
        <w:rPr>
          <w:rFonts w:ascii="Garamond" w:hAnsi="Garamond"/>
          <w:sz w:val="22"/>
          <w:szCs w:val="22"/>
        </w:rPr>
        <w:t xml:space="preserve">Introduce how otoliths have been used to assign provenance in the past, to estimate provenance of fish to the sub-basin scale from fish caught in test fisheries at the mouth of each tributary, presumed to have originated from and are returning to somewhere with that basin. At this spatial scale there is enough heterogeneity to reliably assign fish to the sub-basin scale, particularly when combined with genetics. </w:t>
      </w:r>
      <w:r w:rsidR="00135A3B">
        <w:rPr>
          <w:rFonts w:ascii="Garamond" w:hAnsi="Garamond"/>
          <w:sz w:val="22"/>
          <w:szCs w:val="22"/>
        </w:rPr>
        <w:t xml:space="preserve">This is accomplished by isolating the discrete value of the Sr8786 associated with the natal origin region of the fish. </w:t>
      </w:r>
    </w:p>
    <w:p w14:paraId="1AB92CA7" w14:textId="77777777" w:rsidR="00135A3B" w:rsidRDefault="00135A3B" w:rsidP="00071CCC">
      <w:pPr>
        <w:rPr>
          <w:rFonts w:ascii="Garamond" w:hAnsi="Garamond"/>
          <w:sz w:val="22"/>
          <w:szCs w:val="22"/>
        </w:rPr>
      </w:pPr>
    </w:p>
    <w:p w14:paraId="138387FB" w14:textId="05E52F08" w:rsidR="00BD3BE0" w:rsidRDefault="00BD3BE0" w:rsidP="00071CCC">
      <w:pPr>
        <w:rPr>
          <w:rFonts w:ascii="Garamond" w:hAnsi="Garamond"/>
          <w:sz w:val="22"/>
          <w:szCs w:val="22"/>
        </w:rPr>
      </w:pPr>
      <w:r>
        <w:rPr>
          <w:rFonts w:ascii="Garamond" w:hAnsi="Garamond"/>
          <w:sz w:val="22"/>
          <w:szCs w:val="22"/>
        </w:rPr>
        <w:t xml:space="preserve">However, at much broader spatial scales such as those encompassed by the potential natal origin of fish caught in the open ocean, there is far too much redundance in isotope ratios across all three basins. This </w:t>
      </w:r>
      <w:r w:rsidR="00135A3B">
        <w:rPr>
          <w:rFonts w:ascii="Garamond" w:hAnsi="Garamond"/>
          <w:sz w:val="22"/>
          <w:szCs w:val="22"/>
        </w:rPr>
        <w:t xml:space="preserve">means assignments are unreliable and cannot be used to assess impact among watersheds. </w:t>
      </w:r>
    </w:p>
    <w:p w14:paraId="4F45E26F" w14:textId="77777777" w:rsidR="00BD3BE0" w:rsidRDefault="00BD3BE0" w:rsidP="00071CCC">
      <w:pPr>
        <w:rPr>
          <w:rFonts w:ascii="Garamond" w:hAnsi="Garamond"/>
          <w:sz w:val="22"/>
          <w:szCs w:val="22"/>
        </w:rPr>
      </w:pPr>
    </w:p>
    <w:p w14:paraId="37CBB5E2" w14:textId="77777777" w:rsidR="00D7690A" w:rsidRPr="00D7690A" w:rsidRDefault="00D7690A" w:rsidP="00D7690A">
      <w:pPr>
        <w:spacing w:before="100" w:beforeAutospacing="1" w:after="100" w:afterAutospacing="1" w:line="240" w:lineRule="auto"/>
        <w:rPr>
          <w:rFonts w:ascii="Times New Roman" w:eastAsia="Times New Roman" w:hAnsi="Times New Roman" w:cs="Times New Roman"/>
          <w:kern w:val="0"/>
          <w14:ligatures w14:val="none"/>
        </w:rPr>
      </w:pPr>
      <w:r w:rsidRPr="00D7690A">
        <w:rPr>
          <w:rFonts w:ascii="Times New Roman" w:eastAsia="Times New Roman" w:hAnsi="Times New Roman" w:cs="Times New Roman"/>
          <w:kern w:val="0"/>
          <w14:ligatures w14:val="none"/>
        </w:rPr>
        <w:t xml:space="preserve">Three major river systems—the Yukon, Kuskokwim, and </w:t>
      </w:r>
      <w:proofErr w:type="spellStart"/>
      <w:r w:rsidRPr="00D7690A">
        <w:rPr>
          <w:rFonts w:ascii="Times New Roman" w:eastAsia="Times New Roman" w:hAnsi="Times New Roman" w:cs="Times New Roman"/>
          <w:kern w:val="0"/>
          <w14:ligatures w14:val="none"/>
        </w:rPr>
        <w:t>Nushagak</w:t>
      </w:r>
      <w:proofErr w:type="spellEnd"/>
      <w:r w:rsidRPr="00D7690A">
        <w:rPr>
          <w:rFonts w:ascii="Times New Roman" w:eastAsia="Times New Roman" w:hAnsi="Times New Roman" w:cs="Times New Roman"/>
          <w:kern w:val="0"/>
          <w14:ligatures w14:val="none"/>
        </w:rPr>
        <w:t>—dominate Chinook salmon production in Western Alaska. Each basin supports a network of sub-basins and spawning habitats, contributing substantially to regional salmon abundance and diversity. Understanding how these individual watersheds are affected by marine-phase stressors is essential for developing targeted conservation strategies.</w:t>
      </w:r>
    </w:p>
    <w:p w14:paraId="1D0D6503" w14:textId="77777777" w:rsidR="00D7690A" w:rsidRPr="00D7690A" w:rsidRDefault="00D7690A" w:rsidP="00D7690A">
      <w:pPr>
        <w:spacing w:before="100" w:beforeAutospacing="1" w:after="100" w:afterAutospacing="1" w:line="240" w:lineRule="auto"/>
        <w:rPr>
          <w:rFonts w:ascii="Times New Roman" w:eastAsia="Times New Roman" w:hAnsi="Times New Roman" w:cs="Times New Roman"/>
          <w:kern w:val="0"/>
          <w14:ligatures w14:val="none"/>
        </w:rPr>
      </w:pPr>
      <w:r w:rsidRPr="00D7690A">
        <w:rPr>
          <w:rFonts w:ascii="Times New Roman" w:eastAsia="Times New Roman" w:hAnsi="Times New Roman" w:cs="Times New Roman"/>
          <w:kern w:val="0"/>
          <w14:ligatures w14:val="none"/>
        </w:rPr>
        <w:t>To assess the provenance of Chinook salmon, researchers have historically relied on otolith geochemistry, particularly strontium isotope ratios (⁸⁷Sr/⁸⁶Sr), to assign fish to natal origins. In freshwater environments, otoliths can reliably distinguish among sub-basins due to the geochemical heterogeneity of the landscape. Fish caught in test fisheries at the mouths of major tributaries, for instance, can be assigned to specific upstream regions within a basin based on their otolith signatures. When paired with genetic data, these isotope-based approaches offer high resolution and accuracy at the sub-basin scale.</w:t>
      </w:r>
    </w:p>
    <w:p w14:paraId="25E8E9A0" w14:textId="77777777" w:rsidR="00D7690A" w:rsidRPr="00D7690A" w:rsidRDefault="00D7690A" w:rsidP="00D7690A">
      <w:pPr>
        <w:spacing w:before="100" w:beforeAutospacing="1" w:after="100" w:afterAutospacing="1" w:line="240" w:lineRule="auto"/>
        <w:rPr>
          <w:rFonts w:ascii="Times New Roman" w:eastAsia="Times New Roman" w:hAnsi="Times New Roman" w:cs="Times New Roman"/>
          <w:kern w:val="0"/>
          <w14:ligatures w14:val="none"/>
        </w:rPr>
      </w:pPr>
      <w:r w:rsidRPr="00D7690A">
        <w:rPr>
          <w:rFonts w:ascii="Times New Roman" w:eastAsia="Times New Roman" w:hAnsi="Times New Roman" w:cs="Times New Roman"/>
          <w:kern w:val="0"/>
          <w14:ligatures w14:val="none"/>
        </w:rPr>
        <w:lastRenderedPageBreak/>
        <w:t xml:space="preserve">However, this approach becomes far less reliable at broader spatial scales. In the open ocean, where the natal origin of sampled fish could span across the Yukon, Kuskokwim, and </w:t>
      </w:r>
      <w:proofErr w:type="spellStart"/>
      <w:r w:rsidRPr="00D7690A">
        <w:rPr>
          <w:rFonts w:ascii="Times New Roman" w:eastAsia="Times New Roman" w:hAnsi="Times New Roman" w:cs="Times New Roman"/>
          <w:kern w:val="0"/>
          <w14:ligatures w14:val="none"/>
        </w:rPr>
        <w:t>Nushagak</w:t>
      </w:r>
      <w:proofErr w:type="spellEnd"/>
      <w:r w:rsidRPr="00D7690A">
        <w:rPr>
          <w:rFonts w:ascii="Times New Roman" w:eastAsia="Times New Roman" w:hAnsi="Times New Roman" w:cs="Times New Roman"/>
          <w:kern w:val="0"/>
          <w14:ligatures w14:val="none"/>
        </w:rPr>
        <w:t xml:space="preserve"> basins, there is considerable overlap in ⁸⁷Sr/⁸⁶Sr values. This redundancy makes it difficult to distinguish among river systems, limiting the ability to assess differential impacts of marine threats on specific stocks.</w:t>
      </w:r>
    </w:p>
    <w:p w14:paraId="18D5D187" w14:textId="77777777" w:rsidR="00D7690A" w:rsidRDefault="00D7690A"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71CCC"/>
    <w:rsid w:val="000941AF"/>
    <w:rsid w:val="00103E0E"/>
    <w:rsid w:val="00135A3B"/>
    <w:rsid w:val="001844EB"/>
    <w:rsid w:val="001D222B"/>
    <w:rsid w:val="001F7701"/>
    <w:rsid w:val="003642FE"/>
    <w:rsid w:val="003A69C6"/>
    <w:rsid w:val="003B0A46"/>
    <w:rsid w:val="004472CA"/>
    <w:rsid w:val="00464971"/>
    <w:rsid w:val="00542302"/>
    <w:rsid w:val="006A5948"/>
    <w:rsid w:val="006D0CB1"/>
    <w:rsid w:val="00780305"/>
    <w:rsid w:val="007803F1"/>
    <w:rsid w:val="008475B7"/>
    <w:rsid w:val="00882F20"/>
    <w:rsid w:val="008A53F5"/>
    <w:rsid w:val="00907410"/>
    <w:rsid w:val="0095522F"/>
    <w:rsid w:val="009D0CB2"/>
    <w:rsid w:val="00A4712A"/>
    <w:rsid w:val="00A60C7C"/>
    <w:rsid w:val="00AB4F2C"/>
    <w:rsid w:val="00B30111"/>
    <w:rsid w:val="00B936A6"/>
    <w:rsid w:val="00BD3BE0"/>
    <w:rsid w:val="00C9741A"/>
    <w:rsid w:val="00D7690A"/>
    <w:rsid w:val="00D86BCC"/>
    <w:rsid w:val="00D97F1C"/>
    <w:rsid w:val="00E06D65"/>
    <w:rsid w:val="00E454BB"/>
    <w:rsid w:val="00EE450C"/>
    <w:rsid w:val="00F75B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4</Pages>
  <Words>1009</Words>
  <Characters>5756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bmak29</cp:lastModifiedBy>
  <cp:revision>4</cp:revision>
  <dcterms:created xsi:type="dcterms:W3CDTF">2025-05-19T03:17:00Z</dcterms:created>
  <dcterms:modified xsi:type="dcterms:W3CDTF">2025-05-19T14:49:00Z</dcterms:modified>
</cp:coreProperties>
</file>