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Pr="00F15670" w:rsidRDefault="008310CB" w:rsidP="008310CB">
      <w:pPr>
        <w:rPr>
          <w:rFonts w:ascii="Garamond" w:hAnsi="Garamond"/>
        </w:rPr>
      </w:pPr>
    </w:p>
    <w:p w14:paraId="1FBAAD05" w14:textId="40E99648" w:rsidR="00F15670" w:rsidRPr="007C6AED" w:rsidRDefault="00D55132" w:rsidP="00F15670">
      <w:pPr>
        <w:spacing w:line="480" w:lineRule="auto"/>
        <w:ind w:firstLine="720"/>
        <w:rPr>
          <w:rFonts w:ascii="Garamond" w:hAnsi="Garamond"/>
          <w:sz w:val="22"/>
          <w:szCs w:val="22"/>
        </w:rPr>
      </w:pPr>
      <w:r w:rsidRPr="007C6AED">
        <w:rPr>
          <w:rFonts w:ascii="Garamond" w:hAnsi="Garamond"/>
          <w:sz w:val="22"/>
          <w:szCs w:val="22"/>
        </w:rPr>
        <w:t xml:space="preserve">Understanding how environmental stressors interact with ecosystem function across multiple spatial and temporal scales is fundamental to </w:t>
      </w:r>
      <w:r w:rsidRPr="007C6AED">
        <w:rPr>
          <w:rFonts w:ascii="Garamond" w:hAnsi="Garamond"/>
          <w:sz w:val="22"/>
          <w:szCs w:val="22"/>
        </w:rPr>
        <w:t>monitoring, detecting, and</w:t>
      </w:r>
      <w:r w:rsidRPr="007C6AED">
        <w:rPr>
          <w:rFonts w:ascii="Garamond" w:hAnsi="Garamond"/>
          <w:sz w:val="22"/>
          <w:szCs w:val="22"/>
        </w:rPr>
        <w:t xml:space="preserve"> managing ecological responses to global change. This </w:t>
      </w:r>
      <w:r w:rsidRPr="007C6AED">
        <w:rPr>
          <w:rFonts w:ascii="Garamond" w:hAnsi="Garamond"/>
          <w:sz w:val="22"/>
          <w:szCs w:val="22"/>
        </w:rPr>
        <w:t>is particularly challenging</w:t>
      </w:r>
      <w:r w:rsidRPr="007C6AED">
        <w:rPr>
          <w:rFonts w:ascii="Garamond" w:hAnsi="Garamond"/>
          <w:sz w:val="22"/>
          <w:szCs w:val="22"/>
        </w:rPr>
        <w:t xml:space="preserve"> in remote and complex ecosystems, where traditional monitoring approaches may be logistically difficult or insufficient to capture fine-scale ecological processes. While population-level assessments provide valuable broad-scale insights, they can obscure critical threats to key components of ecosystem health </w:t>
      </w:r>
      <w:r w:rsidRPr="007C6AED">
        <w:rPr>
          <w:rFonts w:ascii="Garamond" w:hAnsi="Garamond"/>
          <w:sz w:val="22"/>
          <w:szCs w:val="22"/>
        </w:rPr>
        <w:t>at smaller spatial scales or within metapopulation components. Without this relevant spatial resolution, assessments may lack the capacity to respond to local perturbations or to assess the spatial distribution of impacts to locally provided ecosystems services. D</w:t>
      </w:r>
      <w:r w:rsidRPr="007C6AED">
        <w:rPr>
          <w:rFonts w:ascii="Garamond" w:hAnsi="Garamond"/>
          <w:sz w:val="22"/>
          <w:szCs w:val="22"/>
        </w:rPr>
        <w:t xml:space="preserve">eveloping tools capable of reconstructing ecological patterns at refined spatial resolutions is </w:t>
      </w:r>
      <w:r w:rsidRPr="007C6AED">
        <w:rPr>
          <w:rFonts w:ascii="Garamond" w:hAnsi="Garamond"/>
          <w:sz w:val="22"/>
          <w:szCs w:val="22"/>
        </w:rPr>
        <w:t xml:space="preserve">therefore </w:t>
      </w:r>
      <w:r w:rsidRPr="007C6AED">
        <w:rPr>
          <w:rFonts w:ascii="Garamond" w:hAnsi="Garamond"/>
          <w:sz w:val="22"/>
          <w:szCs w:val="22"/>
        </w:rPr>
        <w:t xml:space="preserve">essential for targeted </w:t>
      </w:r>
      <w:r w:rsidRPr="007C6AED">
        <w:rPr>
          <w:rFonts w:ascii="Garamond" w:hAnsi="Garamond"/>
          <w:sz w:val="22"/>
          <w:szCs w:val="22"/>
        </w:rPr>
        <w:t xml:space="preserve">resource </w:t>
      </w:r>
      <w:r w:rsidRPr="007C6AED">
        <w:rPr>
          <w:rFonts w:ascii="Garamond" w:hAnsi="Garamond"/>
          <w:sz w:val="22"/>
          <w:szCs w:val="22"/>
        </w:rPr>
        <w:t>management and effective climate adaptation strategies.</w:t>
      </w:r>
      <w:r w:rsidR="00F15670" w:rsidRPr="007C6AED">
        <w:rPr>
          <w:rFonts w:ascii="Garamond" w:hAnsi="Garamond"/>
          <w:sz w:val="22"/>
          <w:szCs w:val="22"/>
        </w:rPr>
        <w:t xml:space="preserve"> </w:t>
      </w:r>
      <w:r w:rsidR="00F001C8" w:rsidRPr="007C6AED">
        <w:rPr>
          <w:rFonts w:ascii="Garamond" w:hAnsi="Garamond"/>
          <w:sz w:val="22"/>
          <w:szCs w:val="22"/>
        </w:rPr>
        <w:t>Salmon populations in Western Alaska present a unique challenge for understanding ecosystem processes at refined spatial scales. Fish returning to this system exhibit diverse life history strategies, run timing, and spatial patterns of habitat use both among and within the region's three major watersheds. Moreover, individuals migrate over vast distances through extremely remote ecosystems, making direct monitoring logistically prohibitive.</w:t>
      </w:r>
      <w:r w:rsidR="00F001C8" w:rsidRPr="007C6AED">
        <w:rPr>
          <w:rFonts w:ascii="Garamond" w:hAnsi="Garamond"/>
          <w:sz w:val="22"/>
          <w:szCs w:val="22"/>
        </w:rPr>
        <w:t xml:space="preserve"> </w:t>
      </w:r>
    </w:p>
    <w:p w14:paraId="4FF75B55" w14:textId="77777777" w:rsidR="007C6AED" w:rsidRDefault="00F15670" w:rsidP="007C6AED">
      <w:pPr>
        <w:spacing w:line="480" w:lineRule="auto"/>
        <w:ind w:firstLine="720"/>
        <w:rPr>
          <w:rFonts w:ascii="Garamond" w:hAnsi="Garamond"/>
          <w:sz w:val="22"/>
          <w:szCs w:val="22"/>
        </w:rPr>
      </w:pPr>
      <w:r w:rsidRPr="007C6AED">
        <w:rPr>
          <w:rFonts w:ascii="Garamond" w:hAnsi="Garamond"/>
          <w:sz w:val="22"/>
          <w:szCs w:val="22"/>
        </w:rPr>
        <w:t>Historically, salmon populations in Western Alaska have supported commercial fisheries and served as critical subsistence and cultural resources for Indigenous communities throughout the region. However, recent sustained declines in the number of Chinook salmon (</w:t>
      </w:r>
      <w:r w:rsidRPr="007C6AED">
        <w:rPr>
          <w:rStyle w:val="Emphasis"/>
          <w:rFonts w:ascii="Garamond" w:hAnsi="Garamond"/>
          <w:sz w:val="22"/>
          <w:szCs w:val="22"/>
        </w:rPr>
        <w:t>Oncorhynchus tshawytscha</w:t>
      </w:r>
      <w:r w:rsidRPr="007C6AED">
        <w:rPr>
          <w:rFonts w:ascii="Garamond" w:hAnsi="Garamond"/>
          <w:sz w:val="22"/>
          <w:szCs w:val="22"/>
        </w:rPr>
        <w:t xml:space="preserve">) returning to the Yukon, Kuskokwim, and </w:t>
      </w:r>
      <w:proofErr w:type="spellStart"/>
      <w:r w:rsidRPr="007C6AED">
        <w:rPr>
          <w:rFonts w:ascii="Garamond" w:hAnsi="Garamond"/>
          <w:sz w:val="22"/>
          <w:szCs w:val="22"/>
        </w:rPr>
        <w:t>Nushagak</w:t>
      </w:r>
      <w:proofErr w:type="spellEnd"/>
      <w:r w:rsidRPr="007C6AED">
        <w:rPr>
          <w:rFonts w:ascii="Garamond" w:hAnsi="Garamond"/>
          <w:sz w:val="22"/>
          <w:szCs w:val="22"/>
        </w:rPr>
        <w:t xml:space="preserve"> river basins have led to fishery restrictions and contributed to a crisis of food insecurity and cultural loss. Consequently, there is a pressing need to assess hypotheses regarding the mechanisms of population declin</w:t>
      </w:r>
      <w:r w:rsidRPr="007C6AED">
        <w:rPr>
          <w:rFonts w:ascii="Garamond" w:hAnsi="Garamond"/>
          <w:sz w:val="22"/>
          <w:szCs w:val="22"/>
        </w:rPr>
        <w:t xml:space="preserve">e and to assess the spatial distribution of impacts across river-basins. However, assessment of many of these hypotheses, particularly those related to the marine life stage of salmon, have been </w:t>
      </w:r>
      <w:r w:rsidR="007F08A6" w:rsidRPr="007C6AED">
        <w:rPr>
          <w:rFonts w:ascii="Garamond" w:hAnsi="Garamond"/>
          <w:sz w:val="22"/>
          <w:szCs w:val="22"/>
        </w:rPr>
        <w:t>hindered by</w:t>
      </w:r>
      <w:r w:rsidRPr="007C6AED">
        <w:rPr>
          <w:rFonts w:ascii="Garamond" w:hAnsi="Garamond"/>
          <w:sz w:val="22"/>
          <w:szCs w:val="22"/>
        </w:rPr>
        <w:t xml:space="preserve"> a</w:t>
      </w:r>
      <w:r w:rsidR="007F08A6" w:rsidRPr="007C6AED">
        <w:rPr>
          <w:rFonts w:ascii="Garamond" w:hAnsi="Garamond"/>
          <w:sz w:val="22"/>
          <w:szCs w:val="22"/>
        </w:rPr>
        <w:t xml:space="preserve"> limited ability to determine the river of origin of marine-caught fish. </w:t>
      </w:r>
    </w:p>
    <w:p w14:paraId="541CC541" w14:textId="3B312DA6" w:rsidR="0010010D" w:rsidRPr="007C6AED" w:rsidRDefault="007F08A6" w:rsidP="007C6AED">
      <w:pPr>
        <w:spacing w:line="480" w:lineRule="auto"/>
        <w:ind w:firstLine="720"/>
        <w:rPr>
          <w:rFonts w:ascii="Garamond" w:hAnsi="Garamond"/>
          <w:sz w:val="22"/>
          <w:szCs w:val="22"/>
        </w:rPr>
      </w:pPr>
      <w:r w:rsidRPr="007C6AED">
        <w:rPr>
          <w:rFonts w:ascii="Garamond" w:hAnsi="Garamond"/>
          <w:sz w:val="22"/>
          <w:szCs w:val="22"/>
        </w:rPr>
        <w:lastRenderedPageBreak/>
        <w:t xml:space="preserve">Genetic </w:t>
      </w:r>
      <w:r w:rsidR="00F15670" w:rsidRPr="007C6AED">
        <w:rPr>
          <w:rFonts w:ascii="Garamond" w:hAnsi="Garamond"/>
          <w:sz w:val="22"/>
          <w:szCs w:val="22"/>
        </w:rPr>
        <w:t>stock identification (GSI)</w:t>
      </w:r>
      <w:r w:rsidRPr="007C6AED">
        <w:rPr>
          <w:rFonts w:ascii="Garamond" w:hAnsi="Garamond"/>
          <w:sz w:val="22"/>
          <w:szCs w:val="22"/>
        </w:rPr>
        <w:t xml:space="preserve"> ha</w:t>
      </w:r>
      <w:r w:rsidR="00F15670" w:rsidRPr="007C6AED">
        <w:rPr>
          <w:rFonts w:ascii="Garamond" w:hAnsi="Garamond"/>
          <w:sz w:val="22"/>
          <w:szCs w:val="22"/>
        </w:rPr>
        <w:t>s</w:t>
      </w:r>
      <w:r w:rsidRPr="007C6AED">
        <w:rPr>
          <w:rFonts w:ascii="Garamond" w:hAnsi="Garamond"/>
          <w:sz w:val="22"/>
          <w:szCs w:val="22"/>
        </w:rPr>
        <w:t xml:space="preserve"> </w:t>
      </w:r>
      <w:r w:rsidR="00F15670" w:rsidRPr="007C6AED">
        <w:rPr>
          <w:rFonts w:ascii="Garamond" w:hAnsi="Garamond"/>
          <w:sz w:val="22"/>
          <w:szCs w:val="22"/>
        </w:rPr>
        <w:t xml:space="preserve">emerged in recent decades as a powerful and reliable tool for </w:t>
      </w:r>
      <w:r w:rsidRPr="007C6AED">
        <w:rPr>
          <w:rFonts w:ascii="Garamond" w:hAnsi="Garamond"/>
          <w:sz w:val="22"/>
          <w:szCs w:val="22"/>
        </w:rPr>
        <w:t>estimating provenance</w:t>
      </w:r>
      <w:r w:rsidR="00F15670" w:rsidRPr="007C6AED">
        <w:rPr>
          <w:rFonts w:ascii="Garamond" w:hAnsi="Garamond"/>
          <w:sz w:val="22"/>
          <w:szCs w:val="22"/>
        </w:rPr>
        <w:t xml:space="preserve"> of many Chinook salmon stocks in </w:t>
      </w:r>
      <w:r w:rsidR="007C6AED" w:rsidRPr="007C6AED">
        <w:rPr>
          <w:rFonts w:ascii="Garamond" w:hAnsi="Garamond"/>
          <w:sz w:val="22"/>
          <w:szCs w:val="22"/>
        </w:rPr>
        <w:t>Alaska and</w:t>
      </w:r>
      <w:r w:rsidR="00F15670" w:rsidRPr="007C6AED">
        <w:rPr>
          <w:rFonts w:ascii="Garamond" w:hAnsi="Garamond"/>
          <w:sz w:val="22"/>
          <w:szCs w:val="22"/>
        </w:rPr>
        <w:t xml:space="preserve"> has been used as a tool for in-season management. However, </w:t>
      </w:r>
      <w:r w:rsidRPr="007C6AED">
        <w:rPr>
          <w:rFonts w:ascii="Garamond" w:hAnsi="Garamond"/>
          <w:sz w:val="22"/>
          <w:szCs w:val="22"/>
        </w:rPr>
        <w:t xml:space="preserve">Chinook salmon in Western Alaska lack sufficient genetic structure to reliably assign individuals </w:t>
      </w:r>
      <w:r w:rsidR="007C6AED">
        <w:rPr>
          <w:rFonts w:ascii="Garamond" w:hAnsi="Garamond"/>
          <w:sz w:val="22"/>
          <w:szCs w:val="22"/>
        </w:rPr>
        <w:t xml:space="preserve">within the </w:t>
      </w:r>
      <w:r w:rsidRPr="007C6AED">
        <w:rPr>
          <w:rFonts w:ascii="Garamond" w:hAnsi="Garamond"/>
          <w:sz w:val="22"/>
          <w:szCs w:val="22"/>
        </w:rPr>
        <w:t xml:space="preserve">Coastal Western Alaska (CWAK) reporting group, which </w:t>
      </w:r>
      <w:r w:rsidR="007C6AED">
        <w:rPr>
          <w:rFonts w:ascii="Garamond" w:hAnsi="Garamond"/>
          <w:sz w:val="22"/>
          <w:szCs w:val="22"/>
        </w:rPr>
        <w:t xml:space="preserve">cannot discriminate among river systems. </w:t>
      </w:r>
      <w:r w:rsidR="0010010D" w:rsidRPr="007C6AED">
        <w:rPr>
          <w:rFonts w:ascii="Garamond" w:hAnsi="Garamond"/>
          <w:sz w:val="22"/>
          <w:szCs w:val="22"/>
        </w:rPr>
        <w:t>Isotope-based methods for estimating provenance from ear stones found in fish, or otoliths, ha</w:t>
      </w:r>
      <w:r w:rsidR="007C6AED">
        <w:rPr>
          <w:rFonts w:ascii="Garamond" w:hAnsi="Garamond"/>
          <w:sz w:val="22"/>
          <w:szCs w:val="22"/>
        </w:rPr>
        <w:t xml:space="preserve">s emerged in parallel as an alternative approach to estimating provenance with </w:t>
      </w:r>
      <w:r w:rsidR="0010010D" w:rsidRPr="007C6AED">
        <w:rPr>
          <w:rFonts w:ascii="Garamond" w:hAnsi="Garamond"/>
          <w:sz w:val="22"/>
          <w:szCs w:val="22"/>
        </w:rPr>
        <w:t xml:space="preserve">more refined spatial resolution than genetics in some cases </w:t>
      </w:r>
      <w:r w:rsidR="0010010D" w:rsidRPr="007C6AED">
        <w:rPr>
          <w:rFonts w:ascii="Garamond" w:hAnsi="Garamond"/>
          <w:sz w:val="22"/>
          <w:szCs w:val="22"/>
        </w:rPr>
        <w:fldChar w:fldCharType="begin"/>
      </w:r>
      <w:r w:rsidR="0010010D" w:rsidRPr="007C6AED">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7C6AED">
        <w:rPr>
          <w:rFonts w:ascii="Garamond" w:hAnsi="Garamond"/>
          <w:sz w:val="22"/>
          <w:szCs w:val="22"/>
        </w:rPr>
        <w:fldChar w:fldCharType="separate"/>
      </w:r>
      <w:r w:rsidR="0010010D" w:rsidRPr="007C6AED">
        <w:rPr>
          <w:rFonts w:ascii="Garamond" w:hAnsi="Garamond"/>
          <w:noProof/>
          <w:sz w:val="22"/>
          <w:szCs w:val="22"/>
        </w:rPr>
        <w:t>(Brennan et al., 2015; Brennan &amp; Schindler, 2017; Kennedy et al., 1997)</w:t>
      </w:r>
      <w:r w:rsidR="0010010D" w:rsidRPr="007C6AED">
        <w:rPr>
          <w:rFonts w:ascii="Garamond" w:hAnsi="Garamond"/>
          <w:sz w:val="22"/>
          <w:szCs w:val="22"/>
        </w:rPr>
        <w:fldChar w:fldCharType="end"/>
      </w:r>
      <w:r w:rsidR="0010010D" w:rsidRPr="007C6AED">
        <w:rPr>
          <w:rFonts w:ascii="Garamond" w:hAnsi="Garamond"/>
          <w:sz w:val="22"/>
          <w:szCs w:val="22"/>
        </w:rPr>
        <w:t>. The relative ratio of strontium-87 to strontium-86 (</w:t>
      </w:r>
      <w:r w:rsidR="0010010D" w:rsidRPr="007C6AED">
        <w:rPr>
          <w:rFonts w:ascii="Cambria Math" w:hAnsi="Cambria Math" w:cs="Cambria Math"/>
          <w:sz w:val="22"/>
          <w:szCs w:val="22"/>
        </w:rPr>
        <w:t>⁸⁷</w:t>
      </w:r>
      <w:r w:rsidR="0010010D" w:rsidRPr="007C6AED">
        <w:rPr>
          <w:rFonts w:ascii="Garamond" w:hAnsi="Garamond"/>
          <w:sz w:val="22"/>
          <w:szCs w:val="22"/>
        </w:rPr>
        <w:t>Sr/</w:t>
      </w:r>
      <w:r w:rsidR="0010010D" w:rsidRPr="007C6AED">
        <w:rPr>
          <w:rFonts w:ascii="Cambria Math" w:hAnsi="Cambria Math" w:cs="Cambria Math"/>
          <w:sz w:val="22"/>
          <w:szCs w:val="22"/>
        </w:rPr>
        <w:t>⁸⁶</w:t>
      </w:r>
      <w:r w:rsidR="0010010D" w:rsidRPr="007C6AED">
        <w:rPr>
          <w:rFonts w:ascii="Garamond" w:hAnsi="Garamond"/>
          <w:sz w:val="22"/>
          <w:szCs w:val="22"/>
        </w:rPr>
        <w:t xml:space="preserve">Sr) is an isotopic tracer that is heterogeneously distributed across geologically diverse landscapes, faithfully incorporated into otoliths, and has been shown to be temporally stable in Alaskan watersheds </w:t>
      </w:r>
      <w:r w:rsidR="0010010D" w:rsidRPr="007C6AED">
        <w:rPr>
          <w:rFonts w:ascii="Garamond" w:hAnsi="Garamond"/>
          <w:sz w:val="22"/>
          <w:szCs w:val="22"/>
        </w:rPr>
        <w:fldChar w:fldCharType="begin"/>
      </w:r>
      <w:r w:rsidR="0010010D" w:rsidRPr="007C6AED">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7C6AED">
        <w:rPr>
          <w:rFonts w:ascii="Garamond" w:hAnsi="Garamond"/>
          <w:sz w:val="22"/>
          <w:szCs w:val="22"/>
        </w:rPr>
        <w:fldChar w:fldCharType="separate"/>
      </w:r>
      <w:r w:rsidR="0010010D" w:rsidRPr="007C6AED">
        <w:rPr>
          <w:rFonts w:ascii="Garamond" w:hAnsi="Garamond"/>
          <w:noProof/>
          <w:sz w:val="22"/>
          <w:szCs w:val="22"/>
        </w:rPr>
        <w:t>(Bataille &amp; Bowen, 2012; Brennan et al., 2015; Campana, 1999; Capo et al., 1998)</w:t>
      </w:r>
      <w:r w:rsidR="0010010D" w:rsidRPr="007C6AED">
        <w:rPr>
          <w:rFonts w:ascii="Garamond" w:hAnsi="Garamond"/>
          <w:sz w:val="22"/>
          <w:szCs w:val="22"/>
        </w:rPr>
        <w:fldChar w:fldCharType="end"/>
      </w:r>
      <w:r w:rsidR="0010010D" w:rsidRPr="007C6AED">
        <w:rPr>
          <w:rFonts w:ascii="Garamond" w:hAnsi="Garamond"/>
          <w:sz w:val="22"/>
          <w:szCs w:val="22"/>
        </w:rPr>
        <w:t xml:space="preserve">. As a result, </w:t>
      </w:r>
      <w:r w:rsidR="007C6AED">
        <w:rPr>
          <w:rFonts w:ascii="Garamond" w:hAnsi="Garamond"/>
          <w:sz w:val="22"/>
          <w:szCs w:val="22"/>
        </w:rPr>
        <w:t xml:space="preserve">this signature has been used to estimate provenance by relating a discrete </w:t>
      </w:r>
      <w:r w:rsidR="007C6AED" w:rsidRPr="007C6AED">
        <w:rPr>
          <w:rFonts w:ascii="Cambria Math" w:hAnsi="Cambria Math" w:cs="Cambria Math"/>
          <w:sz w:val="22"/>
          <w:szCs w:val="22"/>
        </w:rPr>
        <w:t>⁸⁷</w:t>
      </w:r>
      <w:r w:rsidR="007C6AED" w:rsidRPr="007C6AED">
        <w:rPr>
          <w:rFonts w:ascii="Garamond" w:hAnsi="Garamond"/>
          <w:sz w:val="22"/>
          <w:szCs w:val="22"/>
        </w:rPr>
        <w:t>Sr/</w:t>
      </w:r>
      <w:r w:rsidR="007C6AED" w:rsidRPr="007C6AED">
        <w:rPr>
          <w:rFonts w:ascii="Cambria Math" w:hAnsi="Cambria Math" w:cs="Cambria Math"/>
          <w:sz w:val="22"/>
          <w:szCs w:val="22"/>
        </w:rPr>
        <w:t>⁸⁶</w:t>
      </w:r>
      <w:r w:rsidR="007C6AED" w:rsidRPr="007C6AED">
        <w:rPr>
          <w:rFonts w:ascii="Garamond" w:hAnsi="Garamond"/>
          <w:sz w:val="22"/>
          <w:szCs w:val="22"/>
        </w:rPr>
        <w:t>Sr</w:t>
      </w:r>
      <w:r w:rsidR="007C6AED">
        <w:rPr>
          <w:rFonts w:ascii="Garamond" w:hAnsi="Garamond"/>
          <w:sz w:val="22"/>
          <w:szCs w:val="22"/>
        </w:rPr>
        <w:t xml:space="preserve"> ratio from the freshwater natal rearing portion of the otolith to </w:t>
      </w:r>
      <w:r w:rsidR="0010010D" w:rsidRPr="007C6AED">
        <w:rPr>
          <w:rFonts w:ascii="Garamond" w:hAnsi="Garamond"/>
          <w:sz w:val="22"/>
          <w:szCs w:val="22"/>
        </w:rPr>
        <w:t>values modeled across the landscape</w:t>
      </w:r>
      <w:r w:rsidR="007C6AED">
        <w:rPr>
          <w:rFonts w:ascii="Garamond" w:hAnsi="Garamond"/>
          <w:sz w:val="22"/>
          <w:szCs w:val="22"/>
        </w:rPr>
        <w:t xml:space="preserve"> </w:t>
      </w:r>
      <w:r w:rsidR="007C6AED" w:rsidRPr="007C6AED">
        <w:rPr>
          <w:rFonts w:ascii="Garamond" w:hAnsi="Garamond"/>
          <w:sz w:val="22"/>
          <w:szCs w:val="22"/>
          <w:highlight w:val="yellow"/>
        </w:rPr>
        <w:t>(Cite).</w:t>
      </w:r>
      <w:r w:rsidR="007C6AED">
        <w:rPr>
          <w:rFonts w:ascii="Garamond" w:hAnsi="Garamond"/>
          <w:sz w:val="22"/>
          <w:szCs w:val="22"/>
        </w:rPr>
        <w:t xml:space="preserve"> </w:t>
      </w:r>
      <w:r w:rsidR="00F64010" w:rsidRPr="007C6AED">
        <w:rPr>
          <w:rFonts w:ascii="Garamond" w:hAnsi="Garamond"/>
          <w:sz w:val="22"/>
          <w:szCs w:val="22"/>
        </w:rPr>
        <w:t xml:space="preserve"> However</w:t>
      </w:r>
      <w:r w:rsidR="0010010D" w:rsidRPr="007C6AED">
        <w:rPr>
          <w:rFonts w:ascii="Garamond" w:hAnsi="Garamond"/>
          <w:sz w:val="22"/>
          <w:szCs w:val="22"/>
        </w:rPr>
        <w:t xml:space="preserve">, this method is limited by the level of isotopic heterogeneity relative to the spatial scale of interest </w:t>
      </w:r>
      <w:r w:rsidR="0010010D" w:rsidRPr="007C6AED">
        <w:rPr>
          <w:rFonts w:ascii="Garamond" w:hAnsi="Garamond"/>
          <w:sz w:val="22"/>
          <w:szCs w:val="22"/>
        </w:rPr>
        <w:fldChar w:fldCharType="begin"/>
      </w:r>
      <w:r w:rsidR="0010010D" w:rsidRPr="007C6AED">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7C6AED">
        <w:rPr>
          <w:rFonts w:ascii="Garamond" w:hAnsi="Garamond"/>
          <w:sz w:val="22"/>
          <w:szCs w:val="22"/>
        </w:rPr>
        <w:fldChar w:fldCharType="separate"/>
      </w:r>
      <w:r w:rsidR="0010010D" w:rsidRPr="007C6AED">
        <w:rPr>
          <w:rFonts w:ascii="Garamond" w:hAnsi="Garamond"/>
          <w:noProof/>
          <w:sz w:val="22"/>
          <w:szCs w:val="22"/>
        </w:rPr>
        <w:t>(Makhlouf et al., 2025)</w:t>
      </w:r>
      <w:r w:rsidR="0010010D" w:rsidRPr="007C6AED">
        <w:rPr>
          <w:rFonts w:ascii="Garamond" w:hAnsi="Garamond"/>
          <w:sz w:val="22"/>
          <w:szCs w:val="22"/>
        </w:rPr>
        <w:fldChar w:fldCharType="end"/>
      </w:r>
      <w:r w:rsidR="0010010D" w:rsidRPr="007C6AED">
        <w:rPr>
          <w:rFonts w:ascii="Garamond" w:hAnsi="Garamond"/>
          <w:sz w:val="22"/>
          <w:szCs w:val="22"/>
        </w:rPr>
        <w:t xml:space="preserve">. While </w:t>
      </w:r>
      <w:r w:rsidR="00443259" w:rsidRPr="007C6AED">
        <w:rPr>
          <w:rFonts w:ascii="Garamond" w:hAnsi="Garamond"/>
          <w:sz w:val="22"/>
          <w:szCs w:val="22"/>
        </w:rPr>
        <w:t xml:space="preserve">reliable </w:t>
      </w:r>
      <w:r w:rsidR="0010010D" w:rsidRPr="007C6AED">
        <w:rPr>
          <w:rFonts w:ascii="Garamond" w:hAnsi="Garamond"/>
          <w:sz w:val="22"/>
          <w:szCs w:val="22"/>
        </w:rPr>
        <w:t>within-</w:t>
      </w:r>
      <w:r w:rsidR="00443259" w:rsidRPr="007C6AED">
        <w:rPr>
          <w:rFonts w:ascii="Garamond" w:hAnsi="Garamond"/>
          <w:sz w:val="22"/>
          <w:szCs w:val="22"/>
        </w:rPr>
        <w:t>river</w:t>
      </w:r>
      <w:r w:rsidR="0010010D" w:rsidRPr="007C6AED">
        <w:rPr>
          <w:rFonts w:ascii="Garamond" w:hAnsi="Garamond"/>
          <w:sz w:val="22"/>
          <w:szCs w:val="22"/>
        </w:rPr>
        <w:t xml:space="preserve"> </w:t>
      </w:r>
      <w:r w:rsidR="00443259" w:rsidRPr="007C6AED">
        <w:rPr>
          <w:rFonts w:ascii="Garamond" w:hAnsi="Garamond"/>
          <w:sz w:val="22"/>
          <w:szCs w:val="22"/>
        </w:rPr>
        <w:t xml:space="preserve">estimates of </w:t>
      </w:r>
      <w:r w:rsidR="0010010D" w:rsidRPr="007C6AED">
        <w:rPr>
          <w:rFonts w:ascii="Garamond" w:hAnsi="Garamond"/>
          <w:sz w:val="22"/>
          <w:szCs w:val="22"/>
        </w:rPr>
        <w:t xml:space="preserve">provenance </w:t>
      </w:r>
      <w:r w:rsidR="00443259" w:rsidRPr="007C6AED">
        <w:rPr>
          <w:rFonts w:ascii="Garamond" w:hAnsi="Garamond"/>
          <w:sz w:val="22"/>
          <w:szCs w:val="22"/>
        </w:rPr>
        <w:t>are</w:t>
      </w:r>
      <w:r w:rsidR="0010010D" w:rsidRPr="007C6AED">
        <w:rPr>
          <w:rFonts w:ascii="Garamond" w:hAnsi="Garamond"/>
          <w:sz w:val="22"/>
          <w:szCs w:val="22"/>
        </w:rPr>
        <w:t xml:space="preserve"> possible in Western Alaska, regional overlap among the three major river systems creates high uncertainty</w:t>
      </w:r>
      <w:r w:rsidR="007C6AED">
        <w:rPr>
          <w:rFonts w:ascii="Garamond" w:hAnsi="Garamond"/>
          <w:sz w:val="22"/>
          <w:szCs w:val="22"/>
        </w:rPr>
        <w:t xml:space="preserve"> and </w:t>
      </w:r>
      <w:r w:rsidR="0010010D" w:rsidRPr="007C6AED">
        <w:rPr>
          <w:rFonts w:ascii="Garamond" w:hAnsi="Garamond"/>
          <w:sz w:val="22"/>
          <w:szCs w:val="22"/>
        </w:rPr>
        <w:t>prevent</w:t>
      </w:r>
      <w:r w:rsidR="007C6AED">
        <w:rPr>
          <w:rFonts w:ascii="Garamond" w:hAnsi="Garamond"/>
          <w:sz w:val="22"/>
          <w:szCs w:val="22"/>
        </w:rPr>
        <w:t>s</w:t>
      </w:r>
      <w:r w:rsidR="0010010D" w:rsidRPr="007C6AED">
        <w:rPr>
          <w:rFonts w:ascii="Garamond" w:hAnsi="Garamond"/>
          <w:sz w:val="22"/>
          <w:szCs w:val="22"/>
        </w:rPr>
        <w:t xml:space="preserve"> reliable assignments of marine-caught fish </w:t>
      </w:r>
      <w:r w:rsidR="007C6AED">
        <w:rPr>
          <w:rFonts w:ascii="Garamond" w:hAnsi="Garamond"/>
          <w:sz w:val="22"/>
          <w:szCs w:val="22"/>
        </w:rPr>
        <w:t xml:space="preserve">using the </w:t>
      </w:r>
      <w:r w:rsidR="0010010D" w:rsidRPr="007C6AED">
        <w:rPr>
          <w:rFonts w:ascii="Garamond" w:hAnsi="Garamond"/>
          <w:sz w:val="22"/>
          <w:szCs w:val="22"/>
        </w:rPr>
        <w:t>natal</w:t>
      </w:r>
      <w:r w:rsidR="007C6AED">
        <w:rPr>
          <w:rFonts w:ascii="Garamond" w:hAnsi="Garamond"/>
          <w:sz w:val="22"/>
          <w:szCs w:val="22"/>
        </w:rPr>
        <w:t xml:space="preserve"> freshwater</w:t>
      </w:r>
      <w:r w:rsidR="0010010D" w:rsidRPr="007C6AED">
        <w:rPr>
          <w:rFonts w:ascii="Garamond" w:hAnsi="Garamond"/>
          <w:sz w:val="22"/>
          <w:szCs w:val="22"/>
        </w:rPr>
        <w:t xml:space="preserve"> </w:t>
      </w:r>
      <w:r w:rsidR="0010010D" w:rsidRPr="007C6AED">
        <w:rPr>
          <w:rFonts w:ascii="Cambria Math" w:hAnsi="Cambria Math" w:cs="Cambria Math"/>
          <w:sz w:val="22"/>
          <w:szCs w:val="22"/>
        </w:rPr>
        <w:t>⁸⁷</w:t>
      </w:r>
      <w:r w:rsidR="0010010D" w:rsidRPr="007C6AED">
        <w:rPr>
          <w:rFonts w:ascii="Garamond" w:hAnsi="Garamond"/>
          <w:sz w:val="22"/>
          <w:szCs w:val="22"/>
        </w:rPr>
        <w:t>Sr/</w:t>
      </w:r>
      <w:r w:rsidR="0010010D" w:rsidRPr="007C6AED">
        <w:rPr>
          <w:rFonts w:ascii="Cambria Math" w:hAnsi="Cambria Math" w:cs="Cambria Math"/>
          <w:sz w:val="22"/>
          <w:szCs w:val="22"/>
        </w:rPr>
        <w:t>⁸⁶</w:t>
      </w:r>
      <w:r w:rsidR="0010010D" w:rsidRPr="007C6AED">
        <w:rPr>
          <w:rFonts w:ascii="Garamond" w:hAnsi="Garamond"/>
          <w:sz w:val="22"/>
          <w:szCs w:val="22"/>
        </w:rPr>
        <w:t xml:space="preserve">Sr </w:t>
      </w:r>
      <w:r w:rsidR="007C6AED">
        <w:rPr>
          <w:rFonts w:ascii="Garamond" w:hAnsi="Garamond"/>
          <w:sz w:val="22"/>
          <w:szCs w:val="22"/>
        </w:rPr>
        <w:t>ratio</w:t>
      </w:r>
      <w:r w:rsidR="0010010D" w:rsidRPr="007C6AED">
        <w:rPr>
          <w:rFonts w:ascii="Garamond" w:hAnsi="Garamond"/>
          <w:sz w:val="22"/>
          <w:szCs w:val="22"/>
        </w:rPr>
        <w:t xml:space="preserve"> (Figure 1).</w:t>
      </w:r>
    </w:p>
    <w:p w14:paraId="5BCFB6D9" w14:textId="362EACA9" w:rsidR="00FC2E42" w:rsidRDefault="00F64010" w:rsidP="00FC2E42">
      <w:pPr>
        <w:spacing w:line="480" w:lineRule="auto"/>
        <w:ind w:firstLine="720"/>
        <w:rPr>
          <w:rFonts w:ascii="Garamond" w:hAnsi="Garamond"/>
          <w:sz w:val="22"/>
          <w:szCs w:val="22"/>
        </w:rPr>
      </w:pPr>
      <w:r w:rsidRPr="007C6AED">
        <w:rPr>
          <w:rFonts w:ascii="Garamond" w:hAnsi="Garamond"/>
          <w:sz w:val="22"/>
          <w:szCs w:val="22"/>
        </w:rPr>
        <w:t>Otolith growth and isotopic incorporation occur continuously over an individual's lifetime</w:t>
      </w:r>
      <w:r w:rsidR="00FC2E42">
        <w:rPr>
          <w:rFonts w:ascii="Garamond" w:hAnsi="Garamond"/>
          <w:sz w:val="22"/>
          <w:szCs w:val="22"/>
        </w:rPr>
        <w:t xml:space="preserve">, and, as such, </w:t>
      </w:r>
      <w:r w:rsidR="007F08A6" w:rsidRPr="007C6AED">
        <w:rPr>
          <w:rFonts w:ascii="Cambria Math" w:hAnsi="Cambria Math" w:cs="Cambria Math"/>
          <w:sz w:val="22"/>
          <w:szCs w:val="22"/>
        </w:rPr>
        <w:t>⁸⁷</w:t>
      </w:r>
      <w:r w:rsidR="007F08A6" w:rsidRPr="007C6AED">
        <w:rPr>
          <w:rFonts w:ascii="Garamond" w:hAnsi="Garamond"/>
          <w:sz w:val="22"/>
          <w:szCs w:val="22"/>
        </w:rPr>
        <w:t>Sr/</w:t>
      </w:r>
      <w:r w:rsidR="007F08A6" w:rsidRPr="007C6AED">
        <w:rPr>
          <w:rFonts w:ascii="Cambria Math" w:hAnsi="Cambria Math" w:cs="Cambria Math"/>
          <w:sz w:val="22"/>
          <w:szCs w:val="22"/>
        </w:rPr>
        <w:t>⁸⁶</w:t>
      </w:r>
      <w:r w:rsidR="007F08A6" w:rsidRPr="007C6AED">
        <w:rPr>
          <w:rFonts w:ascii="Garamond" w:hAnsi="Garamond"/>
          <w:sz w:val="22"/>
          <w:szCs w:val="22"/>
        </w:rPr>
        <w:t>Sr values along the growth axis of the otolith form a continuous time series</w:t>
      </w:r>
      <w:r w:rsidR="00FC2E42">
        <w:rPr>
          <w:rFonts w:ascii="Garamond" w:hAnsi="Garamond"/>
          <w:sz w:val="22"/>
          <w:szCs w:val="22"/>
        </w:rPr>
        <w:t xml:space="preserve"> </w:t>
      </w:r>
      <w:r w:rsidR="007F08A6" w:rsidRPr="007C6AED">
        <w:rPr>
          <w:rFonts w:ascii="Garamond" w:hAnsi="Garamond"/>
          <w:sz w:val="22"/>
          <w:szCs w:val="22"/>
        </w:rPr>
        <w:t xml:space="preserve">encoding sequential habitat use, relative growth, and maternal migration history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(Hegg et al., 2019; Reis-Santos et al., 2022)</w:t>
      </w:r>
      <w:r w:rsidRPr="007C6AED">
        <w:rPr>
          <w:rFonts w:ascii="Garamond" w:hAnsi="Garamond"/>
          <w:sz w:val="22"/>
          <w:szCs w:val="22"/>
        </w:rPr>
        <w:fldChar w:fldCharType="end"/>
      </w:r>
      <w:r w:rsidRPr="007C6AED">
        <w:rPr>
          <w:rFonts w:ascii="Garamond" w:hAnsi="Garamond"/>
          <w:sz w:val="22"/>
          <w:szCs w:val="22"/>
        </w:rPr>
        <w:t xml:space="preserve">. </w:t>
      </w:r>
      <w:r w:rsidR="00FC2E42">
        <w:rPr>
          <w:rFonts w:ascii="Garamond" w:hAnsi="Garamond"/>
          <w:sz w:val="22"/>
          <w:szCs w:val="22"/>
        </w:rPr>
        <w:t xml:space="preserve">These patterns can be useful for reconstructing life histories. However, </w:t>
      </w:r>
      <w:r w:rsidR="007F08A6" w:rsidRPr="007C6AED">
        <w:rPr>
          <w:rFonts w:ascii="Garamond" w:hAnsi="Garamond"/>
          <w:sz w:val="22"/>
          <w:szCs w:val="22"/>
        </w:rPr>
        <w:t>rapid movements through multiple environments may prevent full isotopic equilibration</w:t>
      </w:r>
      <w:r w:rsidR="00FC2E42">
        <w:rPr>
          <w:rFonts w:ascii="Garamond" w:hAnsi="Garamond"/>
          <w:sz w:val="22"/>
          <w:szCs w:val="22"/>
        </w:rPr>
        <w:t xml:space="preserve"> and result in otolith </w:t>
      </w:r>
      <w:r w:rsidR="00FC2E42" w:rsidRPr="007C6AED">
        <w:rPr>
          <w:rFonts w:ascii="Cambria Math" w:hAnsi="Cambria Math" w:cs="Cambria Math"/>
          <w:sz w:val="22"/>
          <w:szCs w:val="22"/>
        </w:rPr>
        <w:t>⁸⁷</w:t>
      </w:r>
      <w:r w:rsidR="00FC2E42" w:rsidRPr="007C6AED">
        <w:rPr>
          <w:rFonts w:ascii="Garamond" w:hAnsi="Garamond"/>
          <w:sz w:val="22"/>
          <w:szCs w:val="22"/>
        </w:rPr>
        <w:t>Sr/</w:t>
      </w:r>
      <w:r w:rsidR="00FC2E42" w:rsidRPr="007C6AED">
        <w:rPr>
          <w:rFonts w:ascii="Cambria Math" w:hAnsi="Cambria Math" w:cs="Cambria Math"/>
          <w:sz w:val="22"/>
          <w:szCs w:val="22"/>
        </w:rPr>
        <w:t>⁸⁶</w:t>
      </w:r>
      <w:r w:rsidR="00FC2E42" w:rsidRPr="007C6AED">
        <w:rPr>
          <w:rFonts w:ascii="Garamond" w:hAnsi="Garamond"/>
          <w:sz w:val="22"/>
          <w:szCs w:val="22"/>
        </w:rPr>
        <w:t>Sr</w:t>
      </w:r>
      <w:r w:rsidR="00FC2E42">
        <w:rPr>
          <w:rFonts w:ascii="Garamond" w:hAnsi="Garamond"/>
          <w:sz w:val="22"/>
          <w:szCs w:val="22"/>
        </w:rPr>
        <w:t xml:space="preserve"> values that do not directly reflect those of the environment. For fish such as Pacific salmon, which migrate through several sequential habitats rapidly as they migrate to the ocean, </w:t>
      </w:r>
      <w:r w:rsidR="007F08A6" w:rsidRPr="007C6AED">
        <w:rPr>
          <w:rFonts w:ascii="Garamond" w:hAnsi="Garamond"/>
          <w:sz w:val="22"/>
          <w:szCs w:val="22"/>
        </w:rPr>
        <w:t xml:space="preserve">otolith strontium data may </w:t>
      </w:r>
      <w:r w:rsidR="00FC2E42">
        <w:rPr>
          <w:rFonts w:ascii="Garamond" w:hAnsi="Garamond"/>
          <w:sz w:val="22"/>
          <w:szCs w:val="22"/>
        </w:rPr>
        <w:t xml:space="preserve">therefore </w:t>
      </w:r>
      <w:r w:rsidR="007F08A6" w:rsidRPr="007C6AED">
        <w:rPr>
          <w:rFonts w:ascii="Garamond" w:hAnsi="Garamond"/>
          <w:sz w:val="22"/>
          <w:szCs w:val="22"/>
        </w:rPr>
        <w:t xml:space="preserve">contain subtle patterns </w:t>
      </w:r>
      <w:r w:rsidR="00FC2E42" w:rsidRPr="007C6AED">
        <w:rPr>
          <w:rFonts w:ascii="Garamond" w:hAnsi="Garamond"/>
          <w:sz w:val="22"/>
          <w:szCs w:val="22"/>
        </w:rPr>
        <w:t>that,</w:t>
      </w:r>
      <w:r w:rsidR="00FC2E42">
        <w:rPr>
          <w:rFonts w:ascii="Garamond" w:hAnsi="Garamond"/>
          <w:sz w:val="22"/>
          <w:szCs w:val="22"/>
        </w:rPr>
        <w:t xml:space="preserve"> when viewed together, can be used as a “fingerprint” for </w:t>
      </w:r>
      <w:r w:rsidRPr="007C6AED">
        <w:rPr>
          <w:rFonts w:ascii="Garamond" w:hAnsi="Garamond"/>
          <w:sz w:val="22"/>
          <w:szCs w:val="22"/>
        </w:rPr>
        <w:t xml:space="preserve">stock- or watershed-specific </w:t>
      </w:r>
      <w:r w:rsidR="00FC2E42">
        <w:rPr>
          <w:rFonts w:ascii="Garamond" w:hAnsi="Garamond"/>
          <w:sz w:val="22"/>
          <w:szCs w:val="22"/>
        </w:rPr>
        <w:t xml:space="preserve">identifier based on the unique pathways through to the marine environment. </w:t>
      </w:r>
      <w:r w:rsidR="002C12CC">
        <w:rPr>
          <w:rFonts w:ascii="Garamond" w:hAnsi="Garamond"/>
          <w:sz w:val="22"/>
          <w:szCs w:val="22"/>
        </w:rPr>
        <w:t xml:space="preserve">However, given the subtlety of these patterns as </w:t>
      </w:r>
      <w:r w:rsidR="002C12CC">
        <w:rPr>
          <w:rFonts w:ascii="Garamond" w:hAnsi="Garamond"/>
          <w:sz w:val="22"/>
          <w:szCs w:val="22"/>
        </w:rPr>
        <w:lastRenderedPageBreak/>
        <w:t xml:space="preserve">well as the scale of potential combinations in a large river basin, these unique identifiers are not readily identifiable given traditional statistical tools or manual methods. </w:t>
      </w:r>
    </w:p>
    <w:p w14:paraId="5ED2AE5F" w14:textId="2DE69BEB" w:rsidR="00F6547F" w:rsidRPr="007C6AED" w:rsidRDefault="00F64010" w:rsidP="002C12CC">
      <w:pPr>
        <w:spacing w:line="480" w:lineRule="auto"/>
        <w:ind w:firstLine="720"/>
        <w:rPr>
          <w:rFonts w:ascii="Garamond" w:hAnsi="Garamond"/>
          <w:sz w:val="22"/>
          <w:szCs w:val="22"/>
        </w:rPr>
      </w:pPr>
      <w:r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At the same time, there is growing recognition that collapsing continuous laser ablation (LA) data into single, discrete values results in the loss of potentially powerful information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(Hegg &amp; Kennedy, 2021)</w:t>
      </w:r>
      <w:r w:rsidRPr="007C6AED">
        <w:rPr>
          <w:rFonts w:ascii="Garamond" w:hAnsi="Garamond"/>
          <w:sz w:val="22"/>
          <w:szCs w:val="22"/>
        </w:rPr>
        <w:fldChar w:fldCharType="end"/>
      </w:r>
      <w:r w:rsidRPr="007C6AED">
        <w:rPr>
          <w:rFonts w:ascii="Garamond" w:hAnsi="Garamond"/>
          <w:sz w:val="22"/>
          <w:szCs w:val="22"/>
        </w:rPr>
        <w:t xml:space="preserve">. Leveraging the statistical power of machine learning on sequentially ordered otolith time-series data may enable the detection of otherwise indiscernible patterns within and across LA datasets, potentially revealing key life history traits and providing novel insights into ecological processes across space and time. Here, we apply machine learning classification algorithms to </w:t>
      </w:r>
      <w:r w:rsidR="002C12CC">
        <w:rPr>
          <w:rFonts w:ascii="Garamond" w:hAnsi="Garamond"/>
          <w:sz w:val="22"/>
          <w:szCs w:val="22"/>
        </w:rPr>
        <w:t xml:space="preserve">a large dataset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58E9B1B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w:t>
      </w:r>
      <w:r w:rsidR="0051389E">
        <w:rPr>
          <w:rFonts w:ascii="Garamond" w:hAnsi="Garamond"/>
          <w:b/>
          <w:bCs/>
          <w:sz w:val="22"/>
          <w:szCs w:val="22"/>
          <w:u w:val="single"/>
        </w:rPr>
        <w:t xml:space="preserve">Laser Ablation Data. </w:t>
      </w:r>
    </w:p>
    <w:p w14:paraId="5A85303E" w14:textId="09BFF970"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xml:space="preserve">, </w:t>
      </w:r>
      <w:r w:rsidR="0075722E" w:rsidRPr="00CE7F91">
        <w:rPr>
          <w:rFonts w:ascii="Garamond" w:hAnsi="Garamond"/>
          <w:sz w:val="22"/>
          <w:szCs w:val="22"/>
        </w:rPr>
        <w:lastRenderedPageBreak/>
        <w:t>mounted on microscope slides, and polished to enhance clarity</w:t>
      </w:r>
      <w:r w:rsidR="0051389E">
        <w:rPr>
          <w:rFonts w:ascii="Garamond" w:hAnsi="Garamond"/>
          <w:sz w:val="22"/>
          <w:szCs w:val="22"/>
        </w:rPr>
        <w:t xml:space="preserve"> </w:t>
      </w:r>
      <w:r w:rsidR="0051389E" w:rsidRPr="0051389E">
        <w:rPr>
          <w:rFonts w:ascii="Garamond" w:hAnsi="Garamond"/>
          <w:sz w:val="22"/>
          <w:szCs w:val="22"/>
          <w:highlight w:val="yellow"/>
        </w:rPr>
        <w:t>(CITE)</w:t>
      </w:r>
      <w:r w:rsidR="00886C18">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with the exception of 2022 Kuskokwim samples</w:t>
      </w:r>
      <w:r w:rsidR="002A47CE">
        <w:rPr>
          <w:rFonts w:ascii="Garamond" w:hAnsi="Garamond"/>
          <w:sz w:val="22"/>
          <w:szCs w:val="22"/>
        </w:rPr>
        <w:t xml:space="preserve"> </w:t>
      </w:r>
      <w:r w:rsidR="00DF1513" w:rsidRPr="00CE7F91">
        <w:rPr>
          <w:rFonts w:ascii="Garamond" w:hAnsi="Garamond"/>
          <w:sz w:val="22"/>
          <w:szCs w:val="22"/>
        </w:rPr>
        <w:t xml:space="preserve">which were processed at the </w:t>
      </w:r>
      <w:commentRangeStart w:id="0"/>
      <w:r w:rsidR="00DF1513" w:rsidRPr="00CE7F91">
        <w:rPr>
          <w:rFonts w:ascii="Garamond" w:hAnsi="Garamond"/>
          <w:sz w:val="22"/>
          <w:szCs w:val="22"/>
        </w:rPr>
        <w:t xml:space="preserve">Keck Lab </w:t>
      </w:r>
      <w:commentRangeEnd w:id="0"/>
      <w:r w:rsidR="002A47CE">
        <w:rPr>
          <w:rStyle w:val="CommentReference"/>
        </w:rPr>
        <w:commentReference w:id="0"/>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 xml:space="preserve">The resulting dataset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Sr8786 and Sr88 along the same transect for all individuals.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7EC1B482" w14:textId="23F3D6D5"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LA timeseries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proofErr w:type="spellStart"/>
      <w:r w:rsidRPr="005E7567">
        <w:rPr>
          <w:rFonts w:ascii="Garamond" w:hAnsi="Garamond"/>
          <w:sz w:val="22"/>
          <w:szCs w:val="22"/>
        </w:rPr>
        <w:t>to</w:t>
      </w:r>
      <w:r w:rsidR="002A47CE">
        <w:rPr>
          <w:rFonts w:ascii="Garamond" w:hAnsi="Garamond"/>
          <w:sz w:val="22"/>
          <w:szCs w:val="22"/>
        </w:rPr>
        <w:t>wars</w:t>
      </w:r>
      <w:proofErr w:type="spellEnd"/>
      <w:r w:rsidR="00CE7F91">
        <w:rPr>
          <w:rFonts w:ascii="Garamond" w:hAnsi="Garamond"/>
          <w:sz w:val="22"/>
          <w:szCs w:val="22"/>
        </w:rPr>
        <w:t xml:space="preserve"> global marine value</w:t>
      </w:r>
      <w:r w:rsidR="002A47CE">
        <w:rPr>
          <w:rFonts w:ascii="Garamond" w:hAnsi="Garamond"/>
          <w:sz w:val="22"/>
          <w:szCs w:val="22"/>
        </w:rPr>
        <w:t xml:space="preserve"> at the end of the </w:t>
      </w:r>
      <w:proofErr w:type="spellStart"/>
      <w:r w:rsidR="002A47CE">
        <w:rPr>
          <w:rFonts w:ascii="Garamond" w:hAnsi="Garamond"/>
          <w:sz w:val="22"/>
          <w:szCs w:val="22"/>
        </w:rPr>
        <w:t>timeeries</w:t>
      </w:r>
      <w:proofErr w:type="spellEnd"/>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proofErr w:type="spellStart"/>
      <w:r w:rsidR="006C1496">
        <w:rPr>
          <w:rFonts w:ascii="Garamond" w:hAnsi="Garamond"/>
          <w:sz w:val="22"/>
          <w:szCs w:val="22"/>
        </w:rPr>
        <w:t>biase</w:t>
      </w:r>
      <w:proofErr w:type="spellEnd"/>
      <w:r w:rsidR="006C1496">
        <w:rPr>
          <w:rFonts w:ascii="Garamond" w:hAnsi="Garamond"/>
          <w:sz w:val="22"/>
          <w:szCs w:val="22"/>
        </w:rPr>
        <w:t xml:space="preserve"> </w:t>
      </w:r>
      <w:r w:rsidRPr="005E7567">
        <w:rPr>
          <w:rFonts w:ascii="Garamond" w:hAnsi="Garamond"/>
          <w:sz w:val="22"/>
          <w:szCs w:val="22"/>
        </w:rPr>
        <w:t>by</w:t>
      </w:r>
      <w:r w:rsidR="006C1496">
        <w:rPr>
          <w:rFonts w:ascii="Garamond" w:hAnsi="Garamond"/>
          <w:sz w:val="22"/>
          <w:szCs w:val="22"/>
        </w:rPr>
        <w:t xml:space="preserve"> watershed. </w:t>
      </w:r>
      <w:r w:rsidR="009E23C6">
        <w:rPr>
          <w:rFonts w:ascii="Garamond" w:hAnsi="Garamond"/>
          <w:sz w:val="22"/>
          <w:szCs w:val="22"/>
        </w:rPr>
        <w:t xml:space="preserve"> Samples with significant error from sample prep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w:t>
      </w:r>
      <w:proofErr w:type="gramStart"/>
      <w:r w:rsidR="006C1496">
        <w:rPr>
          <w:rFonts w:ascii="Garamond" w:hAnsi="Garamond"/>
          <w:sz w:val="22"/>
          <w:szCs w:val="22"/>
        </w:rPr>
        <w:t>( 971</w:t>
      </w:r>
      <w:proofErr w:type="gramEnd"/>
      <w:r w:rsidR="006C1496">
        <w:rPr>
          <w:rFonts w:ascii="Garamond" w:hAnsi="Garamond"/>
          <w:sz w:val="22"/>
          <w:szCs w:val="22"/>
        </w:rPr>
        <w:t xml:space="preserve">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6591EEB9" w:rsidR="00701699" w:rsidRDefault="009E23C6" w:rsidP="00B008EE">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 xml:space="preserve">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 full dataset: GAM-</w:t>
      </w:r>
      <w:r w:rsidR="00B008EE" w:rsidRPr="00B008EE">
        <w:rPr>
          <w:rFonts w:ascii="Garamond" w:hAnsi="Garamond"/>
          <w:sz w:val="22"/>
          <w:szCs w:val="22"/>
        </w:rPr>
        <w:lastRenderedPageBreak/>
        <w:t>smoothed, MA-smoothed, and raw LA data.</w:t>
      </w:r>
      <w:r w:rsidR="00B008EE">
        <w:rPr>
          <w:rFonts w:ascii="Garamond" w:hAnsi="Garamond"/>
          <w:sz w:val="22"/>
          <w:szCs w:val="22"/>
        </w:rPr>
        <w:t xml:space="preserve"> </w:t>
      </w:r>
      <w:r w:rsidR="00B008EE" w:rsidRPr="00B008EE">
        <w:rPr>
          <w:rFonts w:ascii="Garamond" w:hAnsi="Garamond"/>
          <w:sz w:val="22"/>
          <w:szCs w:val="22"/>
        </w:rPr>
        <w:t xml:space="preserve">Finally, variation in size among individuals produces time series of differing lengths. However, many machine learning algorithms require fixed-length vectors. To address this, all samples were interpolated to a common length, defined as the average length of </w:t>
      </w:r>
      <w:proofErr w:type="spellStart"/>
      <w:r w:rsidR="00B008EE" w:rsidRPr="00B008EE">
        <w:rPr>
          <w:rFonts w:ascii="Garamond" w:hAnsi="Garamond"/>
          <w:sz w:val="22"/>
          <w:szCs w:val="22"/>
        </w:rPr>
        <w:t>all time</w:t>
      </w:r>
      <w:proofErr w:type="spellEnd"/>
      <w:r w:rsidR="00B008EE" w:rsidRPr="00B008EE">
        <w:rPr>
          <w:rFonts w:ascii="Garamond" w:hAnsi="Garamond"/>
          <w:sz w:val="22"/>
          <w:szCs w:val="22"/>
        </w:rPr>
        <w:t xml:space="preserve"> series (700 points for non-MA and 600 points for MA-smoothed samples, respectively) </w:t>
      </w:r>
      <w:r w:rsidR="00701699">
        <w:rPr>
          <w:rFonts w:ascii="Garamond" w:hAnsi="Garamond"/>
          <w:sz w:val="22"/>
          <w:szCs w:val="22"/>
        </w:rPr>
        <w:t>(Hegg and Kennedy, 2021).</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ABEB5C6"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 assess the degree of separation between populations in reduced dimensional space</w:t>
      </w:r>
      <w:r w:rsidR="00730E96">
        <w:rPr>
          <w:rFonts w:ascii="Garamond" w:hAnsi="Garamond"/>
          <w:sz w:val="22"/>
          <w:szCs w:val="22"/>
        </w:rPr>
        <w:t xml:space="preserve"> (Figure 4). </w:t>
      </w:r>
    </w:p>
    <w:p w14:paraId="33F525AD" w14:textId="7FF9CC09" w:rsidR="002F10A9" w:rsidRDefault="00AF5A80" w:rsidP="00AE24AA">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w:t>
      </w:r>
      <w:proofErr w:type="gramStart"/>
      <w:r w:rsidR="00730E96" w:rsidRPr="00AE24AA">
        <w:rPr>
          <w:rFonts w:ascii="Garamond" w:hAnsi="Garamond"/>
          <w:sz w:val="22"/>
          <w:szCs w:val="22"/>
        </w:rPr>
        <w:t xml:space="preserve">timeseries </w:t>
      </w:r>
      <w:r w:rsidRPr="00AE24AA">
        <w:rPr>
          <w:rFonts w:ascii="Garamond" w:hAnsi="Garamond"/>
          <w:sz w:val="22"/>
          <w:szCs w:val="22"/>
        </w:rPr>
        <w:t xml:space="preserve"> that</w:t>
      </w:r>
      <w:proofErr w:type="gramEnd"/>
      <w:r w:rsidRPr="00AE24AA">
        <w:rPr>
          <w:rFonts w:ascii="Garamond" w:hAnsi="Garamond"/>
          <w:sz w:val="22"/>
          <w:szCs w:val="22"/>
        </w:rPr>
        <w:t xml:space="preserve"> are otherwise indistinguishable using natal origin alone</w:t>
      </w:r>
      <w:r w:rsidR="00730E96" w:rsidRPr="00AE24AA">
        <w:rPr>
          <w:rFonts w:ascii="Garamond" w:hAnsi="Garamond"/>
          <w:sz w:val="22"/>
          <w:szCs w:val="22"/>
        </w:rPr>
        <w:t xml:space="preserve">, PCA analysis is also done on a subset of the GAM smoothed dataset which include only individuals with a natal origin Sr8786 of 0.7075- 0.7080. </w:t>
      </w:r>
      <w:r w:rsidRPr="00AE24AA">
        <w:rPr>
          <w:rFonts w:ascii="Garamond" w:hAnsi="Garamond"/>
          <w:sz w:val="22"/>
          <w:szCs w:val="22"/>
        </w:rPr>
        <w:t xml:space="preserve"> </w:t>
      </w:r>
      <w:r w:rsidR="00730E96" w:rsidRPr="00AE24AA">
        <w:rPr>
          <w:rFonts w:ascii="Garamond" w:hAnsi="Garamond"/>
          <w:sz w:val="22"/>
          <w:szCs w:val="22"/>
        </w:rPr>
        <w:t xml:space="preserve">PCA plots were produced to visualize clustering of both PC1 </w:t>
      </w:r>
      <w:proofErr w:type="gramStart"/>
      <w:r w:rsidR="00730E96" w:rsidRPr="00AE24AA">
        <w:rPr>
          <w:rFonts w:ascii="Garamond" w:hAnsi="Garamond"/>
          <w:sz w:val="22"/>
          <w:szCs w:val="22"/>
        </w:rPr>
        <w:t>( 47.46</w:t>
      </w:r>
      <w:proofErr w:type="gramEnd"/>
      <w:r w:rsidR="00730E96" w:rsidRPr="00AE24AA">
        <w:rPr>
          <w:rFonts w:ascii="Garamond" w:hAnsi="Garamond"/>
          <w:sz w:val="22"/>
          <w:szCs w:val="22"/>
        </w:rPr>
        <w:t xml:space="preserve">% of variance) and PC2 (20.93% of variance) as well as between PC1 and PC3 (10.23% of variance). </w:t>
      </w:r>
      <w:r w:rsidR="005F1D8A" w:rsidRPr="00AE24AA">
        <w:rPr>
          <w:rFonts w:ascii="Garamond" w:hAnsi="Garamond"/>
          <w:sz w:val="22"/>
          <w:szCs w:val="22"/>
        </w:rPr>
        <w:t>To identify the most discriminatory portions of the timeseries, we mapped the absolute values of principal component loadings onto their corresponding timeseries positions (Figure 5b.)</w:t>
      </w:r>
      <w:r w:rsidR="00AE24AA">
        <w:rPr>
          <w:rFonts w:ascii="Garamond" w:hAnsi="Garamond"/>
          <w:sz w:val="22"/>
          <w:szCs w:val="22"/>
        </w:rPr>
        <w:t xml:space="preserve">. One individual from each watershed was chosen to illustrate this variability. </w:t>
      </w:r>
    </w:p>
    <w:p w14:paraId="7121E6CD" w14:textId="77777777" w:rsidR="00444663" w:rsidRPr="00701699" w:rsidRDefault="00444663" w:rsidP="00444663">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3CA0415B" w14:textId="77777777" w:rsidR="00444663" w:rsidRDefault="00444663" w:rsidP="00444663">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Pr>
          <w:rFonts w:ascii="Garamond" w:hAnsi="Garamond"/>
          <w:sz w:val="22"/>
          <w:szCs w:val="22"/>
        </w:rPr>
        <w:t xml:space="preserve">datasets (non-smoothed (Raw), MA, and GAM). 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Pr>
          <w:rFonts w:ascii="Garamond" w:hAnsi="Garamond"/>
          <w:sz w:val="22"/>
          <w:szCs w:val="22"/>
        </w:rPr>
        <w:t xml:space="preserve">. </w:t>
      </w:r>
      <w:r w:rsidRPr="009B73BD">
        <w:rPr>
          <w:rFonts w:ascii="Garamond" w:hAnsi="Garamond"/>
          <w:sz w:val="22"/>
          <w:szCs w:val="22"/>
        </w:rPr>
        <w:t xml:space="preserve">The </w:t>
      </w:r>
      <w:proofErr w:type="spellStart"/>
      <w:r w:rsidRPr="00701699">
        <w:rPr>
          <w:rFonts w:ascii="Garamond" w:hAnsi="Garamond"/>
          <w:sz w:val="22"/>
          <w:szCs w:val="22"/>
        </w:rPr>
        <w:lastRenderedPageBreak/>
        <w:t>The</w:t>
      </w:r>
      <w:proofErr w:type="spellEnd"/>
      <w:r w:rsidRPr="00701699">
        <w:rPr>
          <w:rFonts w:ascii="Garamond" w:hAnsi="Garamond"/>
          <w:sz w:val="22"/>
          <w:szCs w:val="22"/>
        </w:rPr>
        <w:t xml:space="preserve"> Random Forest model was configured with 500 trees, and the number of predictors randomly sampled at each split (</w:t>
      </w:r>
      <w:proofErr w:type="spellStart"/>
      <w:r w:rsidRPr="00701699">
        <w:rPr>
          <w:rStyle w:val="HTMLCode"/>
          <w:rFonts w:ascii="Garamond" w:eastAsiaTheme="majorEastAsia" w:hAnsi="Garamond"/>
          <w:sz w:val="22"/>
          <w:szCs w:val="22"/>
        </w:rPr>
        <w:t>mtry</w:t>
      </w:r>
      <w:proofErr w:type="spellEnd"/>
      <w:r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Pr="00701699">
        <w:rPr>
          <w:rStyle w:val="HTMLCode"/>
          <w:rFonts w:ascii="Garamond" w:eastAsiaTheme="majorEastAsia" w:hAnsi="Garamond"/>
          <w:sz w:val="22"/>
          <w:szCs w:val="22"/>
        </w:rPr>
        <w:t>tidymodels</w:t>
      </w:r>
      <w:proofErr w:type="spellEnd"/>
      <w:r w:rsidRPr="00701699">
        <w:rPr>
          <w:rFonts w:ascii="Garamond" w:hAnsi="Garamond"/>
          <w:sz w:val="22"/>
          <w:szCs w:val="22"/>
        </w:rPr>
        <w:t xml:space="preserve"> framework in R</w:t>
      </w:r>
      <w:r>
        <w:rPr>
          <w:rFonts w:ascii="Garamond" w:hAnsi="Garamond"/>
          <w:sz w:val="22"/>
          <w:szCs w:val="22"/>
        </w:rPr>
        <w:t xml:space="preserve">. </w:t>
      </w:r>
    </w:p>
    <w:p w14:paraId="2A7C5DD0" w14:textId="7FE9D740" w:rsidR="00AE24AA" w:rsidRPr="00AE24AA" w:rsidRDefault="00444663" w:rsidP="00444663">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evaluated on two separate testing datasets.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0.7150 were removed. Only the Yukon watershed contains enriched isotope values above this threshold and can therefore be distinguished using natal origin values alone. This modified dataset tests model classification accuracy on samples that are otherwise indistinguishable using natal origin values. These testing sets are referred to as the 'Total' and 'Overlapping' testing sets.</w:t>
      </w:r>
      <w:r>
        <w:rPr>
          <w:rFonts w:ascii="Garamond" w:hAnsi="Garamond"/>
          <w:sz w:val="22"/>
          <w:szCs w:val="22"/>
        </w:rPr>
        <w:t xml:space="preserve"> </w:t>
      </w:r>
      <w:r w:rsidRPr="008A52C4">
        <w:rPr>
          <w:rFonts w:ascii="Garamond" w:hAnsi="Garamond"/>
          <w:sz w:val="22"/>
          <w:szCs w:val="22"/>
        </w:rPr>
        <w:t xml:space="preserve">Model performance was assessed using </w:t>
      </w:r>
      <w:r>
        <w:rPr>
          <w:rFonts w:ascii="Garamond" w:hAnsi="Garamond"/>
          <w:sz w:val="22"/>
          <w:szCs w:val="22"/>
        </w:rPr>
        <w:t xml:space="preserve">accuracy and F1-Score (Figure 2). For the highest preforming model, confusing matrices were generated for both testing sets to visualize class-specific classification accuracy and to explore trends in misclassification among classes (Figure 3). </w:t>
      </w:r>
    </w:p>
    <w:p w14:paraId="1E36E3FD" w14:textId="6F58B80B" w:rsidR="004D2BA0" w:rsidRPr="00FB146C" w:rsidRDefault="004D2BA0" w:rsidP="004D2BA0">
      <w:pPr>
        <w:rPr>
          <w:rFonts w:ascii="Garamond" w:hAnsi="Garamond"/>
          <w:b/>
          <w:bCs/>
          <w:sz w:val="22"/>
          <w:szCs w:val="22"/>
          <w:u w:val="single"/>
        </w:rPr>
      </w:pPr>
      <w:r w:rsidRPr="00FB146C">
        <w:rPr>
          <w:rFonts w:ascii="Garamond" w:hAnsi="Garamond"/>
          <w:b/>
          <w:bCs/>
          <w:sz w:val="22"/>
          <w:szCs w:val="22"/>
          <w:u w:val="single"/>
        </w:rPr>
        <w:t xml:space="preserve">Probability </w:t>
      </w:r>
      <w:r w:rsidR="002F10A9" w:rsidRPr="00FB146C">
        <w:rPr>
          <w:rFonts w:ascii="Garamond" w:hAnsi="Garamond"/>
          <w:b/>
          <w:bCs/>
          <w:sz w:val="22"/>
          <w:szCs w:val="22"/>
          <w:u w:val="single"/>
        </w:rPr>
        <w:t xml:space="preserve">calibration </w:t>
      </w:r>
      <w:r w:rsidR="00527EB9" w:rsidRPr="00FB146C">
        <w:rPr>
          <w:rFonts w:ascii="Garamond" w:hAnsi="Garamond"/>
          <w:b/>
          <w:bCs/>
          <w:sz w:val="22"/>
          <w:szCs w:val="22"/>
          <w:u w:val="single"/>
        </w:rPr>
        <w:t xml:space="preserve">and threshold testing </w:t>
      </w:r>
    </w:p>
    <w:p w14:paraId="6C00951C" w14:textId="594CB59D" w:rsidR="00F6547F" w:rsidRPr="00985634" w:rsidRDefault="00FB146C" w:rsidP="00985634">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Pr="00D440B2">
        <w:rPr>
          <w:rStyle w:val="HTMLCode"/>
          <w:rFonts w:ascii="Garamond" w:eastAsiaTheme="majorEastAsia" w:hAnsi="Garamond"/>
          <w:sz w:val="22"/>
          <w:szCs w:val="22"/>
        </w:rPr>
        <w:t>probably</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diagrams that plot predicted probabilities against observed class frequencies across probability bins. Additionally, we quantified calibration improvements using Brier scores and logarithmic loss </w:t>
      </w:r>
      <w:r w:rsidRPr="00D440B2">
        <w:rPr>
          <w:rFonts w:ascii="Garamond" w:hAnsi="Garamond"/>
          <w:sz w:val="22"/>
          <w:szCs w:val="22"/>
        </w:rPr>
        <w:lastRenderedPageBreak/>
        <w:t xml:space="preserve">calculated before and after </w:t>
      </w:r>
      <w:proofErr w:type="spellStart"/>
      <w:proofErr w:type="gramStart"/>
      <w:r w:rsidRPr="00D440B2">
        <w:rPr>
          <w:rFonts w:ascii="Garamond" w:hAnsi="Garamond"/>
          <w:sz w:val="22"/>
          <w:szCs w:val="22"/>
        </w:rPr>
        <w:t>calibration.Calibration</w:t>
      </w:r>
      <w:proofErr w:type="spellEnd"/>
      <w:proofErr w:type="gramEnd"/>
      <w:r w:rsidRPr="00D440B2">
        <w:rPr>
          <w:rFonts w:ascii="Garamond" w:hAnsi="Garamond"/>
          <w:sz w:val="22"/>
          <w:szCs w:val="22"/>
        </w:rPr>
        <w:t xml:space="preserve">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From calibrated probabilities we tested the accuracy obtained with different confidence thresholds for the highest preforming model. This is defined as the probability of correctly assigned individuals with a</w:t>
      </w:r>
      <w:r w:rsidR="00C51A58">
        <w:rPr>
          <w:rFonts w:ascii="Garamond" w:hAnsi="Garamond"/>
          <w:sz w:val="22"/>
          <w:szCs w:val="22"/>
        </w:rPr>
        <w:t xml:space="preserve">n assignment probability greater than a given threshold. We tested thresholds of 60 – 90 % confidence by 5% increments and recorded both the class specific and overall accuracy at each (Figure 6). </w:t>
      </w:r>
    </w:p>
    <w:p w14:paraId="3B505BBA" w14:textId="77777777" w:rsidR="00ED3EE6" w:rsidRPr="008E7FFA" w:rsidRDefault="003E5607" w:rsidP="003E5607">
      <w:pPr>
        <w:tabs>
          <w:tab w:val="left" w:pos="3088"/>
        </w:tabs>
        <w:rPr>
          <w:rFonts w:ascii="Garamond" w:hAnsi="Garamond"/>
          <w:b/>
          <w:bCs/>
          <w:sz w:val="40"/>
          <w:szCs w:val="40"/>
        </w:rPr>
      </w:pPr>
      <w:r w:rsidRPr="008E7FFA">
        <w:rPr>
          <w:rFonts w:ascii="Garamond" w:hAnsi="Garamond"/>
          <w:b/>
          <w:bCs/>
          <w:sz w:val="40"/>
          <w:szCs w:val="40"/>
        </w:rPr>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0CBBB586" w14:textId="701E3AB5" w:rsidR="003F681E" w:rsidRDefault="008E7FFA" w:rsidP="003F681E">
      <w:pPr>
        <w:spacing w:line="480" w:lineRule="auto"/>
        <w:ind w:firstLine="720"/>
        <w:rPr>
          <w:rFonts w:ascii="Garamond" w:hAnsi="Garamond"/>
          <w:sz w:val="22"/>
          <w:szCs w:val="22"/>
        </w:rPr>
      </w:pPr>
      <w:r>
        <w:rPr>
          <w:rFonts w:ascii="Garamond" w:hAnsi="Garamond"/>
          <w:sz w:val="22"/>
          <w:szCs w:val="22"/>
        </w:rPr>
        <w:t>Accuracy a</w:t>
      </w:r>
      <w:r w:rsidR="003A63D4"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w:t>
      </w:r>
      <w:r w:rsidR="003F681E">
        <w:rPr>
          <w:rFonts w:ascii="Garamond" w:hAnsi="Garamond"/>
          <w:sz w:val="22"/>
          <w:szCs w:val="22"/>
        </w:rPr>
        <w:t xml:space="preserve">92.2%. The </w:t>
      </w:r>
      <w:r w:rsidR="003A63D4"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001E36C2" w:rsidRPr="00841F42">
        <w:rPr>
          <w:rFonts w:ascii="Garamond" w:hAnsi="Garamond"/>
          <w:sz w:val="22"/>
          <w:szCs w:val="22"/>
        </w:rPr>
        <w:t>In general, RF analysis outperformed both KNN and SVM, however, SVM was the highest performer on Raw datasets (89.8% accuracy on total testing set and 87.0% on overlapping testing set)</w:t>
      </w:r>
      <w:r w:rsidR="003F681E">
        <w:rPr>
          <w:rFonts w:ascii="Garamond" w:hAnsi="Garamond"/>
          <w:sz w:val="22"/>
          <w:szCs w:val="22"/>
        </w:rPr>
        <w:t xml:space="preserve">, which may have more dimensionality due to less autocorrelation among points. </w:t>
      </w:r>
      <w:r w:rsidR="001E36C2" w:rsidRPr="00841F42">
        <w:rPr>
          <w:rFonts w:ascii="Garamond" w:hAnsi="Garamond"/>
          <w:sz w:val="22"/>
          <w:szCs w:val="22"/>
        </w:rPr>
        <w:t>Unsurprisingly, the overlapping training set performance was slightly lower than that of the total training set, with the highest classification accuracy of 90.</w:t>
      </w:r>
      <w:r w:rsidR="003F681E">
        <w:rPr>
          <w:rFonts w:ascii="Garamond" w:hAnsi="Garamond"/>
          <w:sz w:val="22"/>
          <w:szCs w:val="22"/>
        </w:rPr>
        <w:t>9</w:t>
      </w:r>
      <w:r w:rsidR="001E36C2" w:rsidRPr="00841F42">
        <w:rPr>
          <w:rFonts w:ascii="Garamond" w:hAnsi="Garamond"/>
          <w:sz w:val="22"/>
          <w:szCs w:val="22"/>
        </w:rPr>
        <w:t>% as compared to 92.</w:t>
      </w:r>
      <w:r w:rsidR="003F681E">
        <w:rPr>
          <w:rFonts w:ascii="Garamond" w:hAnsi="Garamond"/>
          <w:sz w:val="22"/>
          <w:szCs w:val="22"/>
        </w:rPr>
        <w:t>2</w:t>
      </w:r>
      <w:r w:rsidR="001E36C2" w:rsidRPr="00841F42">
        <w:rPr>
          <w:rFonts w:ascii="Garamond" w:hAnsi="Garamond"/>
          <w:sz w:val="22"/>
          <w:szCs w:val="22"/>
        </w:rPr>
        <w:t xml:space="preserve">%. </w:t>
      </w:r>
      <w:r w:rsidR="003F681E">
        <w:rPr>
          <w:rFonts w:ascii="Garamond" w:hAnsi="Garamond"/>
          <w:sz w:val="22"/>
          <w:szCs w:val="22"/>
        </w:rPr>
        <w:t xml:space="preserve">These results are expected given the relatively straightforward discrimination of highly enriched Yukon samples which were removed in the overlapping comparison.  </w:t>
      </w:r>
    </w:p>
    <w:p w14:paraId="55EFA72A" w14:textId="55152B49" w:rsidR="003A63D4" w:rsidRPr="00052F65" w:rsidRDefault="003F681E" w:rsidP="00052F65">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w:t>
      </w:r>
      <w:r>
        <w:rPr>
          <w:rFonts w:ascii="Garamond" w:hAnsi="Garamond"/>
          <w:sz w:val="22"/>
          <w:szCs w:val="22"/>
        </w:rPr>
        <w:lastRenderedPageBreak/>
        <w:t xml:space="preserve">(5.6%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w:t>
      </w:r>
      <w:r w:rsidR="00052F65">
        <w:rPr>
          <w:rFonts w:ascii="Garamond" w:hAnsi="Garamond"/>
          <w:sz w:val="22"/>
          <w:szCs w:val="22"/>
        </w:rPr>
        <w:t xml:space="preserve">.7150), Yukon classification accuracy dropped to 86.8%. Classification accuracy for </w:t>
      </w:r>
      <w:proofErr w:type="spellStart"/>
      <w:r w:rsidR="00052F65">
        <w:rPr>
          <w:rFonts w:ascii="Garamond" w:hAnsi="Garamond"/>
          <w:sz w:val="22"/>
          <w:szCs w:val="22"/>
        </w:rPr>
        <w:t>Nushagak</w:t>
      </w:r>
      <w:proofErr w:type="spellEnd"/>
      <w:r w:rsidR="00052F65">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sidR="00052F65">
        <w:rPr>
          <w:rFonts w:ascii="Garamond" w:hAnsi="Garamond"/>
          <w:sz w:val="22"/>
          <w:szCs w:val="22"/>
        </w:rPr>
        <w:t>),</w:t>
      </w:r>
      <w:proofErr w:type="gramEnd"/>
      <w:r w:rsidR="00052F65">
        <w:rPr>
          <w:rFonts w:ascii="Garamond" w:hAnsi="Garamond"/>
          <w:sz w:val="22"/>
          <w:szCs w:val="22"/>
        </w:rPr>
        <w:t xml:space="preserve"> however this represented only one additional individual misclassified (9 in the total analysis vs 8 in the overlapping analysis). </w:t>
      </w: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2655FEA7"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 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likely reflecting the broader range of potential isotope values that create unique timeseries compared to the more constrained ranges observed in the other two watershed classes</w:t>
      </w:r>
    </w:p>
    <w:p w14:paraId="06F8E81E" w14:textId="44A877AB" w:rsidR="00ED3EE6" w:rsidRPr="00D53F6D" w:rsidRDefault="00D53F6D" w:rsidP="00D53F6D">
      <w:pPr>
        <w:spacing w:line="480" w:lineRule="auto"/>
        <w:ind w:firstLine="720"/>
        <w:rPr>
          <w:rFonts w:ascii="Garamond" w:hAnsi="Garamond"/>
          <w:sz w:val="22"/>
          <w:szCs w:val="22"/>
        </w:rPr>
      </w:pPr>
      <w:r w:rsidRPr="00D53F6D">
        <w:rPr>
          <w:rFonts w:ascii="Garamond" w:hAnsi="Garamond"/>
          <w:sz w:val="22"/>
          <w:szCs w:val="22"/>
        </w:rPr>
        <w:t>Mapping the loadings of each principal component onto the timeseries revealed distinct regions driving class separation. The first principal component showed high loading values in the middle portion of the timeseries, potentially encompassing both natal origin regions and 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 Principal component 3 appeared to be driven by values at the very beginning of the timeseries, corresponding to the start of the natal origin signature. The minimal discrimination among watersheds along this component was expected, as all individuals in this dataset shared the same natal origin value</w:t>
      </w:r>
      <w:r>
        <w:rPr>
          <w:rFonts w:ascii="Garamond" w:hAnsi="Garamond"/>
          <w:sz w:val="22"/>
          <w:szCs w:val="22"/>
        </w:rPr>
        <w:t xml:space="preserve">s. </w:t>
      </w:r>
    </w:p>
    <w:p w14:paraId="036B5F94" w14:textId="77777777" w:rsidR="00D53F6D" w:rsidRDefault="00D53F6D" w:rsidP="003E5607">
      <w:pPr>
        <w:tabs>
          <w:tab w:val="left" w:pos="3088"/>
        </w:tabs>
        <w:rPr>
          <w:rFonts w:ascii="Garamond" w:hAnsi="Garamond"/>
          <w:b/>
          <w:bCs/>
        </w:rPr>
      </w:pPr>
    </w:p>
    <w:p w14:paraId="10B15B8E" w14:textId="27C47E69" w:rsidR="00A043C9" w:rsidRDefault="00ED3EE6" w:rsidP="003E5607">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689794F5" w14:textId="77777777" w:rsidR="00D53F6D" w:rsidRDefault="00D53F6D" w:rsidP="00D53F6D">
      <w:pPr>
        <w:pStyle w:val="NoSpacing"/>
        <w:spacing w:line="480" w:lineRule="auto"/>
        <w:ind w:firstLine="720"/>
        <w:rPr>
          <w:rFonts w:ascii="Garamond" w:hAnsi="Garamond"/>
          <w:sz w:val="22"/>
          <w:szCs w:val="22"/>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03FB920F"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w:t>
      </w:r>
      <w:proofErr w:type="gramStart"/>
      <w:r>
        <w:rPr>
          <w:rFonts w:ascii="Garamond" w:hAnsi="Garamond"/>
          <w:sz w:val="22"/>
          <w:szCs w:val="22"/>
        </w:rPr>
        <w:t>% ,</w:t>
      </w:r>
      <w:proofErr w:type="gramEnd"/>
      <w:r>
        <w:rPr>
          <w:rFonts w:ascii="Garamond" w:hAnsi="Garamond"/>
          <w:sz w:val="22"/>
          <w:szCs w:val="22"/>
        </w:rPr>
        <w:t xml:space="preserve">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Default="003E5607" w:rsidP="00071CCC">
      <w:pPr>
        <w:rPr>
          <w:rFonts w:ascii="Garamond" w:hAnsi="Garamond"/>
          <w:sz w:val="32"/>
          <w:szCs w:val="32"/>
        </w:rPr>
      </w:pPr>
      <w:r w:rsidRPr="00E45DBA">
        <w:rPr>
          <w:rFonts w:ascii="Garamond" w:hAnsi="Garamond"/>
          <w:sz w:val="32"/>
          <w:szCs w:val="32"/>
        </w:rPr>
        <w:t xml:space="preserve">Discussion </w:t>
      </w:r>
    </w:p>
    <w:p w14:paraId="2534E4AB" w14:textId="77777777" w:rsidR="00711B8E" w:rsidRDefault="00711B8E" w:rsidP="00071CCC">
      <w:pPr>
        <w:rPr>
          <w:rFonts w:ascii="Garamond" w:hAnsi="Garamond"/>
          <w:sz w:val="32"/>
          <w:szCs w:val="32"/>
        </w:rPr>
      </w:pPr>
    </w:p>
    <w:p w14:paraId="08D23806" w14:textId="0F1EBC6A" w:rsidR="00711B8E" w:rsidRDefault="00711B8E" w:rsidP="00071CCC">
      <w:pPr>
        <w:rPr>
          <w:rFonts w:ascii="Garamond" w:hAnsi="Garamond"/>
          <w:sz w:val="32"/>
          <w:szCs w:val="32"/>
        </w:rPr>
      </w:pPr>
      <w:r>
        <w:rPr>
          <w:rFonts w:ascii="Garamond" w:hAnsi="Garamond"/>
          <w:sz w:val="32"/>
          <w:szCs w:val="32"/>
        </w:rPr>
        <w:t xml:space="preserve">We demonstrated variability in timeseries, present in unsupervised </w:t>
      </w:r>
      <w:proofErr w:type="gramStart"/>
      <w:r>
        <w:rPr>
          <w:rFonts w:ascii="Garamond" w:hAnsi="Garamond"/>
          <w:sz w:val="32"/>
          <w:szCs w:val="32"/>
        </w:rPr>
        <w:t>clustering ,</w:t>
      </w:r>
      <w:proofErr w:type="gramEnd"/>
      <w:r>
        <w:rPr>
          <w:rFonts w:ascii="Garamond" w:hAnsi="Garamond"/>
          <w:sz w:val="32"/>
          <w:szCs w:val="32"/>
        </w:rPr>
        <w:t xml:space="preserve"> as well as where this variability helps to drive separation among otherwise undistinguishable samples using just the natal origin </w:t>
      </w:r>
    </w:p>
    <w:p w14:paraId="07F382F6" w14:textId="77777777" w:rsidR="00711B8E" w:rsidRPr="00E45DBA" w:rsidRDefault="00711B8E" w:rsidP="00071CCC">
      <w:pPr>
        <w:rPr>
          <w:rFonts w:ascii="Garamond" w:hAnsi="Garamond"/>
          <w:sz w:val="32"/>
          <w:szCs w:val="32"/>
        </w:rPr>
      </w:pPr>
    </w:p>
    <w:p w14:paraId="38F90895" w14:textId="77777777" w:rsidR="003E5607" w:rsidRDefault="003E5607" w:rsidP="00071CCC">
      <w:pPr>
        <w:rPr>
          <w:rFonts w:ascii="Garamond" w:hAnsi="Garamond"/>
          <w:sz w:val="22"/>
          <w:szCs w:val="22"/>
        </w:rPr>
      </w:pPr>
    </w:p>
    <w:p w14:paraId="77330B5C" w14:textId="62FDDFE3" w:rsidR="00071CCC" w:rsidRDefault="001F7701" w:rsidP="00071CCC">
      <w:r>
        <w:t xml:space="preserve"> </w:t>
      </w:r>
      <w:r w:rsidR="00985634">
        <w:t xml:space="preserve">This cannot currently be used for </w:t>
      </w:r>
      <w:proofErr w:type="gramStart"/>
      <w:r w:rsidR="00985634">
        <w:t>In</w:t>
      </w:r>
      <w:proofErr w:type="gramEnd"/>
      <w:r w:rsidR="00985634">
        <w:t xml:space="preserve"> season analysis, and is expensive </w:t>
      </w:r>
    </w:p>
    <w:p w14:paraId="7B48F9A1" w14:textId="7917472F" w:rsidR="00985634" w:rsidRDefault="00711B8E" w:rsidP="00071CCC">
      <w:r>
        <w:t xml:space="preserve">We expect these dynamics change at several temporal scales, but this dataset is huge </w:t>
      </w:r>
    </w:p>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632EC397" w14:textId="77777777" w:rsidR="002A47CE" w:rsidRDefault="002A47CE" w:rsidP="002A47CE">
      <w:r>
        <w:rPr>
          <w:rStyle w:val="CommentReference"/>
        </w:rPr>
        <w:annotationRef/>
      </w:r>
      <w:r>
        <w:rPr>
          <w:sz w:val="20"/>
          <w:szCs w:val="20"/>
        </w:rPr>
        <w:t>Note to self: check for the full name</w:t>
      </w:r>
    </w:p>
    <w:p w14:paraId="07B4BA5C" w14:textId="77777777" w:rsidR="002A47CE" w:rsidRDefault="002A47CE" w:rsidP="002A47CE"/>
  </w:comment>
  <w:comment w:id="1"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B4BA5C" w15:done="0"/>
  <w15:commentEx w15:paraId="51CBD6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85456E" w16cex:dateUtc="2025-08-18T18:18:00Z"/>
  <w16cex:commentExtensible w16cex:durableId="6197010A" w16cex:dateUtc="2025-08-18T1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B4BA5C" w16cid:durableId="4A85456E"/>
  <w16cid:commentId w16cid:paraId="51CBD6D1" w16cid:durableId="619701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3"/>
  </w:num>
  <w:num w:numId="2" w16cid:durableId="1398362279">
    <w:abstractNumId w:val="2"/>
  </w:num>
  <w:num w:numId="3" w16cid:durableId="550503404">
    <w:abstractNumId w:val="0"/>
  </w:num>
  <w:num w:numId="4" w16cid:durableId="114696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26A8"/>
    <w:rsid w:val="00043ACE"/>
    <w:rsid w:val="00052F65"/>
    <w:rsid w:val="00071CCC"/>
    <w:rsid w:val="00083149"/>
    <w:rsid w:val="00091070"/>
    <w:rsid w:val="000941AF"/>
    <w:rsid w:val="00096BA7"/>
    <w:rsid w:val="000C2944"/>
    <w:rsid w:val="000D1B34"/>
    <w:rsid w:val="000F0779"/>
    <w:rsid w:val="000F4EE0"/>
    <w:rsid w:val="000F4F29"/>
    <w:rsid w:val="0010010D"/>
    <w:rsid w:val="00103E0E"/>
    <w:rsid w:val="00112ED8"/>
    <w:rsid w:val="00135A3B"/>
    <w:rsid w:val="00154136"/>
    <w:rsid w:val="001844EB"/>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F10A9"/>
    <w:rsid w:val="002F5E0E"/>
    <w:rsid w:val="002F666C"/>
    <w:rsid w:val="00302CA2"/>
    <w:rsid w:val="0031165E"/>
    <w:rsid w:val="00311BF2"/>
    <w:rsid w:val="0032184B"/>
    <w:rsid w:val="00354445"/>
    <w:rsid w:val="003606FC"/>
    <w:rsid w:val="00364186"/>
    <w:rsid w:val="003642FE"/>
    <w:rsid w:val="0038560E"/>
    <w:rsid w:val="00386D82"/>
    <w:rsid w:val="003A63D4"/>
    <w:rsid w:val="003A69C6"/>
    <w:rsid w:val="003A7A96"/>
    <w:rsid w:val="003B0A46"/>
    <w:rsid w:val="003E5607"/>
    <w:rsid w:val="003F681E"/>
    <w:rsid w:val="003F7E9E"/>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25222"/>
    <w:rsid w:val="00526D9D"/>
    <w:rsid w:val="00527EB9"/>
    <w:rsid w:val="00530E86"/>
    <w:rsid w:val="00533C00"/>
    <w:rsid w:val="0053609D"/>
    <w:rsid w:val="00542302"/>
    <w:rsid w:val="00563F6D"/>
    <w:rsid w:val="005672B1"/>
    <w:rsid w:val="005A0FE2"/>
    <w:rsid w:val="005B3BF5"/>
    <w:rsid w:val="005C1DE3"/>
    <w:rsid w:val="005E7567"/>
    <w:rsid w:val="005F0F57"/>
    <w:rsid w:val="005F1D8A"/>
    <w:rsid w:val="0063065E"/>
    <w:rsid w:val="00643661"/>
    <w:rsid w:val="00651A61"/>
    <w:rsid w:val="006624B2"/>
    <w:rsid w:val="00673B21"/>
    <w:rsid w:val="00683419"/>
    <w:rsid w:val="00694712"/>
    <w:rsid w:val="006A5948"/>
    <w:rsid w:val="006C1496"/>
    <w:rsid w:val="006C63F4"/>
    <w:rsid w:val="006D0CB1"/>
    <w:rsid w:val="006D1DD4"/>
    <w:rsid w:val="006D218F"/>
    <w:rsid w:val="006D3221"/>
    <w:rsid w:val="006E1563"/>
    <w:rsid w:val="006E32E4"/>
    <w:rsid w:val="006F084E"/>
    <w:rsid w:val="006F3408"/>
    <w:rsid w:val="00701699"/>
    <w:rsid w:val="00711B8E"/>
    <w:rsid w:val="00721D27"/>
    <w:rsid w:val="00726EC4"/>
    <w:rsid w:val="00730E96"/>
    <w:rsid w:val="00737BCD"/>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41057"/>
    <w:rsid w:val="00841F42"/>
    <w:rsid w:val="008475B7"/>
    <w:rsid w:val="00882F20"/>
    <w:rsid w:val="00884ECC"/>
    <w:rsid w:val="00886C18"/>
    <w:rsid w:val="00892DEA"/>
    <w:rsid w:val="00894C0A"/>
    <w:rsid w:val="008A1DA2"/>
    <w:rsid w:val="008A52C4"/>
    <w:rsid w:val="008A53F5"/>
    <w:rsid w:val="008A545E"/>
    <w:rsid w:val="008A7985"/>
    <w:rsid w:val="008C5595"/>
    <w:rsid w:val="008C5FCA"/>
    <w:rsid w:val="008C6234"/>
    <w:rsid w:val="008C7400"/>
    <w:rsid w:val="008D0D27"/>
    <w:rsid w:val="008E7FFA"/>
    <w:rsid w:val="00907410"/>
    <w:rsid w:val="00911D52"/>
    <w:rsid w:val="009157FF"/>
    <w:rsid w:val="0092735E"/>
    <w:rsid w:val="009326D5"/>
    <w:rsid w:val="00941848"/>
    <w:rsid w:val="0095522F"/>
    <w:rsid w:val="00960D9E"/>
    <w:rsid w:val="00965651"/>
    <w:rsid w:val="00967D0B"/>
    <w:rsid w:val="009743E7"/>
    <w:rsid w:val="00985634"/>
    <w:rsid w:val="0099371C"/>
    <w:rsid w:val="00997FB9"/>
    <w:rsid w:val="009A02DB"/>
    <w:rsid w:val="009A29F5"/>
    <w:rsid w:val="009B0B8C"/>
    <w:rsid w:val="009B4729"/>
    <w:rsid w:val="009B73BD"/>
    <w:rsid w:val="009C5E47"/>
    <w:rsid w:val="009D0CB2"/>
    <w:rsid w:val="009E23C6"/>
    <w:rsid w:val="009F51C3"/>
    <w:rsid w:val="00A0360F"/>
    <w:rsid w:val="00A043C9"/>
    <w:rsid w:val="00A113DB"/>
    <w:rsid w:val="00A16CAA"/>
    <w:rsid w:val="00A31015"/>
    <w:rsid w:val="00A4709E"/>
    <w:rsid w:val="00A4712A"/>
    <w:rsid w:val="00A53E07"/>
    <w:rsid w:val="00A60C7C"/>
    <w:rsid w:val="00A83F4D"/>
    <w:rsid w:val="00AA6FED"/>
    <w:rsid w:val="00AB079F"/>
    <w:rsid w:val="00AB4F2C"/>
    <w:rsid w:val="00AE24AA"/>
    <w:rsid w:val="00AF5A80"/>
    <w:rsid w:val="00B008EE"/>
    <w:rsid w:val="00B119FB"/>
    <w:rsid w:val="00B2797F"/>
    <w:rsid w:val="00B30111"/>
    <w:rsid w:val="00B31CD2"/>
    <w:rsid w:val="00B32AF3"/>
    <w:rsid w:val="00B335D4"/>
    <w:rsid w:val="00B84DE8"/>
    <w:rsid w:val="00B936A6"/>
    <w:rsid w:val="00B96193"/>
    <w:rsid w:val="00BD2714"/>
    <w:rsid w:val="00BD3BE0"/>
    <w:rsid w:val="00BD5921"/>
    <w:rsid w:val="00BF2E8A"/>
    <w:rsid w:val="00C02555"/>
    <w:rsid w:val="00C1569E"/>
    <w:rsid w:val="00C16ECB"/>
    <w:rsid w:val="00C265F6"/>
    <w:rsid w:val="00C426E7"/>
    <w:rsid w:val="00C51A58"/>
    <w:rsid w:val="00C73537"/>
    <w:rsid w:val="00C9741A"/>
    <w:rsid w:val="00CA34D3"/>
    <w:rsid w:val="00CD36CA"/>
    <w:rsid w:val="00CE7F91"/>
    <w:rsid w:val="00CF0294"/>
    <w:rsid w:val="00CF0435"/>
    <w:rsid w:val="00CF5C6C"/>
    <w:rsid w:val="00D210C3"/>
    <w:rsid w:val="00D25194"/>
    <w:rsid w:val="00D440B2"/>
    <w:rsid w:val="00D53F6D"/>
    <w:rsid w:val="00D55132"/>
    <w:rsid w:val="00D7690A"/>
    <w:rsid w:val="00D848A0"/>
    <w:rsid w:val="00D86BCC"/>
    <w:rsid w:val="00D97F1C"/>
    <w:rsid w:val="00DA7891"/>
    <w:rsid w:val="00DB0B6F"/>
    <w:rsid w:val="00DE389D"/>
    <w:rsid w:val="00DF1513"/>
    <w:rsid w:val="00E06D65"/>
    <w:rsid w:val="00E2005E"/>
    <w:rsid w:val="00E22B3F"/>
    <w:rsid w:val="00E454BB"/>
    <w:rsid w:val="00E45DBA"/>
    <w:rsid w:val="00E46DD7"/>
    <w:rsid w:val="00E50AAB"/>
    <w:rsid w:val="00E51F5E"/>
    <w:rsid w:val="00E673AF"/>
    <w:rsid w:val="00E73D9A"/>
    <w:rsid w:val="00EC7467"/>
    <w:rsid w:val="00ED165F"/>
    <w:rsid w:val="00ED3EE6"/>
    <w:rsid w:val="00EE450C"/>
    <w:rsid w:val="00F001C8"/>
    <w:rsid w:val="00F044CE"/>
    <w:rsid w:val="00F06C0C"/>
    <w:rsid w:val="00F13113"/>
    <w:rsid w:val="00F15670"/>
    <w:rsid w:val="00F52F54"/>
    <w:rsid w:val="00F64010"/>
    <w:rsid w:val="00F6547F"/>
    <w:rsid w:val="00F67738"/>
    <w:rsid w:val="00F75B08"/>
    <w:rsid w:val="00F864E5"/>
    <w:rsid w:val="00FA1987"/>
    <w:rsid w:val="00FA6CD2"/>
    <w:rsid w:val="00FB146C"/>
    <w:rsid w:val="00FC2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2250</TotalTime>
  <Pages>10</Pages>
  <Words>8296</Words>
  <Characters>47290</Characters>
  <Application>Microsoft Office Word</Application>
  <DocSecurity>0</DocSecurity>
  <Lines>394</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87</cp:revision>
  <dcterms:created xsi:type="dcterms:W3CDTF">2025-05-19T03:17:00Z</dcterms:created>
  <dcterms:modified xsi:type="dcterms:W3CDTF">2025-09-02T04:31:00Z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id="SB2VnO4d"/&gt;&lt;style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