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30354CB7" w14:textId="0769EBEB" w:rsidR="00F75B08" w:rsidRPr="00A0360F" w:rsidRDefault="00071CCC" w:rsidP="00103E0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6C7AE69D" w14:textId="77777777" w:rsidR="00A0360F" w:rsidRPr="00103E0E" w:rsidRDefault="00A0360F" w:rsidP="00103E0E">
      <w:pPr>
        <w:jc w:val="center"/>
        <w:rPr>
          <w:sz w:val="21"/>
          <w:szCs w:val="21"/>
        </w:rPr>
      </w:pPr>
    </w:p>
    <w:p w14:paraId="3A6ADA8E" w14:textId="2E4397A9" w:rsidR="00354445" w:rsidRPr="00354445" w:rsidRDefault="00354445" w:rsidP="00A0360F">
      <w:pPr>
        <w:pStyle w:val="NormalWeb"/>
        <w:spacing w:line="480" w:lineRule="auto"/>
        <w:ind w:firstLine="720"/>
        <w:rPr>
          <w:sz w:val="22"/>
          <w:szCs w:val="22"/>
        </w:rPr>
      </w:pPr>
      <w:r w:rsidRPr="00354445">
        <w:rPr>
          <w:sz w:val="22"/>
          <w:szCs w:val="22"/>
        </w:rPr>
        <w:t>Amid ongoing declines in Chinook and Chum salmon stocks across Western Alaska, there is an urgent need to identify the mechanisms driving population collapses in the region’s three major salmon-bearing watersheds. Several marine-based stressors have been proposed as potential contributors, including interspecies competition and incidental bycatch in federal trawl fisheries. In response, research efforts have intensified to evaluate the impacts of these stressors on salmon population health. However, most provenance estimates for fish sampled in the marine environment lack spatial resolution, often encompassing all three major watersheds and thousands of kilometers of stream habitat. This coarse geographic scale hampers our ability to assess the impacts of marine mortality on specific rivers, stocks, or upstream communities. Consequently, current methods are poorly suited to evaluate the role of marine mortality on river- or stock-specific population health, limiting our capacity to fully understand the drivers behind ongoing declines</w:t>
      </w:r>
    </w:p>
    <w:p w14:paraId="41E7DD5C" w14:textId="63978219" w:rsidR="008C6234" w:rsidRPr="00A0360F" w:rsidRDefault="00354445" w:rsidP="00A0360F">
      <w:pPr>
        <w:pStyle w:val="NormalWeb"/>
        <w:spacing w:line="480" w:lineRule="auto"/>
        <w:rPr>
          <w:rFonts w:ascii="Garamond" w:hAnsi="Garamond"/>
        </w:rPr>
      </w:pPr>
      <w:r>
        <w:tab/>
      </w:r>
      <w:r w:rsidR="008C6234" w:rsidRPr="00A0360F">
        <w:rPr>
          <w:rFonts w:ascii="Garamond" w:hAnsi="Garamond"/>
        </w:rPr>
        <w:t>Isotope-based methods have emerged as a promising approach for estimating salmon provenance at relatively fine spatial resolutions, particularly in systems where genetics-based approaches offer coarser estimates relative to the scale of available habitat. Otoliths—ear stones found in teleost fishes—act as natural recorders of isotopic and chemical signals from the environment, continuously incorporating these signals into a metabolically inert calcium carbonate matrix that can be extracted and analyzed post-mortem. As such, otolith chemistry serves as a chronological archive of environmental and life-history conditions, enabling the reconstruction of factors such as growth rate, temperature, metabolic rate, and salinity.</w:t>
      </w:r>
      <w:r w:rsidR="008C6234" w:rsidRPr="00A0360F">
        <w:rPr>
          <w:rFonts w:ascii="Garamond" w:hAnsi="Garamond"/>
        </w:rPr>
        <w:t xml:space="preserve"> </w:t>
      </w:r>
      <w:r w:rsidR="008C6234" w:rsidRPr="00A0360F">
        <w:rPr>
          <w:rFonts w:ascii="Garamond" w:hAnsi="Garamond"/>
        </w:rPr>
        <w:t>For provenance applications, one of the most informative tracers is the strontium isotope ratio (</w:t>
      </w:r>
      <w:r w:rsidR="008C6234" w:rsidRPr="00A0360F">
        <w:rPr>
          <w:rFonts w:ascii="Cambria Math" w:hAnsi="Cambria Math" w:cs="Cambria Math"/>
        </w:rPr>
        <w:t>⁸⁷</w:t>
      </w:r>
      <w:r w:rsidR="008C6234" w:rsidRPr="00A0360F">
        <w:rPr>
          <w:rFonts w:ascii="Garamond" w:hAnsi="Garamond"/>
        </w:rPr>
        <w:t>Sr/</w:t>
      </w:r>
      <w:r w:rsidR="008C6234" w:rsidRPr="00A0360F">
        <w:rPr>
          <w:rFonts w:ascii="Cambria Math" w:hAnsi="Cambria Math" w:cs="Cambria Math"/>
        </w:rPr>
        <w:t>⁸⁶</w:t>
      </w:r>
      <w:r w:rsidR="008C6234" w:rsidRPr="00A0360F">
        <w:rPr>
          <w:rFonts w:ascii="Garamond" w:hAnsi="Garamond"/>
        </w:rPr>
        <w:t xml:space="preserve">Sr), which reflects the </w:t>
      </w:r>
      <w:r w:rsidR="008C6234" w:rsidRPr="00A0360F">
        <w:rPr>
          <w:rFonts w:ascii="Garamond" w:hAnsi="Garamond"/>
        </w:rPr>
        <w:lastRenderedPageBreak/>
        <w:t>geology of the surrounding watershed and can function as a natural geochemical tag in geologically diverse regions. This ratio can be measured using techniques such as Laser Ablation Inductively Coupled Plasma Mass Spectrometry (LA-ICPMS), which generates a continuous, sequential record of Sr</w:t>
      </w:r>
      <w:r w:rsidR="008C6234" w:rsidRPr="00A0360F">
        <w:rPr>
          <w:rFonts w:ascii="Cambria Math" w:hAnsi="Cambria Math" w:cs="Cambria Math"/>
        </w:rPr>
        <w:t>⁸⁷</w:t>
      </w:r>
      <w:r w:rsidR="008C6234" w:rsidRPr="00A0360F">
        <w:rPr>
          <w:rFonts w:ascii="Garamond" w:hAnsi="Garamond"/>
        </w:rPr>
        <w:t>/</w:t>
      </w:r>
      <w:r w:rsidR="008C6234" w:rsidRPr="00A0360F">
        <w:rPr>
          <w:rFonts w:ascii="Cambria Math" w:hAnsi="Cambria Math" w:cs="Cambria Math"/>
        </w:rPr>
        <w:t>⁸⁶</w:t>
      </w:r>
      <w:r w:rsidR="008C6234" w:rsidRPr="00A0360F">
        <w:rPr>
          <w:rFonts w:ascii="Garamond" w:hAnsi="Garamond"/>
        </w:rPr>
        <w:t xml:space="preserve"> throughout the fish’s life. In most applications, analysts isolate a specific portion of this time series</w:t>
      </w:r>
      <w:r w:rsidR="008C6234" w:rsidRPr="00A0360F">
        <w:rPr>
          <w:rFonts w:ascii="Garamond" w:hAnsi="Garamond"/>
        </w:rPr>
        <w:t xml:space="preserve">, </w:t>
      </w:r>
      <w:r w:rsidR="008C6234" w:rsidRPr="00A0360F">
        <w:rPr>
          <w:rFonts w:ascii="Garamond" w:hAnsi="Garamond"/>
        </w:rPr>
        <w:t>such as the natal freshwater rearing period in Pacific salmon</w:t>
      </w:r>
      <w:r w:rsidR="008C6234" w:rsidRPr="00A0360F">
        <w:rPr>
          <w:rFonts w:ascii="Garamond" w:hAnsi="Garamond"/>
        </w:rPr>
        <w:t xml:space="preserve">, </w:t>
      </w:r>
      <w:r w:rsidR="008C6234" w:rsidRPr="00A0360F">
        <w:rPr>
          <w:rFonts w:ascii="Garamond" w:hAnsi="Garamond"/>
        </w:rPr>
        <w:t>and compare the corresponding Sr</w:t>
      </w:r>
      <w:r w:rsidR="008C6234" w:rsidRPr="00A0360F">
        <w:rPr>
          <w:rFonts w:ascii="Cambria Math" w:hAnsi="Cambria Math" w:cs="Cambria Math"/>
        </w:rPr>
        <w:t>⁸⁷</w:t>
      </w:r>
      <w:r w:rsidR="008C6234" w:rsidRPr="00A0360F">
        <w:rPr>
          <w:rFonts w:ascii="Garamond" w:hAnsi="Garamond"/>
        </w:rPr>
        <w:t>/</w:t>
      </w:r>
      <w:r w:rsidR="008C6234" w:rsidRPr="00A0360F">
        <w:rPr>
          <w:rFonts w:ascii="Cambria Math" w:hAnsi="Cambria Math" w:cs="Cambria Math"/>
        </w:rPr>
        <w:t>⁸⁶</w:t>
      </w:r>
      <w:r w:rsidR="008C6234" w:rsidRPr="00A0360F">
        <w:rPr>
          <w:rFonts w:ascii="Garamond" w:hAnsi="Garamond"/>
        </w:rPr>
        <w:t xml:space="preserve"> value to empirically measured or modeled values across the landscape to estimate geographic origin</w:t>
      </w:r>
      <w:r w:rsidR="008C6234" w:rsidRPr="00A0360F">
        <w:rPr>
          <w:rFonts w:ascii="Garamond" w:hAnsi="Garamond"/>
        </w:rPr>
        <w:t xml:space="preserve">. </w:t>
      </w:r>
    </w:p>
    <w:p w14:paraId="73DBB8E7" w14:textId="02B7CCDA" w:rsidR="008C6234" w:rsidRDefault="008C6234" w:rsidP="00A0360F">
      <w:pPr>
        <w:pStyle w:val="NormalWeb"/>
        <w:spacing w:line="480" w:lineRule="auto"/>
        <w:ind w:firstLine="720"/>
        <w:rPr>
          <w:rFonts w:ascii="Garamond" w:hAnsi="Garamond"/>
        </w:rPr>
      </w:pPr>
      <w:r w:rsidRPr="00A0360F">
        <w:rPr>
          <w:rFonts w:ascii="Garamond" w:hAnsi="Garamond"/>
        </w:rPr>
        <w:t>In Western Alaska, underlying geologic diversity drives substantial spatial heterogeneity in Sr</w:t>
      </w:r>
      <w:r w:rsidRPr="00A0360F">
        <w:rPr>
          <w:rFonts w:ascii="Cambria Math" w:hAnsi="Cambria Math" w:cs="Cambria Math"/>
        </w:rPr>
        <w:t>⁸⁷</w:t>
      </w:r>
      <w:r w:rsidRPr="00A0360F">
        <w:rPr>
          <w:rFonts w:ascii="Garamond" w:hAnsi="Garamond"/>
        </w:rPr>
        <w:t>/</w:t>
      </w:r>
      <w:r w:rsidRPr="00A0360F">
        <w:rPr>
          <w:rFonts w:ascii="Cambria Math" w:hAnsi="Cambria Math" w:cs="Cambria Math"/>
        </w:rPr>
        <w:t>⁸⁶</w:t>
      </w:r>
      <w:r w:rsidRPr="00A0360F">
        <w:rPr>
          <w:rFonts w:ascii="Garamond" w:hAnsi="Garamond"/>
        </w:rPr>
        <w:t xml:space="preserve"> values. Within the Kuskokwim and </w:t>
      </w:r>
      <w:proofErr w:type="spellStart"/>
      <w:r w:rsidRPr="00A0360F">
        <w:rPr>
          <w:rFonts w:ascii="Garamond" w:hAnsi="Garamond"/>
        </w:rPr>
        <w:t>Nushagak</w:t>
      </w:r>
      <w:proofErr w:type="spellEnd"/>
      <w:r w:rsidRPr="00A0360F">
        <w:rPr>
          <w:rFonts w:ascii="Garamond" w:hAnsi="Garamond"/>
        </w:rPr>
        <w:t xml:space="preserve"> river basins, this heterogeneity is sufficient to support sub-basin-scale provenance estimates</w:t>
      </w:r>
      <w:r w:rsidRPr="00A0360F">
        <w:rPr>
          <w:rFonts w:ascii="Garamond" w:hAnsi="Garamond"/>
        </w:rPr>
        <w:t xml:space="preserve"> by </w:t>
      </w:r>
      <w:r w:rsidRPr="00A0360F">
        <w:rPr>
          <w:rFonts w:ascii="Garamond" w:hAnsi="Garamond"/>
        </w:rPr>
        <w:t>compar</w:t>
      </w:r>
      <w:r w:rsidRPr="00A0360F">
        <w:rPr>
          <w:rFonts w:ascii="Garamond" w:hAnsi="Garamond"/>
        </w:rPr>
        <w:t>ing extracted natal origin Sr8786 values to Sr8786 values modeled across the</w:t>
      </w:r>
      <w:r w:rsidRPr="00A0360F">
        <w:rPr>
          <w:rFonts w:ascii="Garamond" w:hAnsi="Garamond"/>
        </w:rPr>
        <w:t xml:space="preserve"> landscape</w:t>
      </w:r>
      <w:r w:rsidRPr="00A0360F">
        <w:rPr>
          <w:rFonts w:ascii="Garamond" w:hAnsi="Garamond"/>
        </w:rPr>
        <w:t xml:space="preserve"> using methods such as spatial stream network modeling, also called </w:t>
      </w:r>
      <w:proofErr w:type="spellStart"/>
      <w:r w:rsidRPr="00A0360F">
        <w:rPr>
          <w:rFonts w:ascii="Garamond" w:hAnsi="Garamond"/>
        </w:rPr>
        <w:t>isoscapes</w:t>
      </w:r>
      <w:proofErr w:type="spellEnd"/>
      <w:r w:rsidRPr="00A0360F">
        <w:rPr>
          <w:rFonts w:ascii="Garamond" w:hAnsi="Garamond"/>
        </w:rPr>
        <w:t xml:space="preserve">. </w:t>
      </w:r>
      <w:r w:rsidRPr="00A0360F">
        <w:rPr>
          <w:rFonts w:ascii="Garamond" w:hAnsi="Garamond"/>
        </w:rPr>
        <w:t xml:space="preserve">However, in larger systems like the Yukon River basin, the vast extent of potential habitat can overwhelm this geochemical signal, leading to redundancy in isotope ratios </w:t>
      </w:r>
      <w:r w:rsidRPr="00A0360F">
        <w:rPr>
          <w:rFonts w:ascii="Garamond" w:hAnsi="Garamond"/>
        </w:rPr>
        <w:t>at several locations</w:t>
      </w:r>
      <w:r w:rsidRPr="00A0360F">
        <w:rPr>
          <w:rFonts w:ascii="Garamond" w:hAnsi="Garamond"/>
        </w:rPr>
        <w:t xml:space="preserve">. As a result, individuals </w:t>
      </w:r>
      <w:r w:rsidRPr="00A0360F">
        <w:rPr>
          <w:rFonts w:ascii="Garamond" w:hAnsi="Garamond"/>
        </w:rPr>
        <w:t xml:space="preserve">may be assigned similar likelihood of provenance to several locations, introducing uncertainty in assignment estimates. </w:t>
      </w:r>
      <w:r w:rsidRPr="00A0360F">
        <w:rPr>
          <w:rFonts w:ascii="Garamond" w:hAnsi="Garamond"/>
        </w:rPr>
        <w:t>In</w:t>
      </w:r>
      <w:r w:rsidRPr="00A0360F">
        <w:rPr>
          <w:rFonts w:ascii="Garamond" w:hAnsi="Garamond"/>
        </w:rPr>
        <w:t xml:space="preserve"> some</w:t>
      </w:r>
      <w:r w:rsidRPr="00A0360F">
        <w:rPr>
          <w:rFonts w:ascii="Garamond" w:hAnsi="Garamond"/>
        </w:rPr>
        <w:t xml:space="preserve"> cases, </w:t>
      </w:r>
      <w:r w:rsidRPr="00A0360F">
        <w:rPr>
          <w:rFonts w:ascii="Garamond" w:hAnsi="Garamond"/>
        </w:rPr>
        <w:t xml:space="preserve">such is the case for Chinook salmon in the Yukon River-basin, this uncertainty can be resolved by integrating complementary data sources such as genetics-based information to constrain assignments to regions with sufficient geological diversity. </w:t>
      </w:r>
    </w:p>
    <w:p w14:paraId="617F17BE" w14:textId="15818B5F" w:rsidR="00A0360F" w:rsidRPr="00A0360F" w:rsidRDefault="00A0360F" w:rsidP="00A0360F">
      <w:pPr>
        <w:pStyle w:val="NormalWeb"/>
        <w:spacing w:line="480" w:lineRule="auto"/>
        <w:ind w:firstLine="720"/>
        <w:rPr>
          <w:rFonts w:ascii="Garamond" w:hAnsi="Garamond"/>
        </w:rPr>
      </w:pPr>
      <w:r>
        <w:rPr>
          <w:rFonts w:ascii="Garamond" w:hAnsi="Garamond"/>
        </w:rPr>
        <w:t xml:space="preserve">For fish sampled in the open ocean, however, the scale of potential habitat includes all three major river-basins and hundreds of thousands of river km. At this spatial scale, significant redundancy in isotope ratios exists in several locations spread across the region. </w:t>
      </w:r>
    </w:p>
    <w:p w14:paraId="688F3268" w14:textId="77777777" w:rsidR="00AA6FED" w:rsidRDefault="00AA6FED" w:rsidP="00AA6FED">
      <w:pPr>
        <w:pStyle w:val="NormalWeb"/>
        <w:rPr>
          <w:rFonts w:ascii="Garamond" w:hAnsi="Garamond"/>
          <w:sz w:val="22"/>
          <w:szCs w:val="22"/>
        </w:rPr>
      </w:pPr>
    </w:p>
    <w:p w14:paraId="23792A7B" w14:textId="77777777" w:rsidR="003A69C6" w:rsidRDefault="003A69C6" w:rsidP="008475B7">
      <w:pPr>
        <w:spacing w:line="480" w:lineRule="auto"/>
        <w:ind w:firstLine="720"/>
      </w:pPr>
    </w:p>
    <w:p w14:paraId="6EA4D32A" w14:textId="7E6929E5"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There’s a lot of data missed </w:t>
      </w:r>
    </w:p>
    <w:p w14:paraId="4518229A" w14:textId="2AD59B81"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Although there are redundancies in </w:t>
      </w:r>
    </w:p>
    <w:p w14:paraId="36B6F826" w14:textId="5B826952"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Other people are starting to think about the full timeseries </w:t>
      </w:r>
    </w:p>
    <w:p w14:paraId="2A72AB59" w14:textId="32D4E3D0"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Otolith data in large watersheds may contain any number of potential state combinations, but there may be nearly indistinguishable changes that records watershed specific life history characteristics </w:t>
      </w:r>
    </w:p>
    <w:p w14:paraId="739298BA" w14:textId="5A442C61"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There is also a movement towards more rigorous machine learning and data science tools alongside ecological data. </w:t>
      </w:r>
    </w:p>
    <w:p w14:paraId="0EAE5D4F" w14:textId="49A59332"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In otoliths, this is just now beginning to be explored. </w:t>
      </w:r>
    </w:p>
    <w:p w14:paraId="36EB19CD" w14:textId="77777777" w:rsidR="008475B7" w:rsidRDefault="008475B7" w:rsidP="008475B7">
      <w:pPr>
        <w:spacing w:line="480" w:lineRule="auto"/>
        <w:ind w:firstLine="720"/>
        <w:rPr>
          <w:rFonts w:ascii="Garamond" w:hAnsi="Garamond"/>
          <w:sz w:val="22"/>
          <w:szCs w:val="22"/>
        </w:rPr>
      </w:pPr>
    </w:p>
    <w:p w14:paraId="260CA36D" w14:textId="77777777" w:rsidR="006D0CB1" w:rsidRDefault="006D0CB1" w:rsidP="006A5948">
      <w:pPr>
        <w:spacing w:line="480" w:lineRule="auto"/>
      </w:pPr>
    </w:p>
    <w:p w14:paraId="17B02DFF" w14:textId="77777777" w:rsidR="006D0CB1" w:rsidRPr="006D0CB1" w:rsidRDefault="006D0CB1" w:rsidP="006D0CB1">
      <w:pPr>
        <w:spacing w:line="480" w:lineRule="auto"/>
        <w:ind w:firstLine="720"/>
        <w:rPr>
          <w:rFonts w:ascii="Garamond" w:hAnsi="Garamond"/>
          <w:sz w:val="22"/>
          <w:szCs w:val="22"/>
        </w:rPr>
      </w:pPr>
    </w:p>
    <w:p w14:paraId="029BF8F6" w14:textId="444A005A" w:rsidR="00BD3BE0" w:rsidRDefault="00BD3BE0" w:rsidP="00071CCC">
      <w:pPr>
        <w:rPr>
          <w:rFonts w:ascii="Garamond" w:hAnsi="Garamond"/>
          <w:sz w:val="22"/>
          <w:szCs w:val="22"/>
        </w:rPr>
      </w:pPr>
      <w:r>
        <w:rPr>
          <w:rFonts w:ascii="Garamond" w:hAnsi="Garamond"/>
          <w:sz w:val="22"/>
          <w:szCs w:val="22"/>
        </w:rPr>
        <w:t xml:space="preserve">Introduce how otoliths have been used to assign provenance in the past, to estimate provenance of fish to the sub-basin scale from fish caught in test fisheries at the mouth of each tributary, presumed to have originated from and are returning to somewhere with that basin. At this spatial scale there is enough heterogeneity to reliably assign fish to the sub-basin scale, particularly when combined with genetics. </w:t>
      </w:r>
      <w:r w:rsidR="00135A3B">
        <w:rPr>
          <w:rFonts w:ascii="Garamond" w:hAnsi="Garamond"/>
          <w:sz w:val="22"/>
          <w:szCs w:val="22"/>
        </w:rPr>
        <w:t xml:space="preserve">This is accomplished by isolating the discrete value of the Sr8786 associated with the natal origin region of the fish. </w:t>
      </w:r>
    </w:p>
    <w:p w14:paraId="1AB92CA7" w14:textId="77777777" w:rsidR="00135A3B" w:rsidRDefault="00135A3B" w:rsidP="00071CCC">
      <w:pPr>
        <w:rPr>
          <w:rFonts w:ascii="Garamond" w:hAnsi="Garamond"/>
          <w:sz w:val="22"/>
          <w:szCs w:val="22"/>
        </w:rPr>
      </w:pPr>
    </w:p>
    <w:p w14:paraId="138387FB" w14:textId="05E52F08" w:rsidR="00BD3BE0" w:rsidRDefault="00BD3BE0" w:rsidP="00071CCC">
      <w:pPr>
        <w:rPr>
          <w:rFonts w:ascii="Garamond" w:hAnsi="Garamond"/>
          <w:sz w:val="22"/>
          <w:szCs w:val="22"/>
        </w:rPr>
      </w:pPr>
      <w:r>
        <w:rPr>
          <w:rFonts w:ascii="Garamond" w:hAnsi="Garamond"/>
          <w:sz w:val="22"/>
          <w:szCs w:val="22"/>
        </w:rPr>
        <w:t xml:space="preserve">However, at much broader spatial scales such as those encompassed by the potential natal origin of fish caught in the open ocean, there is far too much redundance in isotope ratios across all three basins. This </w:t>
      </w:r>
      <w:r w:rsidR="00135A3B">
        <w:rPr>
          <w:rFonts w:ascii="Garamond" w:hAnsi="Garamond"/>
          <w:sz w:val="22"/>
          <w:szCs w:val="22"/>
        </w:rPr>
        <w:t xml:space="preserve">means assignments are unreliable and cannot be used to assess impact among watersheds. </w:t>
      </w:r>
    </w:p>
    <w:p w14:paraId="4F45E26F" w14:textId="77777777" w:rsidR="00BD3BE0" w:rsidRDefault="00BD3BE0" w:rsidP="00071CCC">
      <w:pPr>
        <w:rPr>
          <w:rFonts w:ascii="Garamond" w:hAnsi="Garamond"/>
          <w:sz w:val="22"/>
          <w:szCs w:val="22"/>
        </w:rPr>
      </w:pPr>
    </w:p>
    <w:p w14:paraId="37CBB5E2"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 xml:space="preserve">Three major river systems—the Yukon, Kuskokwim, and </w:t>
      </w:r>
      <w:proofErr w:type="spellStart"/>
      <w:r w:rsidRPr="00D7690A">
        <w:rPr>
          <w:rFonts w:ascii="Times New Roman" w:eastAsia="Times New Roman" w:hAnsi="Times New Roman" w:cs="Times New Roman"/>
          <w:kern w:val="0"/>
          <w14:ligatures w14:val="none"/>
        </w:rPr>
        <w:t>Nushagak</w:t>
      </w:r>
      <w:proofErr w:type="spellEnd"/>
      <w:r w:rsidRPr="00D7690A">
        <w:rPr>
          <w:rFonts w:ascii="Times New Roman" w:eastAsia="Times New Roman" w:hAnsi="Times New Roman" w:cs="Times New Roman"/>
          <w:kern w:val="0"/>
          <w14:ligatures w14:val="none"/>
        </w:rPr>
        <w:t>—dominate Chinook salmon production in Western Alaska. Each basin supports a network of sub-basins and spawning habitats, contributing substantially to regional salmon abundance and diversity. Understanding how these individual watersheds are affected by marine-phase stressors is essential for developing targeted conservation strategies.</w:t>
      </w:r>
    </w:p>
    <w:p w14:paraId="1D0D6503"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lastRenderedPageBreak/>
        <w:t>To assess the provenance of Chinook salmon, researchers have historically relied on otolith geochemistry, particularly strontium isotope ratios (⁸⁷Sr/⁸⁶Sr), to assign fish to natal origins. In freshwater environments, otoliths can reliably distinguish among sub-basins due to the geochemical heterogeneity of the landscape. Fish caught in test fisheries at the mouths of major tributaries, for instance, can be assigned to specific upstream regions within a basin based on their otolith signatures. When paired with genetic data, these isotope-based approaches offer high resolution and accuracy at the sub-basin scale.</w:t>
      </w:r>
    </w:p>
    <w:p w14:paraId="25E8E9A0"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 xml:space="preserve">However, this approach becomes far less reliable at broader spatial scales. In the open ocean, where the natal origin of sampled fish could span across the Yukon, Kuskokwim, and </w:t>
      </w:r>
      <w:proofErr w:type="spellStart"/>
      <w:r w:rsidRPr="00D7690A">
        <w:rPr>
          <w:rFonts w:ascii="Times New Roman" w:eastAsia="Times New Roman" w:hAnsi="Times New Roman" w:cs="Times New Roman"/>
          <w:kern w:val="0"/>
          <w14:ligatures w14:val="none"/>
        </w:rPr>
        <w:t>Nushagak</w:t>
      </w:r>
      <w:proofErr w:type="spellEnd"/>
      <w:r w:rsidRPr="00D7690A">
        <w:rPr>
          <w:rFonts w:ascii="Times New Roman" w:eastAsia="Times New Roman" w:hAnsi="Times New Roman" w:cs="Times New Roman"/>
          <w:kern w:val="0"/>
          <w14:ligatures w14:val="none"/>
        </w:rPr>
        <w:t xml:space="preserve"> basins, there is considerable overlap in ⁸⁷Sr/⁸⁶Sr values. This redundancy makes it difficult to distinguish among river systems, limiting the ability to assess differential impacts of marine threats on specific stocks.</w:t>
      </w:r>
    </w:p>
    <w:p w14:paraId="18D5D187" w14:textId="77777777" w:rsidR="00D7690A" w:rsidRDefault="00D7690A"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71CCC"/>
    <w:rsid w:val="000941AF"/>
    <w:rsid w:val="00103E0E"/>
    <w:rsid w:val="00135A3B"/>
    <w:rsid w:val="001844EB"/>
    <w:rsid w:val="001D222B"/>
    <w:rsid w:val="001F7701"/>
    <w:rsid w:val="00354445"/>
    <w:rsid w:val="003642FE"/>
    <w:rsid w:val="003A69C6"/>
    <w:rsid w:val="003B0A46"/>
    <w:rsid w:val="00406C9B"/>
    <w:rsid w:val="004472CA"/>
    <w:rsid w:val="00464971"/>
    <w:rsid w:val="00542302"/>
    <w:rsid w:val="00563F6D"/>
    <w:rsid w:val="006A5948"/>
    <w:rsid w:val="006D0CB1"/>
    <w:rsid w:val="00780305"/>
    <w:rsid w:val="007803F1"/>
    <w:rsid w:val="008475B7"/>
    <w:rsid w:val="00882F20"/>
    <w:rsid w:val="008A53F5"/>
    <w:rsid w:val="008C6234"/>
    <w:rsid w:val="00907410"/>
    <w:rsid w:val="0092735E"/>
    <w:rsid w:val="0095522F"/>
    <w:rsid w:val="009D0CB2"/>
    <w:rsid w:val="00A0360F"/>
    <w:rsid w:val="00A4712A"/>
    <w:rsid w:val="00A60C7C"/>
    <w:rsid w:val="00AA6FED"/>
    <w:rsid w:val="00AB4F2C"/>
    <w:rsid w:val="00B30111"/>
    <w:rsid w:val="00B936A6"/>
    <w:rsid w:val="00BD3BE0"/>
    <w:rsid w:val="00C9741A"/>
    <w:rsid w:val="00D7690A"/>
    <w:rsid w:val="00D86BCC"/>
    <w:rsid w:val="00D97F1C"/>
    <w:rsid w:val="00E06D65"/>
    <w:rsid w:val="00E454BB"/>
    <w:rsid w:val="00EE450C"/>
    <w:rsid w:val="00F75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4</Pages>
  <Words>1005</Words>
  <Characters>5734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5</cp:revision>
  <dcterms:created xsi:type="dcterms:W3CDTF">2025-05-19T03:17:00Z</dcterms:created>
  <dcterms:modified xsi:type="dcterms:W3CDTF">2025-06-10T15:50:00Z</dcterms:modified>
</cp:coreProperties>
</file>