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C91045">
      <w:pPr>
        <w:rPr>
          <w:rStyle w:val="CommentReference"/>
        </w:rPr>
      </w:pPr>
      <w:r>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A9F58F7" w14:textId="0F3940CB" w:rsidR="00F95217" w:rsidRDefault="00ED1482">
      <w:pPr>
        <w:rPr>
          <w:rFonts w:ascii="Garamond" w:hAnsi="Garamond"/>
          <w:sz w:val="16"/>
          <w:szCs w:val="16"/>
        </w:rPr>
      </w:pPr>
      <w:commentRangeStart w:id="0"/>
      <w:r>
        <w:rPr>
          <w:rFonts w:ascii="Garamond" w:hAnsi="Garamond"/>
          <w:sz w:val="16"/>
          <w:szCs w:val="16"/>
        </w:rPr>
        <w:t xml:space="preserve">[In </w:t>
      </w:r>
      <w:proofErr w:type="gramStart"/>
      <w:r>
        <w:rPr>
          <w:rFonts w:ascii="Garamond" w:hAnsi="Garamond"/>
          <w:sz w:val="16"/>
          <w:szCs w:val="16"/>
        </w:rPr>
        <w:t>Progress]  Figure</w:t>
      </w:r>
      <w:proofErr w:type="gramEnd"/>
      <w:r>
        <w:rPr>
          <w:rFonts w:ascii="Garamond" w:hAnsi="Garamond"/>
          <w:sz w:val="16"/>
          <w:szCs w:val="16"/>
        </w:rPr>
        <w:t xml:space="preserve"> 1: A) Three major river systems in Western Alaska, the Yukon (Blue), Kuskokwim (Red), and Nushagak (Green) river-basins. Icons (will change color, location) indicate sampling locations for samples on each river. B) Sr8786 </w:t>
      </w:r>
      <w:proofErr w:type="spellStart"/>
      <w:r>
        <w:rPr>
          <w:rFonts w:ascii="Garamond" w:hAnsi="Garamond"/>
          <w:sz w:val="16"/>
          <w:szCs w:val="16"/>
        </w:rPr>
        <w:t>Isoscape</w:t>
      </w:r>
      <w:proofErr w:type="spellEnd"/>
      <w:r>
        <w:rPr>
          <w:rFonts w:ascii="Garamond" w:hAnsi="Garamond"/>
          <w:sz w:val="16"/>
          <w:szCs w:val="16"/>
        </w:rPr>
        <w:t xml:space="preserve"> of all three river-basins. Darker Colors indicate more enriched values </w:t>
      </w:r>
      <w:proofErr w:type="gramStart"/>
      <w:r>
        <w:rPr>
          <w:rFonts w:ascii="Garamond" w:hAnsi="Garamond"/>
          <w:sz w:val="16"/>
          <w:szCs w:val="16"/>
        </w:rPr>
        <w:t>( close</w:t>
      </w:r>
      <w:proofErr w:type="gramEnd"/>
      <w:r>
        <w:rPr>
          <w:rFonts w:ascii="Garamond" w:hAnsi="Garamond"/>
          <w:sz w:val="16"/>
          <w:szCs w:val="16"/>
        </w:rPr>
        <w:t xml:space="preserve"> to .740) whereas lighter values indicate less enriched </w:t>
      </w:r>
      <w:proofErr w:type="gramStart"/>
      <w:r>
        <w:rPr>
          <w:rFonts w:ascii="Garamond" w:hAnsi="Garamond"/>
          <w:sz w:val="16"/>
          <w:szCs w:val="16"/>
        </w:rPr>
        <w:t>( closer</w:t>
      </w:r>
      <w:proofErr w:type="gramEnd"/>
      <w:r>
        <w:rPr>
          <w:rFonts w:ascii="Garamond" w:hAnsi="Garamond"/>
          <w:sz w:val="16"/>
          <w:szCs w:val="16"/>
        </w:rPr>
        <w:t xml:space="preserve"> to .702). </w:t>
      </w:r>
      <w:commentRangeEnd w:id="0"/>
      <w:r>
        <w:rPr>
          <w:rStyle w:val="CommentReference"/>
        </w:rPr>
        <w:commentReference w:id="0"/>
      </w: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0DBC1E31" w14:textId="0DC11243" w:rsidR="00FB057B" w:rsidRPr="00FB057B" w:rsidRDefault="00FB057B">
      <w:pPr>
        <w:rPr>
          <w:rFonts w:ascii="Garamond" w:hAnsi="Garamond"/>
        </w:rPr>
      </w:pPr>
    </w:p>
    <w:p w14:paraId="5562A9FB" w14:textId="3DDCE75B" w:rsidR="00AE3280" w:rsidRDefault="00AE3280"/>
    <w:p w14:paraId="3EF92423" w14:textId="77777777" w:rsidR="00F205AF" w:rsidRDefault="00F205AF">
      <w:pPr>
        <w:rPr>
          <w:rFonts w:ascii="Garamond" w:hAnsi="Garamond"/>
          <w:b/>
          <w:bCs/>
          <w:sz w:val="16"/>
          <w:szCs w:val="16"/>
        </w:rPr>
      </w:pPr>
    </w:p>
    <w:p w14:paraId="5D0E99E9" w14:textId="77777777" w:rsidR="00F205AF" w:rsidRDefault="00F205AF">
      <w:pPr>
        <w:rPr>
          <w:rFonts w:ascii="Garamond" w:hAnsi="Garamond"/>
          <w:b/>
          <w:bCs/>
          <w:sz w:val="16"/>
          <w:szCs w:val="16"/>
        </w:rPr>
      </w:pPr>
    </w:p>
    <w:p w14:paraId="15E7C314" w14:textId="3E6A4B97" w:rsidR="00F205AF" w:rsidRDefault="00F205AF">
      <w:pPr>
        <w:rPr>
          <w:rFonts w:ascii="Garamond" w:hAnsi="Garamond"/>
          <w:b/>
          <w:bCs/>
          <w:sz w:val="16"/>
          <w:szCs w:val="16"/>
        </w:rPr>
      </w:pPr>
      <w:r w:rsidRPr="00F205AF">
        <w:rPr>
          <w:rFonts w:ascii="Garamond" w:hAnsi="Garamond"/>
          <w:b/>
          <w:bCs/>
          <w:sz w:val="16"/>
          <w:szCs w:val="16"/>
        </w:rPr>
        <w:drawing>
          <wp:inline distT="0" distB="0" distL="0" distR="0" wp14:anchorId="0EE2AE9C" wp14:editId="060AFD3D">
            <wp:extent cx="5943600" cy="2054225"/>
            <wp:effectExtent l="0" t="0" r="0" b="3175"/>
            <wp:docPr id="887724946"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24946" name="Picture 1" descr="A close-up of a graph&#10;&#10;AI-generated content may be incorrect."/>
                    <pic:cNvPicPr/>
                  </pic:nvPicPr>
                  <pic:blipFill>
                    <a:blip r:embed="rId9"/>
                    <a:stretch>
                      <a:fillRect/>
                    </a:stretch>
                  </pic:blipFill>
                  <pic:spPr>
                    <a:xfrm>
                      <a:off x="0" y="0"/>
                      <a:ext cx="5943600" cy="2054225"/>
                    </a:xfrm>
                    <a:prstGeom prst="rect">
                      <a:avLst/>
                    </a:prstGeom>
                  </pic:spPr>
                </pic:pic>
              </a:graphicData>
            </a:graphic>
          </wp:inline>
        </w:drawing>
      </w:r>
    </w:p>
    <w:p w14:paraId="1F779B26" w14:textId="14337A4E"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w:t>
      </w:r>
      <w:r w:rsidR="00816FED">
        <w:rPr>
          <w:rFonts w:ascii="Garamond" w:hAnsi="Garamond"/>
          <w:sz w:val="16"/>
          <w:szCs w:val="16"/>
        </w:rPr>
        <w:t xml:space="preserve">preprocessing steps </w:t>
      </w:r>
      <w:r w:rsidRPr="00AE3280">
        <w:rPr>
          <w:rFonts w:ascii="Garamond" w:hAnsi="Garamond"/>
          <w:sz w:val="16"/>
          <w:szCs w:val="16"/>
        </w:rPr>
        <w:t xml:space="preserve">and model types. Accuracy indicates the proportion of each class correctly classified. F1-Score is the harmonic mean of precision and recall, providing a balanced performance measure across all watershed classes. Results compare </w:t>
      </w:r>
      <w:r w:rsidR="00303ACB">
        <w:rPr>
          <w:rFonts w:ascii="Garamond" w:hAnsi="Garamond"/>
          <w:sz w:val="16"/>
          <w:szCs w:val="16"/>
        </w:rPr>
        <w:t>two</w:t>
      </w:r>
      <w:r w:rsidRPr="00AE3280">
        <w:rPr>
          <w:rFonts w:ascii="Garamond" w:hAnsi="Garamond"/>
          <w:sz w:val="16"/>
          <w:szCs w:val="16"/>
        </w:rPr>
        <w:t xml:space="preserve"> Sr87/86 </w:t>
      </w:r>
      <w:r w:rsidR="00303ACB">
        <w:rPr>
          <w:rFonts w:ascii="Garamond" w:hAnsi="Garamond"/>
          <w:sz w:val="16"/>
          <w:szCs w:val="16"/>
        </w:rPr>
        <w:t xml:space="preserve">timeseries smoothing </w:t>
      </w:r>
      <w:r w:rsidRPr="00AE3280">
        <w:rPr>
          <w:rFonts w:ascii="Garamond" w:hAnsi="Garamond"/>
          <w:sz w:val="16"/>
          <w:szCs w:val="16"/>
        </w:rPr>
        <w:t xml:space="preserve">methods (GAM, MA) </w:t>
      </w:r>
      <w:r w:rsidR="00303ACB">
        <w:rPr>
          <w:rFonts w:ascii="Garamond" w:hAnsi="Garamond"/>
          <w:sz w:val="16"/>
          <w:szCs w:val="16"/>
        </w:rPr>
        <w:t>a</w:t>
      </w:r>
      <w:r w:rsidRPr="00AE3280">
        <w:rPr>
          <w:rFonts w:ascii="Garamond" w:hAnsi="Garamond"/>
          <w:sz w:val="16"/>
          <w:szCs w:val="16"/>
        </w:rPr>
        <w:t xml:space="preserve">nd three machine learning algorithms (Random Forest, SVM, KNN) using either all test data (Total) or only overlapping isotope ranges (Overlapping). </w:t>
      </w:r>
      <w:r w:rsidR="00303ACB">
        <w:rPr>
          <w:rFonts w:ascii="Garamond" w:hAnsi="Garamond"/>
          <w:sz w:val="16"/>
          <w:szCs w:val="16"/>
        </w:rPr>
        <w:t>Darker green colors indicate higher scores.</w:t>
      </w:r>
    </w:p>
    <w:p w14:paraId="2E664D17" w14:textId="77777777" w:rsidR="003E2C8F" w:rsidRDefault="003E2C8F">
      <w:pPr>
        <w:rPr>
          <w:rFonts w:ascii="Garamond" w:hAnsi="Garamond"/>
          <w:sz w:val="16"/>
          <w:szCs w:val="16"/>
        </w:rPr>
      </w:pPr>
    </w:p>
    <w:p w14:paraId="09E4FDDD" w14:textId="77777777" w:rsidR="006700B0" w:rsidRDefault="006700B0">
      <w:pPr>
        <w:rPr>
          <w:rFonts w:ascii="Garamond" w:hAnsi="Garamond"/>
          <w:sz w:val="16"/>
          <w:szCs w:val="16"/>
        </w:rPr>
      </w:pPr>
    </w:p>
    <w:p w14:paraId="6B4881E3" w14:textId="77777777" w:rsidR="00007CD9" w:rsidRDefault="00007CD9">
      <w:pPr>
        <w:rPr>
          <w:rFonts w:ascii="Garamond" w:hAnsi="Garamond"/>
          <w:sz w:val="16"/>
          <w:szCs w:val="16"/>
        </w:rPr>
      </w:pPr>
    </w:p>
    <w:p w14:paraId="47CA63A2" w14:textId="77777777" w:rsidR="000B2F5C" w:rsidRDefault="000B2F5C">
      <w:pPr>
        <w:rPr>
          <w:rFonts w:ascii="Garamond" w:hAnsi="Garamond"/>
          <w:sz w:val="16"/>
          <w:szCs w:val="16"/>
        </w:rPr>
      </w:pP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0"/>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 </w:t>
      </w:r>
    </w:p>
    <w:p w14:paraId="5337DE8C" w14:textId="70231B13" w:rsidR="0073759D" w:rsidRDefault="00CF4DC7">
      <w:pPr>
        <w:rPr>
          <w:rFonts w:ascii="Garamond" w:hAnsi="Garamond"/>
          <w:sz w:val="16"/>
          <w:szCs w:val="16"/>
        </w:rPr>
      </w:pPr>
      <w:r>
        <w:rPr>
          <w:rFonts w:ascii="Garamond" w:hAnsi="Garamond"/>
          <w:sz w:val="16"/>
          <w:szCs w:val="16"/>
        </w:rPr>
        <w:t xml:space="preserve">Figure 3: </w:t>
      </w:r>
      <w:r w:rsidR="0087450A">
        <w:rPr>
          <w:rFonts w:ascii="Garamond" w:hAnsi="Garamond"/>
          <w:sz w:val="16"/>
          <w:szCs w:val="16"/>
        </w:rPr>
        <w:t>Confusion matrix from the highest p</w:t>
      </w:r>
      <w:r w:rsidR="00F2384D">
        <w:rPr>
          <w:rFonts w:ascii="Garamond" w:hAnsi="Garamond"/>
          <w:sz w:val="16"/>
          <w:szCs w:val="16"/>
        </w:rPr>
        <w:t>er</w:t>
      </w:r>
      <w:r w:rsidR="0087450A">
        <w:rPr>
          <w:rFonts w:ascii="Garamond" w:hAnsi="Garamond"/>
          <w:sz w:val="16"/>
          <w:szCs w:val="16"/>
        </w:rPr>
        <w:t xml:space="preserve">forming model (Random Forest on GAM Smoothed data) for both total </w:t>
      </w:r>
      <w:proofErr w:type="gramStart"/>
      <w:r w:rsidR="0087450A">
        <w:rPr>
          <w:rFonts w:ascii="Garamond" w:hAnsi="Garamond"/>
          <w:sz w:val="16"/>
          <w:szCs w:val="16"/>
        </w:rPr>
        <w:t>test</w:t>
      </w:r>
      <w:proofErr w:type="gramEnd"/>
      <w:r w:rsidR="0087450A">
        <w:rPr>
          <w:rFonts w:ascii="Garamond" w:hAnsi="Garamond"/>
          <w:sz w:val="16"/>
          <w:szCs w:val="16"/>
        </w:rPr>
        <w:t xml:space="preserve">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w:t>
      </w:r>
      <w:r w:rsidR="00303ACB">
        <w:rPr>
          <w:rFonts w:ascii="Garamond" w:hAnsi="Garamond"/>
          <w:sz w:val="16"/>
          <w:szCs w:val="16"/>
        </w:rPr>
        <w:t xml:space="preserve"> labels</w:t>
      </w:r>
      <w:r w:rsidR="00445705">
        <w:rPr>
          <w:rFonts w:ascii="Garamond" w:hAnsi="Garamond"/>
          <w:sz w:val="16"/>
          <w:szCs w:val="16"/>
        </w:rPr>
        <w:t xml:space="preserve"> are the percent of the actual class identified as the predicted class. </w:t>
      </w:r>
      <w:r w:rsidR="0087450A">
        <w:rPr>
          <w:rFonts w:ascii="Garamond" w:hAnsi="Garamond"/>
          <w:sz w:val="16"/>
          <w:szCs w:val="16"/>
        </w:rPr>
        <w:t xml:space="preserve">  </w:t>
      </w:r>
    </w:p>
    <w:p w14:paraId="1238D61C"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158ECFD3">
            <wp:simplePos x="0" y="0"/>
            <wp:positionH relativeFrom="column">
              <wp:posOffset>-225425</wp:posOffset>
            </wp:positionH>
            <wp:positionV relativeFrom="paragraph">
              <wp:posOffset>267335</wp:posOffset>
            </wp:positionV>
            <wp:extent cx="4324350" cy="36036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4350" cy="3603625"/>
                    </a:xfrm>
                    <a:prstGeom prst="rect">
                      <a:avLst/>
                    </a:prstGeom>
                  </pic:spPr>
                </pic:pic>
              </a:graphicData>
            </a:graphic>
            <wp14:sizeRelH relativeFrom="page">
              <wp14:pctWidth>0</wp14:pctWidth>
            </wp14:sizeRelH>
            <wp14:sizeRelV relativeFrom="page">
              <wp14:pctHeight>0</wp14:pctHeight>
            </wp14:sizeRelV>
          </wp:anchor>
        </w:drawing>
      </w:r>
    </w:p>
    <w:p w14:paraId="35CCA671" w14:textId="23374A6D"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02DCCD88" w14:textId="77777777" w:rsidR="00816FED" w:rsidRDefault="00816FED" w:rsidP="00FB057B">
      <w:pPr>
        <w:rPr>
          <w:rFonts w:ascii="Garamond" w:hAnsi="Garamond"/>
          <w:sz w:val="16"/>
          <w:szCs w:val="16"/>
        </w:rPr>
      </w:pPr>
    </w:p>
    <w:p w14:paraId="143D1026" w14:textId="77777777" w:rsidR="00816FED" w:rsidRDefault="00816FED" w:rsidP="00FB057B">
      <w:pPr>
        <w:rPr>
          <w:rFonts w:ascii="Garamond" w:hAnsi="Garamond"/>
          <w:sz w:val="16"/>
          <w:szCs w:val="16"/>
        </w:rPr>
      </w:pPr>
    </w:p>
    <w:p w14:paraId="189C2DC2" w14:textId="77777777" w:rsidR="00816FED" w:rsidRDefault="00816FED" w:rsidP="00FB057B">
      <w:pPr>
        <w:rPr>
          <w:rFonts w:ascii="Garamond" w:hAnsi="Garamond"/>
          <w:sz w:val="16"/>
          <w:szCs w:val="16"/>
        </w:rPr>
      </w:pPr>
    </w:p>
    <w:p w14:paraId="5ECD8FD0" w14:textId="77777777" w:rsidR="00816FED" w:rsidRDefault="00816FED" w:rsidP="00FB057B">
      <w:pPr>
        <w:rPr>
          <w:rFonts w:ascii="Garamond" w:hAnsi="Garamond"/>
          <w:sz w:val="16"/>
          <w:szCs w:val="16"/>
        </w:rPr>
      </w:pPr>
    </w:p>
    <w:p w14:paraId="67124A9A" w14:textId="77777777" w:rsidR="00816FED" w:rsidRDefault="00816FED" w:rsidP="00FB057B">
      <w:pPr>
        <w:rPr>
          <w:rFonts w:ascii="Garamond" w:hAnsi="Garamond"/>
          <w:sz w:val="16"/>
          <w:szCs w:val="16"/>
        </w:rPr>
      </w:pP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77777777" w:rsidR="00816FED" w:rsidRDefault="00816FED" w:rsidP="00FB057B">
      <w:pPr>
        <w:rPr>
          <w:rFonts w:ascii="Garamond" w:hAnsi="Garamond"/>
          <w:sz w:val="16"/>
          <w:szCs w:val="16"/>
        </w:rPr>
      </w:pPr>
    </w:p>
    <w:p w14:paraId="6D561395" w14:textId="77777777" w:rsidR="00816FED" w:rsidRDefault="00816FED" w:rsidP="00FB057B">
      <w:pPr>
        <w:rPr>
          <w:rFonts w:ascii="Garamond" w:hAnsi="Garamond"/>
          <w:sz w:val="16"/>
          <w:szCs w:val="16"/>
        </w:rPr>
      </w:pPr>
    </w:p>
    <w:p w14:paraId="43C722DF" w14:textId="77777777" w:rsidR="00816FED" w:rsidRDefault="00816FED" w:rsidP="00FB057B">
      <w:pPr>
        <w:rPr>
          <w:rFonts w:ascii="Garamond" w:hAnsi="Garamond"/>
          <w:sz w:val="16"/>
          <w:szCs w:val="16"/>
        </w:rPr>
      </w:pPr>
    </w:p>
    <w:p w14:paraId="7325FBC0" w14:textId="77777777" w:rsidR="00816FED" w:rsidRDefault="00816FED" w:rsidP="00FB057B">
      <w:pPr>
        <w:rPr>
          <w:rFonts w:ascii="Garamond" w:hAnsi="Garamond"/>
          <w:sz w:val="16"/>
          <w:szCs w:val="16"/>
        </w:rPr>
      </w:pPr>
    </w:p>
    <w:p w14:paraId="6532E102" w14:textId="77777777" w:rsidR="00816FED" w:rsidRDefault="00816FED"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5C3F7C56" w14:textId="77777777" w:rsidR="000B2F5C" w:rsidRDefault="000B2F5C" w:rsidP="00FB057B">
      <w:pPr>
        <w:rPr>
          <w:rFonts w:ascii="Garamond" w:hAnsi="Garamond"/>
          <w:sz w:val="16"/>
          <w:szCs w:val="16"/>
        </w:rPr>
      </w:pPr>
    </w:p>
    <w:p w14:paraId="4515E129" w14:textId="2FD33951" w:rsidR="00816FED" w:rsidRDefault="00AB7F1C" w:rsidP="00FB057B">
      <w:pPr>
        <w:rPr>
          <w:rFonts w:ascii="Garamond" w:hAnsi="Garamond"/>
          <w:sz w:val="16"/>
          <w:szCs w:val="16"/>
        </w:rPr>
      </w:pPr>
      <w:r>
        <w:rPr>
          <w:rFonts w:ascii="Garamond" w:hAnsi="Garamond"/>
          <w:noProof/>
          <w:sz w:val="16"/>
          <w:szCs w:val="16"/>
        </w:rPr>
        <w:lastRenderedPageBreak/>
        <w:drawing>
          <wp:inline distT="0" distB="0" distL="0" distR="0" wp14:anchorId="554AA946" wp14:editId="2CB59143">
            <wp:extent cx="5943600" cy="3035300"/>
            <wp:effectExtent l="0" t="0" r="0" b="0"/>
            <wp:docPr id="219536095" name="Picture 2"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36095" name="Picture 2" descr="A group of graphs showing different types of data&#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35300"/>
                    </a:xfrm>
                    <a:prstGeom prst="rect">
                      <a:avLst/>
                    </a:prstGeom>
                  </pic:spPr>
                </pic:pic>
              </a:graphicData>
            </a:graphic>
          </wp:inline>
        </w:drawing>
      </w:r>
    </w:p>
    <w:p w14:paraId="64813424" w14:textId="6C997B3F" w:rsidR="009A55CD" w:rsidRPr="00303ACB" w:rsidRDefault="00DB4EE5" w:rsidP="00FB057B">
      <w:pPr>
        <w:rPr>
          <w:rFonts w:ascii="Garamond" w:hAnsi="Garamond"/>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 xml:space="preserve">7085. Clustering among watersheds is evident between principal </w:t>
      </w:r>
      <w:commentRangeStart w:id="1"/>
      <w:commentRangeStart w:id="2"/>
      <w:r w:rsidR="00BB24FE" w:rsidRPr="006023C1">
        <w:rPr>
          <w:rFonts w:ascii="Garamond" w:hAnsi="Garamond"/>
          <w:sz w:val="16"/>
          <w:szCs w:val="16"/>
        </w:rPr>
        <w:t>components</w:t>
      </w:r>
      <w:commentRangeEnd w:id="1"/>
      <w:r w:rsidR="00F2384D">
        <w:rPr>
          <w:rStyle w:val="CommentReference"/>
        </w:rPr>
        <w:commentReference w:id="1"/>
      </w:r>
      <w:commentRangeEnd w:id="2"/>
      <w:r w:rsidR="00F2384D">
        <w:rPr>
          <w:rStyle w:val="CommentReference"/>
        </w:rPr>
        <w:commentReference w:id="2"/>
      </w:r>
      <w:r w:rsidR="00BB24FE" w:rsidRPr="006023C1">
        <w:rPr>
          <w:rFonts w:ascii="Garamond" w:hAnsi="Garamond"/>
          <w:sz w:val="16"/>
          <w:szCs w:val="16"/>
        </w:rPr>
        <w:t xml:space="preserve"> 1 and 2 (</w:t>
      </w:r>
      <w:r w:rsidR="00303ACB">
        <w:rPr>
          <w:rFonts w:ascii="Garamond" w:hAnsi="Garamond"/>
          <w:sz w:val="16"/>
          <w:szCs w:val="16"/>
        </w:rPr>
        <w:t>68.39</w:t>
      </w:r>
      <w:r w:rsidR="00BB24FE" w:rsidRPr="006023C1">
        <w:rPr>
          <w:rFonts w:ascii="Garamond" w:hAnsi="Garamond"/>
          <w:sz w:val="16"/>
          <w:szCs w:val="16"/>
        </w:rPr>
        <w:t>% of variance), as well as between principal components 2 and 3 (</w:t>
      </w:r>
      <w:r w:rsidR="00303ACB">
        <w:rPr>
          <w:rFonts w:ascii="Garamond" w:hAnsi="Garamond"/>
          <w:sz w:val="16"/>
          <w:szCs w:val="16"/>
        </w:rPr>
        <w:t>31.16%</w:t>
      </w:r>
      <w:r w:rsidR="00BB24FE" w:rsidRPr="006023C1">
        <w:rPr>
          <w:rFonts w:ascii="Garamond" w:hAnsi="Garamond"/>
          <w:sz w:val="16"/>
          <w:szCs w:val="16"/>
        </w:rPr>
        <w:t xml:space="preserve"> </w:t>
      </w:r>
      <w:r w:rsidR="00303ACB">
        <w:rPr>
          <w:rFonts w:ascii="Garamond" w:hAnsi="Garamond"/>
          <w:sz w:val="16"/>
          <w:szCs w:val="16"/>
        </w:rPr>
        <w:t xml:space="preserve">of </w:t>
      </w:r>
      <w:r w:rsidR="00BB24FE" w:rsidRPr="006023C1">
        <w:rPr>
          <w:rFonts w:ascii="Garamond" w:hAnsi="Garamond"/>
          <w:sz w:val="16"/>
          <w:szCs w:val="16"/>
        </w:rPr>
        <w:t xml:space="preserve">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w:t>
      </w:r>
      <w:r w:rsidR="00303ACB">
        <w:rPr>
          <w:rFonts w:ascii="Garamond" w:hAnsi="Garamond"/>
          <w:sz w:val="16"/>
          <w:szCs w:val="16"/>
        </w:rPr>
        <w:t xml:space="preserve"> timeseries</w:t>
      </w:r>
      <w:r w:rsidR="00BB24FE" w:rsidRPr="006023C1">
        <w:rPr>
          <w:rFonts w:ascii="Garamond" w:hAnsi="Garamond"/>
          <w:sz w:val="16"/>
          <w:szCs w:val="16"/>
        </w:rPr>
        <w:t xml:space="preserve"> indices. PC1 (top row) shows high loading on the middle section of the timeseries after the natal origin region. PC2 is driven by the region of the timeseries towards the marine entry</w:t>
      </w:r>
      <w:r w:rsidR="00303ACB">
        <w:rPr>
          <w:rFonts w:ascii="Garamond" w:hAnsi="Garamond"/>
          <w:sz w:val="16"/>
          <w:szCs w:val="16"/>
        </w:rPr>
        <w:t xml:space="preserve">, likely the result of mainstem migration to the ocean. </w:t>
      </w:r>
      <w:r w:rsidR="00BB24FE" w:rsidRPr="006023C1">
        <w:rPr>
          <w:rFonts w:ascii="Garamond" w:hAnsi="Garamond"/>
          <w:sz w:val="16"/>
          <w:szCs w:val="16"/>
        </w:rPr>
        <w:t>PC3 is driven by the very beginning of the timeseries, which is the region associated with the natal origin.</w:t>
      </w:r>
      <w:r w:rsidR="00BB24FE">
        <w:rPr>
          <w:rFonts w:ascii="Garamond" w:hAnsi="Garamond"/>
          <w:b/>
          <w:bCs/>
          <w:sz w:val="16"/>
          <w:szCs w:val="16"/>
        </w:rPr>
        <w:t xml:space="preserve"> </w:t>
      </w:r>
      <w:r w:rsidR="00303ACB">
        <w:rPr>
          <w:rFonts w:ascii="Garamond" w:hAnsi="Garamond"/>
          <w:sz w:val="16"/>
          <w:szCs w:val="16"/>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50F178E6">
            <wp:extent cx="6310860" cy="3155430"/>
            <wp:effectExtent l="0" t="0" r="1270" b="0"/>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28522" cy="3164261"/>
                    </a:xfrm>
                    <a:prstGeom prst="rect">
                      <a:avLst/>
                    </a:prstGeom>
                  </pic:spPr>
                </pic:pic>
              </a:graphicData>
            </a:graphic>
          </wp:inline>
        </w:drawing>
      </w:r>
    </w:p>
    <w:p w14:paraId="1042AA6F" w14:textId="3656E0F3" w:rsidR="00BB24FE" w:rsidRPr="009A55CD"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sectPr w:rsidR="00BB24FE" w:rsidRPr="009A55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7T14:23:00Z" w:initials="b">
    <w:p w14:paraId="215C4347" w14:textId="52E90470" w:rsidR="00ED1482" w:rsidRDefault="00ED1482" w:rsidP="00ED1482">
      <w:r>
        <w:rPr>
          <w:rStyle w:val="CommentReference"/>
        </w:rPr>
        <w:annotationRef/>
      </w:r>
      <w:r>
        <w:rPr>
          <w:sz w:val="20"/>
          <w:szCs w:val="20"/>
        </w:rPr>
        <w:t xml:space="preserve">Working on these. I'll change the color scheme of the isoscape and find a way to show the CWAK geographic region. </w:t>
      </w:r>
    </w:p>
  </w:comment>
  <w:comment w:id="1"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2"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5C4347" w15:done="1"/>
  <w15:commentEx w15:paraId="0DD29C92" w15:done="0"/>
  <w15:commentEx w15:paraId="40117E77" w15:paraIdParent="0DD29C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2C9BDF" w16cex:dateUtc="2025-09-07T21:23:00Z"/>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5C4347" w16cid:durableId="282C9BDF"/>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B2F5C"/>
    <w:rsid w:val="000D1A8B"/>
    <w:rsid w:val="001149D8"/>
    <w:rsid w:val="00166D35"/>
    <w:rsid w:val="001844EB"/>
    <w:rsid w:val="001C1637"/>
    <w:rsid w:val="001C732F"/>
    <w:rsid w:val="001E31A3"/>
    <w:rsid w:val="001F7120"/>
    <w:rsid w:val="00221780"/>
    <w:rsid w:val="002636B2"/>
    <w:rsid w:val="0026679E"/>
    <w:rsid w:val="002948A2"/>
    <w:rsid w:val="00296107"/>
    <w:rsid w:val="00303ACB"/>
    <w:rsid w:val="003642FE"/>
    <w:rsid w:val="00373E7A"/>
    <w:rsid w:val="003A1515"/>
    <w:rsid w:val="003B0A46"/>
    <w:rsid w:val="003E2C8F"/>
    <w:rsid w:val="00401B70"/>
    <w:rsid w:val="004305C0"/>
    <w:rsid w:val="00445705"/>
    <w:rsid w:val="00464971"/>
    <w:rsid w:val="004B1278"/>
    <w:rsid w:val="00521E2C"/>
    <w:rsid w:val="005630A6"/>
    <w:rsid w:val="005B243A"/>
    <w:rsid w:val="005B6B98"/>
    <w:rsid w:val="005F2894"/>
    <w:rsid w:val="006023C1"/>
    <w:rsid w:val="0064415A"/>
    <w:rsid w:val="006700B0"/>
    <w:rsid w:val="006A56D1"/>
    <w:rsid w:val="0073759D"/>
    <w:rsid w:val="00780305"/>
    <w:rsid w:val="00783125"/>
    <w:rsid w:val="007D3936"/>
    <w:rsid w:val="00816FED"/>
    <w:rsid w:val="00850A4E"/>
    <w:rsid w:val="0087450A"/>
    <w:rsid w:val="00907410"/>
    <w:rsid w:val="009A55CD"/>
    <w:rsid w:val="009E03F9"/>
    <w:rsid w:val="00A152A4"/>
    <w:rsid w:val="00A46D4F"/>
    <w:rsid w:val="00A4712A"/>
    <w:rsid w:val="00A97906"/>
    <w:rsid w:val="00AB7F1C"/>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22B3F"/>
    <w:rsid w:val="00E372A3"/>
    <w:rsid w:val="00E410EE"/>
    <w:rsid w:val="00E454BB"/>
    <w:rsid w:val="00E56807"/>
    <w:rsid w:val="00E8171A"/>
    <w:rsid w:val="00EA6A2B"/>
    <w:rsid w:val="00ED1482"/>
    <w:rsid w:val="00ED3CD0"/>
    <w:rsid w:val="00F205AF"/>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6.png"/><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image" Target="media/image5.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4.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3.emf"/><Relationship Id="rId4" Type="http://schemas.openxmlformats.org/officeDocument/2006/relationships/image" Target="media/image1.png"/><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459</Words>
  <Characters>2621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12</cp:revision>
  <dcterms:created xsi:type="dcterms:W3CDTF">2025-10-08T21:50:00Z</dcterms:created>
  <dcterms:modified xsi:type="dcterms:W3CDTF">2025-10-13T16:52:00Z</dcterms:modified>
</cp:coreProperties>
</file>