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7B0E24F7" w14:textId="75EBF189" w:rsidR="00CA63D8" w:rsidRPr="00E50CF7" w:rsidRDefault="00C417C4" w:rsidP="00E50CF7">
      <w:pPr>
        <w:pStyle w:val="whitespace-normal"/>
        <w:spacing w:line="480" w:lineRule="auto"/>
        <w:rPr>
          <w:rFonts w:ascii="Garamond" w:hAnsi="Garamond"/>
          <w:sz w:val="22"/>
          <w:szCs w:val="22"/>
        </w:rPr>
      </w:pPr>
      <w:r w:rsidRPr="00D375B0">
        <w:rPr>
          <w:rFonts w:ascii="Garamond" w:hAnsi="Garamond"/>
        </w:rPr>
        <w:tab/>
      </w:r>
      <w:r w:rsidR="00E50CF7" w:rsidRPr="00E50CF7">
        <w:rPr>
          <w:rFonts w:ascii="Garamond" w:hAnsi="Garamond"/>
          <w:sz w:val="22"/>
          <w:szCs w:val="22"/>
        </w:rPr>
        <w:t xml:space="preserve">Understanding ecosystem processes at refined spatial scales is critical for effective management and </w:t>
      </w:r>
      <w:proofErr w:type="gramStart"/>
      <w:r w:rsidR="00E50CF7" w:rsidRPr="00E50CF7">
        <w:rPr>
          <w:rFonts w:ascii="Garamond" w:hAnsi="Garamond"/>
          <w:sz w:val="22"/>
          <w:szCs w:val="22"/>
        </w:rPr>
        <w:t>conservation, yet</w:t>
      </w:r>
      <w:proofErr w:type="gramEnd"/>
      <w:r w:rsidR="00E50CF7" w:rsidRPr="00E50CF7">
        <w:rPr>
          <w:rFonts w:ascii="Garamond" w:hAnsi="Garamond"/>
          <w:sz w:val="22"/>
          <w:szCs w:val="22"/>
        </w:rPr>
        <w:t xml:space="preserve"> presents significant challenges in remote or expansive ecosystems. This challenge is exemplified in Western Alaska Chinook salmon, where recent population declines have led to fishery closures, but determining the cause is limited by an inability to identify the river of origin for marine-caught fish. While otolith isotope methods offer an alternative to genetics-based approaches, traditional methods rely on single extracted values from otolith timeseries data and are therefore unable to distinguish among river systems due to overlapping isotope signatures across the region. However, analyzing complete timeseries data may reveal subtle temporal patterns that provide new opportunities for watershed identification.</w:t>
      </w:r>
      <w:r w:rsidR="00E50CF7" w:rsidRPr="00E50CF7">
        <w:rPr>
          <w:rFonts w:ascii="Garamond" w:hAnsi="Garamond"/>
          <w:sz w:val="22"/>
          <w:szCs w:val="22"/>
        </w:rPr>
        <w:t xml:space="preserve"> </w:t>
      </w:r>
      <w:r w:rsidR="00E50CF7" w:rsidRPr="00E50CF7">
        <w:rPr>
          <w:rFonts w:ascii="Garamond" w:hAnsi="Garamond"/>
          <w:sz w:val="22"/>
          <w:szCs w:val="22"/>
        </w:rPr>
        <w:t>We tested the classification ability of three machine learning algorithms (Random Forest, K Nearest Neighbors, and Support Vector Machines) combined with two timeseries smoothing techniques (Moving Average and Generalized Additive Models) to classify Western Alaska Chinook salmon to their river of origin using complete otolith timeseries data. Model accuracy for timeseries data ranged from 71.9% to 92.5%, with optimal performance achieved by Random Forest applied to GAM-smoothed data. Watershed-specific performance ranged from 91.4% to 93.7%, with most misclassifications occurring between spatially proximate</w:t>
      </w:r>
      <w:r w:rsidR="00E50CF7" w:rsidRPr="00E50CF7">
        <w:rPr>
          <w:rFonts w:ascii="Garamond" w:hAnsi="Garamond"/>
          <w:sz w:val="22"/>
          <w:szCs w:val="22"/>
        </w:rPr>
        <w:t xml:space="preserve"> </w:t>
      </w:r>
      <w:r w:rsidR="00E50CF7" w:rsidRPr="00E50CF7">
        <w:rPr>
          <w:rFonts w:ascii="Garamond" w:hAnsi="Garamond"/>
          <w:sz w:val="22"/>
          <w:szCs w:val="22"/>
        </w:rPr>
        <w:t xml:space="preserve">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systems</w:t>
      </w:r>
      <w:r w:rsidR="00E50CF7" w:rsidRPr="00E50CF7">
        <w:rPr>
          <w:rFonts w:ascii="Garamond" w:hAnsi="Garamond"/>
          <w:sz w:val="22"/>
          <w:szCs w:val="22"/>
        </w:rPr>
        <w:t xml:space="preserve">. </w:t>
      </w:r>
      <w:r w:rsidR="00E50CF7" w:rsidRPr="00E50CF7">
        <w:rPr>
          <w:rFonts w:ascii="Garamond" w:hAnsi="Garamond"/>
          <w:sz w:val="22"/>
          <w:szCs w:val="22"/>
        </w:rPr>
        <w:t>Raw probability outputs were calibrated to reflect true class probabilities, enabling incorporation into management decisions with explicit consideration of misclassification risk tolerance. The</w:t>
      </w:r>
      <w:r w:rsidR="00E50CF7" w:rsidRPr="00E50CF7">
        <w:rPr>
          <w:rFonts w:ascii="Garamond" w:hAnsi="Garamond"/>
          <w:sz w:val="22"/>
          <w:szCs w:val="22"/>
        </w:rPr>
        <w:t xml:space="preserve"> success of these models offers an ability to</w:t>
      </w:r>
      <w:r w:rsidR="00E50CF7" w:rsidRPr="00E50CF7">
        <w:rPr>
          <w:rFonts w:ascii="Garamond" w:hAnsi="Garamond"/>
          <w:sz w:val="22"/>
          <w:szCs w:val="22"/>
        </w:rPr>
        <w:t xml:space="preserve"> provide immediate utility for estimating marine mortality impacts across the region's three major river systems, offering </w:t>
      </w:r>
      <w:r w:rsidR="00E50CF7" w:rsidRPr="00E50CF7">
        <w:rPr>
          <w:rFonts w:ascii="Garamond" w:hAnsi="Garamond"/>
          <w:sz w:val="22"/>
          <w:szCs w:val="22"/>
        </w:rPr>
        <w:t xml:space="preserve">an opportunity to understand changes to ecosystem dynamics are finer spatial scales than had been previously available.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A428816" w14:textId="77777777" w:rsidR="00DE161A" w:rsidRDefault="00DE161A" w:rsidP="00DE161A">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Although P</w:t>
      </w:r>
      <w:r w:rsidRPr="00DE161A">
        <w:rPr>
          <w:rFonts w:ascii="Garamond" w:hAnsi="Garamond"/>
          <w:sz w:val="22"/>
          <w:szCs w:val="22"/>
        </w:rPr>
        <w:t>opulation-level assessments offer broad-scale perspectives</w:t>
      </w:r>
      <w:r w:rsidRPr="00DE161A">
        <w:rPr>
          <w:rFonts w:ascii="Garamond" w:hAnsi="Garamond"/>
          <w:sz w:val="22"/>
          <w:szCs w:val="22"/>
        </w:rPr>
        <w:t xml:space="preserve"> of ecosystem health, </w:t>
      </w:r>
      <w:r w:rsidRPr="00DE161A">
        <w:rPr>
          <w:rFonts w:ascii="Garamond" w:hAnsi="Garamond"/>
          <w:sz w:val="22"/>
          <w:szCs w:val="22"/>
        </w:rPr>
        <w:t>they can obscure the contributions of processes functioning at finer spatial scales</w:t>
      </w:r>
      <w:r w:rsidRPr="00DE161A">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Monitoring at fine spatial scales in remote, complex ecosystems where </w:t>
      </w:r>
      <w:r w:rsidR="00F436E6" w:rsidRPr="00DE161A">
        <w:rPr>
          <w:rFonts w:ascii="Garamond" w:hAnsi="Garamond"/>
          <w:sz w:val="22"/>
          <w:szCs w:val="22"/>
        </w:rPr>
        <w:t xml:space="preserve">conventional </w:t>
      </w:r>
      <w:r w:rsidRPr="00DE161A">
        <w:rPr>
          <w:rFonts w:ascii="Garamond" w:hAnsi="Garamond"/>
          <w:sz w:val="22"/>
          <w:szCs w:val="22"/>
        </w:rPr>
        <w:t xml:space="preserve">methods </w:t>
      </w:r>
      <w:r w:rsidR="00F436E6" w:rsidRPr="00DE161A">
        <w:rPr>
          <w:rFonts w:ascii="Garamond" w:hAnsi="Garamond"/>
          <w:sz w:val="22"/>
          <w:szCs w:val="22"/>
        </w:rPr>
        <w:t xml:space="preserve">may be impractical or inadequate </w:t>
      </w:r>
      <w:r w:rsidRPr="00DE161A">
        <w:rPr>
          <w:rFonts w:ascii="Garamond" w:hAnsi="Garamond"/>
          <w:sz w:val="22"/>
          <w:szCs w:val="22"/>
        </w:rPr>
        <w:t xml:space="preserve">is a challenge. However, </w:t>
      </w:r>
      <w:r w:rsidRPr="00DE161A">
        <w:rPr>
          <w:rFonts w:ascii="Garamond" w:hAnsi="Garamond"/>
          <w:sz w:val="22"/>
          <w:szCs w:val="22"/>
        </w:rPr>
        <w:t>such efforts are essential for designing management strategies that safeguard the reliability of ecosystem services, which themselves are produced and delivered across diverse spatial scales</w:t>
      </w:r>
      <w:r>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{"citationID":"D7lkBRjQ","properties":{"formattedCitation":"(Hein et al., 2006)","plainCitation":"(Hein et al., 2006)","noteIndex":0},"citationItems":[{"id":5732,"uris":["http://zotero.org/users/8421274/items/XBA25GMC"],"itemData":{"id":5732,"type":"article-journal","abstract":"Since the late 1960s, the valuation of ecosystem services has received ample attention in scientific literature. However, to date, there has been relatively little elaboration of the various spatial and temporal scales at which ecosystem services are supplied. This paper analyzes the spatial scales of ecosystem services, and it examines how stakeholders at different spatial scales attach different values to ecosystem services. The paper first establishes an enhanced framework for the valuation of ecosystem services, with specific attention for stakeholders. The framework includes a procedure to assess the value of regulation services that avoids double counting of these services. Subsequently, the paper analyses the spatial scales of ecosystem services: the ecological scales at which ecosystem services are generated, and the institutional scales at which stakeholders benefit from ecosystem services. On the basis of the proposed valuation framework, we value four selected ecosystem services supplied by the De Wieden wetlands in The Netherlands, and we analyze how these services accrue to stakeholders at different institutional scales. These services are the provision of reed for cutting, the provision of fish, recreation, and nature conservation. In the De Wieden wetland, reed cutting and fisheries are only important at the municipal scale, recreation is most relevant at the municipal and provincial scale, and nature conservation is important in particular at the national and international level. Our analysis shows that stakeholders at different spatial scales can have very different interests in ecosystem services, and we argue that it is highly important to consider the scales of ecosystem services when valuation of services is applied to support the formulation or implementation of ecosystem management plans.","container-title":"Ecological Economics","DOI":"10.1016/j.ecolecon.2005.04.005","ISSN":"0921-8009","issue":"2","journalAbbreviation":"Ecological Economics","page":"209-228","source":"ScienceDirect","title":"Spatial scales, stakeholders and the valuation of ecosystem services","volume":"57","author":[{"family":"Hein","given":"Lars"},{"family":"Koppen","given":"Kris","non-dropping-particle":"van"},{"family":"Groot","given":"Rudolf S.","non-dropping-particle":"de"},{"family":"Ierland","given":"Ekko C.","non-dropping-particle":"van"}],"issued":{"date-parts":[["2006",5,1]]}}}],"schema":"https://github.com/citation-style-language/schema/raw/master/csl-citation.json"}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(Hein et al., 2006)</w:t>
      </w:r>
      <w:r w:rsidRPr="00DE161A">
        <w:rPr>
          <w:rFonts w:ascii="Garamond" w:hAnsi="Garamond"/>
          <w:sz w:val="22"/>
          <w:szCs w:val="22"/>
        </w:rPr>
        <w:fldChar w:fldCharType="end"/>
      </w:r>
      <w:r>
        <w:rPr>
          <w:rFonts w:ascii="Garamond" w:hAnsi="Garamond"/>
          <w:sz w:val="22"/>
          <w:szCs w:val="22"/>
        </w:rPr>
        <w:t xml:space="preserve">. </w:t>
      </w:r>
    </w:p>
    <w:p w14:paraId="038F9429" w14:textId="77777777" w:rsidR="00DE161A" w:rsidRDefault="006F600C" w:rsidP="00DE161A">
      <w:pPr>
        <w:spacing w:line="480" w:lineRule="auto"/>
        <w:ind w:firstLine="720"/>
        <w:rPr>
          <w:rFonts w:ascii="Garamond" w:hAnsi="Garamond"/>
          <w:sz w:val="22"/>
          <w:szCs w:val="22"/>
        </w:rPr>
      </w:pPr>
      <w:r w:rsidRPr="00DE161A">
        <w:rPr>
          <w:rFonts w:ascii="Garamond" w:hAnsi="Garamond"/>
          <w:sz w:val="22"/>
          <w:szCs w:val="22"/>
        </w:rPr>
        <w:t>Management of Pacific salmon populations exemplifies</w:t>
      </w:r>
      <w:r w:rsidR="00DE161A" w:rsidRPr="00DE161A">
        <w:rPr>
          <w:rFonts w:ascii="Garamond" w:hAnsi="Garamond"/>
          <w:sz w:val="22"/>
          <w:szCs w:val="22"/>
        </w:rPr>
        <w:t xml:space="preserve"> the challenge of monitoring across several spatial scales. Adult migrating s</w:t>
      </w:r>
      <w:r w:rsidR="00DE161A" w:rsidRPr="00DE161A">
        <w:rPr>
          <w:rFonts w:ascii="Garamond" w:hAnsi="Garamond"/>
          <w:sz w:val="22"/>
          <w:szCs w:val="22"/>
        </w:rPr>
        <w:t xml:space="preserve">almon exhibit remarkable diversity in both run timing and the spatial extent of habitat use, often </w:t>
      </w:r>
      <w:r w:rsidR="00DE161A" w:rsidRPr="00DE161A">
        <w:rPr>
          <w:rFonts w:ascii="Garamond" w:hAnsi="Garamond"/>
          <w:sz w:val="22"/>
          <w:szCs w:val="22"/>
        </w:rPr>
        <w:t xml:space="preserve">in </w:t>
      </w:r>
      <w:r w:rsidR="00DE161A" w:rsidRPr="00DE161A">
        <w:rPr>
          <w:rFonts w:ascii="Garamond" w:hAnsi="Garamond"/>
          <w:sz w:val="22"/>
          <w:szCs w:val="22"/>
        </w:rPr>
        <w:t>remote and complex ecosystems</w:t>
      </w:r>
      <w:r w:rsidR="00DE161A" w:rsidRPr="00DE161A">
        <w:rPr>
          <w:rFonts w:ascii="Garamond" w:hAnsi="Garamond"/>
          <w:sz w:val="22"/>
          <w:szCs w:val="22"/>
        </w:rPr>
        <w:t xml:space="preserve"> </w:t>
      </w:r>
      <w:r w:rsidR="00DE161A" w:rsidRPr="00DE161A">
        <w:rPr>
          <w:rFonts w:ascii="Garamond" w:hAnsi="Garamond"/>
          <w:sz w:val="22"/>
          <w:szCs w:val="22"/>
        </w:rPr>
        <w:fldChar w:fldCharType="begin"/>
      </w:r>
      <w:r w:rsidR="00DE161A" w:rsidRPr="00DE161A">
        <w:rPr>
          <w:rFonts w:ascii="Garamond" w:hAnsi="Garamond"/>
          <w:sz w:val="22"/>
          <w:szCs w:val="22"/>
        </w:rPr>
        <w:instrText xml:space="preserve"> ADDIN ZOTERO_ITEM CSL_CITATION {"citationID":"b0UtHQha","properties":{"formattedCitation":"(Quinn,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DE161A" w:rsidRPr="00DE161A">
        <w:rPr>
          <w:rFonts w:ascii="Garamond" w:hAnsi="Garamond"/>
          <w:sz w:val="22"/>
          <w:szCs w:val="22"/>
        </w:rPr>
        <w:fldChar w:fldCharType="separate"/>
      </w:r>
      <w:r w:rsidR="00DE161A" w:rsidRPr="00DE161A">
        <w:rPr>
          <w:rFonts w:ascii="Garamond" w:hAnsi="Garamond"/>
          <w:noProof/>
          <w:sz w:val="22"/>
          <w:szCs w:val="22"/>
        </w:rPr>
        <w:t>(Quinn, 2018)</w:t>
      </w:r>
      <w:r w:rsidR="00DE161A" w:rsidRPr="00DE161A">
        <w:rPr>
          <w:rFonts w:ascii="Garamond" w:hAnsi="Garamond"/>
          <w:sz w:val="22"/>
          <w:szCs w:val="22"/>
        </w:rPr>
        <w:fldChar w:fldCharType="end"/>
      </w:r>
      <w:r w:rsidR="00DE161A" w:rsidRPr="00DE161A">
        <w:rPr>
          <w:rFonts w:ascii="Garamond" w:hAnsi="Garamond"/>
          <w:sz w:val="22"/>
          <w:szCs w:val="22"/>
        </w:rPr>
        <w:t xml:space="preserve">. </w:t>
      </w:r>
      <w:r w:rsidR="00DE161A" w:rsidRPr="00DE161A">
        <w:rPr>
          <w:rFonts w:ascii="Garamond" w:hAnsi="Garamond"/>
          <w:sz w:val="22"/>
          <w:szCs w:val="22"/>
        </w:rPr>
        <w:t xml:space="preserve">In Western Alaska, which is home to some of the healthiest remaining salmon ecosystems worldwide, fish returning to the Yukon, Kuskokwim, and </w:t>
      </w:r>
      <w:proofErr w:type="spellStart"/>
      <w:r w:rsidR="00DE161A" w:rsidRPr="00DE161A">
        <w:rPr>
          <w:rFonts w:ascii="Garamond" w:hAnsi="Garamond"/>
          <w:sz w:val="22"/>
          <w:szCs w:val="22"/>
        </w:rPr>
        <w:t>Nushagak</w:t>
      </w:r>
      <w:proofErr w:type="spellEnd"/>
      <w:r w:rsidR="00DE161A" w:rsidRPr="00DE161A">
        <w:rPr>
          <w:rFonts w:ascii="Garamond" w:hAnsi="Garamond"/>
          <w:sz w:val="22"/>
          <w:szCs w:val="22"/>
        </w:rPr>
        <w:t xml:space="preserve"> rivers migrate vast distances through rugged terrain</w:t>
      </w:r>
      <w:r w:rsidR="00DE161A">
        <w:rPr>
          <w:rFonts w:ascii="Garamond" w:hAnsi="Garamond"/>
          <w:sz w:val="22"/>
          <w:szCs w:val="22"/>
        </w:rPr>
        <w:t xml:space="preserve">, where monitoring at the basin or sub-basin scale is limited. </w:t>
      </w:r>
      <w:r w:rsidRPr="00DE161A">
        <w:rPr>
          <w:rFonts w:ascii="Garamond" w:hAnsi="Garamond"/>
          <w:sz w:val="22"/>
          <w:szCs w:val="22"/>
        </w:rPr>
        <w:t xml:space="preserve">Salmon in this region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serve as a subsistence resource for upstream communities</w:t>
      </w:r>
      <w:r w:rsidR="00DE161A">
        <w:rPr>
          <w:rFonts w:ascii="Garamond" w:hAnsi="Garamond"/>
          <w:sz w:val="22"/>
          <w:szCs w:val="22"/>
        </w:rPr>
        <w:t>, however,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p>
    <w:p w14:paraId="5D22D366" w14:textId="77777777" w:rsidR="00DE161A" w:rsidRDefault="00FD2359" w:rsidP="00DE161A">
      <w:pPr>
        <w:spacing w:line="480" w:lineRule="auto"/>
        <w:ind w:firstLine="720"/>
        <w:rPr>
          <w:rFonts w:ascii="Garamond" w:hAnsi="Garamond"/>
          <w:sz w:val="22"/>
          <w:szCs w:val="22"/>
        </w:rPr>
      </w:pPr>
      <w:r w:rsidRPr="00DE161A">
        <w:rPr>
          <w:rFonts w:ascii="Garamond" w:hAnsi="Garamond"/>
          <w:sz w:val="22"/>
          <w:szCs w:val="22"/>
        </w:rPr>
        <w:t xml:space="preserve">Several </w:t>
      </w:r>
      <w:r w:rsidR="00DE161A" w:rsidRPr="00DE161A">
        <w:rPr>
          <w:rFonts w:ascii="Garamond" w:hAnsi="Garamond"/>
          <w:sz w:val="22"/>
          <w:szCs w:val="22"/>
        </w:rPr>
        <w:t>marine-based</w:t>
      </w:r>
      <w:r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w:t>
      </w:r>
      <w:r w:rsidR="00DE161A" w:rsidRPr="00DE161A">
        <w:rPr>
          <w:rFonts w:ascii="Garamond" w:hAnsi="Garamond"/>
          <w:sz w:val="22"/>
          <w:szCs w:val="22"/>
        </w:rPr>
        <w:t>requires comparison against river-specific population dynamics, which vary both among watersheds and across years.</w:t>
      </w:r>
      <w:r w:rsidR="00DE161A">
        <w:rPr>
          <w:rFonts w:ascii="Garamond" w:hAnsi="Garamond"/>
          <w:sz w:val="22"/>
          <w:szCs w:val="22"/>
        </w:rPr>
        <w:t xml:space="preserve"> </w:t>
      </w:r>
      <w:r w:rsidR="00DE161A" w:rsidRPr="00DE161A">
        <w:rPr>
          <w:rFonts w:ascii="Garamond" w:hAnsi="Garamond"/>
          <w:sz w:val="22"/>
          <w:szCs w:val="22"/>
        </w:rPr>
        <w:t>However, genetic stock identification (GSI), a powerful and widely used tool for estimating the provenance of Chinook salmon stocks for in-season management, cannot discriminate within the Coastal Western Alaska (CWAK) genetic reporting group</w:t>
      </w:r>
      <w:r w:rsidR="00DE161A">
        <w:rPr>
          <w:rFonts w:ascii="Garamond" w:hAnsi="Garamond"/>
          <w:sz w:val="22"/>
          <w:szCs w:val="22"/>
        </w:rPr>
        <w:t xml:space="preserve">, which contains some portion of all three watersheds </w:t>
      </w:r>
      <w:r w:rsidR="00DE161A">
        <w:rPr>
          <w:rFonts w:ascii="Garamond" w:hAnsi="Garamond"/>
          <w:sz w:val="22"/>
          <w:szCs w:val="22"/>
        </w:rPr>
        <w:lastRenderedPageBreak/>
        <w:t xml:space="preserve">(Figure 1). </w:t>
      </w:r>
      <w:r w:rsidR="00DE161A" w:rsidRPr="00DE161A">
        <w:rPr>
          <w:rFonts w:ascii="Garamond" w:hAnsi="Garamond"/>
          <w:sz w:val="22"/>
          <w:szCs w:val="22"/>
        </w:rPr>
        <w:t>As a result, evaluating marine-based hypotheses has been constrained by the inability to determine the river of origin for fish</w:t>
      </w:r>
      <w:r w:rsidR="00DE161A">
        <w:rPr>
          <w:rFonts w:ascii="Garamond" w:hAnsi="Garamond"/>
          <w:sz w:val="22"/>
          <w:szCs w:val="22"/>
        </w:rPr>
        <w:t xml:space="preserve"> in the marine environment</w:t>
      </w:r>
      <w:r w:rsidR="00DE161A" w:rsidRPr="00DE161A">
        <w:rPr>
          <w:rFonts w:ascii="Garamond" w:hAnsi="Garamond"/>
          <w:sz w:val="22"/>
          <w:szCs w:val="22"/>
        </w:rPr>
        <w:t>.</w:t>
      </w:r>
    </w:p>
    <w:p w14:paraId="541CC541" w14:textId="3BA7783B" w:rsidR="0010010D" w:rsidRPr="00CA63D8" w:rsidRDefault="00DE161A" w:rsidP="00DE161A">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Pr>
          <w:rFonts w:ascii="Garamond" w:hAnsi="Garamond"/>
          <w:sz w:val="22"/>
          <w:szCs w:val="22"/>
        </w:rPr>
        <w:t xml:space="preserve">s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 xml:space="preserve">the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FD2359"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Pr>
          <w:rFonts w:ascii="Garamond" w:hAnsi="Garamond"/>
          <w:sz w:val="22"/>
          <w:szCs w:val="22"/>
        </w:rPr>
        <w:t xml:space="preserve">This signature has been used to </w:t>
      </w:r>
      <w:r w:rsidR="00FD2359" w:rsidRPr="00CA63D8">
        <w:rPr>
          <w:rFonts w:ascii="Garamond" w:hAnsi="Garamond"/>
          <w:sz w:val="22"/>
          <w:szCs w:val="22"/>
        </w:rPr>
        <w:t>estimate provenance</w:t>
      </w:r>
      <w:r>
        <w:rPr>
          <w:rFonts w:ascii="Garamond" w:hAnsi="Garamond"/>
          <w:sz w:val="22"/>
          <w:szCs w:val="22"/>
        </w:rPr>
        <w:t xml:space="preserve"> of Western Alaska Chinook salmon from known watersheds by </w:t>
      </w:r>
      <w:r w:rsidR="00FD2359" w:rsidRPr="00CA63D8">
        <w:rPr>
          <w:rFonts w:ascii="Garamond" w:hAnsi="Garamond"/>
          <w:sz w:val="22"/>
          <w:szCs w:val="22"/>
        </w:rPr>
        <w:t xml:space="preserve">comparing </w:t>
      </w:r>
      <w:r>
        <w:rPr>
          <w:rFonts w:ascii="Garamond" w:hAnsi="Garamond"/>
          <w:sz w:val="22"/>
          <w:szCs w:val="22"/>
        </w:rPr>
        <w:t xml:space="preserve">a single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from the natal 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Pr>
          <w:rFonts w:ascii="Garamond" w:hAnsi="Garamond"/>
          <w:sz w:val="22"/>
          <w:szCs w:val="22"/>
        </w:rPr>
        <w:t xml:space="preserve">heterogeneity in strontium isotope ratios is sufficient within a single river-basin, 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 xml:space="preserve">of a river of origin </w:t>
      </w:r>
      <w:r w:rsidR="007C6AED" w:rsidRPr="00CA63D8">
        <w:rPr>
          <w:rFonts w:ascii="Garamond" w:hAnsi="Garamond"/>
          <w:sz w:val="22"/>
          <w:szCs w:val="22"/>
        </w:rPr>
        <w:t xml:space="preserve">using </w:t>
      </w:r>
      <w:r>
        <w:rPr>
          <w:rFonts w:ascii="Garamond" w:hAnsi="Garamond"/>
          <w:sz w:val="22"/>
          <w:szCs w:val="22"/>
        </w:rPr>
        <w:t>this method for marine caught fish,</w:t>
      </w:r>
      <w:r w:rsidR="00CA63D8" w:rsidRPr="00CA63D8">
        <w:rPr>
          <w:rFonts w:ascii="Garamond" w:hAnsi="Garamond"/>
          <w:sz w:val="22"/>
          <w:szCs w:val="22"/>
        </w:rPr>
        <w:t xml:space="preserve"> which could have originated from any of the three watersheds</w:t>
      </w:r>
      <w:r w:rsidR="0010010D" w:rsidRPr="00CA63D8">
        <w:rPr>
          <w:rFonts w:ascii="Garamond" w:hAnsi="Garamond"/>
          <w:sz w:val="22"/>
          <w:szCs w:val="22"/>
        </w:rPr>
        <w:t xml:space="preserve"> (Figure 1).</w:t>
      </w:r>
    </w:p>
    <w:p w14:paraId="240F7B0E" w14:textId="7EEC8AFE" w:rsidR="000318EA" w:rsidRPr="000318EA" w:rsidRDefault="00CA63D8" w:rsidP="000318EA">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migrate quickly from freshwater rearing habitats to the ocean, post-natal otolith strontium data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0318EA" w:rsidRPr="000318EA">
        <w:rPr>
          <w:rFonts w:ascii="Garamond" w:hAnsi="Garamond"/>
          <w:sz w:val="22"/>
          <w:szCs w:val="22"/>
        </w:rPr>
        <w:t xml:space="preserve">sequentially ordered otolith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Sr</w:t>
      </w:r>
      <w:r w:rsidR="000318EA" w:rsidRPr="000318EA">
        <w:rPr>
          <w:rFonts w:ascii="Garamond" w:hAnsi="Garamond"/>
          <w:sz w:val="22"/>
          <w:szCs w:val="22"/>
        </w:rPr>
        <w:t xml:space="preserve"> data</w:t>
      </w:r>
      <w:r w:rsidR="000318EA" w:rsidRPr="000318EA">
        <w:rPr>
          <w:rFonts w:ascii="Garamond" w:hAnsi="Garamond"/>
          <w:sz w:val="22"/>
          <w:szCs w:val="22"/>
        </w:rPr>
        <w:t xml:space="preserve"> record a series of subtle patterns produced by incomplete and ongoing turnover reactions. The shape of these patterns, and the relationships among them, may encode distinctive river-specific life histories that together form an identifiable “fingerprint</w:t>
      </w:r>
      <w:r w:rsidR="000318EA" w:rsidRPr="000318EA">
        <w:rPr>
          <w:rFonts w:ascii="Garamond" w:hAnsi="Garamond"/>
          <w:sz w:val="22"/>
          <w:szCs w:val="22"/>
        </w:rPr>
        <w:t>” of river-specific stocks.</w:t>
      </w:r>
      <w:r w:rsidR="000318EA" w:rsidRPr="000318EA">
        <w:rPr>
          <w:rFonts w:ascii="Garamond" w:hAnsi="Garamond"/>
          <w:sz w:val="22"/>
          <w:szCs w:val="22"/>
        </w:rPr>
        <w:t xml:space="preserve"> </w:t>
      </w:r>
      <w:r w:rsidR="000318EA" w:rsidRPr="000318EA">
        <w:rPr>
          <w:rFonts w:ascii="Garamond" w:hAnsi="Garamond"/>
          <w:sz w:val="22"/>
          <w:szCs w:val="22"/>
        </w:rPr>
        <w:lastRenderedPageBreak/>
        <w:t>However, because these patterns are subtle and the number of possible combinations in large river basins is high, such identifiers are difficult to detect using traditional statistical or manual approaches</w:t>
      </w:r>
      <w:r w:rsidR="000318EA" w:rsidRPr="000318EA">
        <w:rPr>
          <w:rFonts w:ascii="Garamond" w:hAnsi="Garamond"/>
          <w:sz w:val="22"/>
          <w:szCs w:val="22"/>
        </w:rPr>
        <w:t xml:space="preserve">. </w:t>
      </w:r>
    </w:p>
    <w:p w14:paraId="3204BB9A" w14:textId="52DEA1EF" w:rsidR="00E71422"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r w:rsidRPr="00E71422">
        <w:rPr>
          <w:rFonts w:ascii="Garamond" w:hAnsi="Garamond"/>
          <w:sz w:val="22"/>
          <w:szCs w:val="22"/>
        </w:rPr>
        <w:fldChar w:fldCharType="begin"/>
      </w:r>
      <w:r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E71422">
        <w:rPr>
          <w:rFonts w:ascii="Garamond" w:hAnsi="Garamond"/>
          <w:sz w:val="22"/>
          <w:szCs w:val="22"/>
        </w:rPr>
        <w:fldChar w:fldCharType="separate"/>
      </w:r>
      <w:r w:rsidRPr="00E71422">
        <w:rPr>
          <w:rFonts w:ascii="Garamond" w:hAnsi="Garamond"/>
          <w:noProof/>
          <w:sz w:val="22"/>
          <w:szCs w:val="22"/>
        </w:rPr>
        <w:t>(Hegg &amp; Kennedy, 2021)</w:t>
      </w:r>
      <w:r w:rsidRPr="00E71422">
        <w:rPr>
          <w:rFonts w:ascii="Garamond" w:hAnsi="Garamond"/>
          <w:sz w:val="22"/>
          <w:szCs w:val="22"/>
        </w:rPr>
        <w:fldChar w:fldCharType="end"/>
      </w:r>
      <w:r w:rsidRPr="00E71422">
        <w:rPr>
          <w:rFonts w:ascii="Garamond" w:hAnsi="Garamond"/>
          <w:sz w:val="22"/>
          <w:szCs w:val="22"/>
        </w:rPr>
        <w:t xml:space="preserve">. </w:t>
      </w:r>
      <w:r w:rsidR="00E71422" w:rsidRPr="00E71422">
        <w:rPr>
          <w:rFonts w:ascii="Garamond" w:hAnsi="Garamond"/>
          <w:sz w:val="22"/>
          <w:szCs w:val="22"/>
        </w:rPr>
        <w:t xml:space="preserve">Combining the temporal resolution of otolith timeseries data with the statistical power of machine learning offers the potential to detect otherwise indiscernible patterns within and across LA datasets. With the addition of known watershed labels, these methods could be used to </w:t>
      </w:r>
      <w:r w:rsidR="00E71422" w:rsidRPr="00E71422">
        <w:rPr>
          <w:rFonts w:ascii="Garamond" w:hAnsi="Garamond"/>
          <w:sz w:val="22"/>
          <w:szCs w:val="22"/>
        </w:rPr>
        <w:t xml:space="preserve">develop a model capable of </w:t>
      </w:r>
      <w:r w:rsidR="00E71422" w:rsidRPr="00E71422">
        <w:rPr>
          <w:rFonts w:ascii="Garamond" w:hAnsi="Garamond"/>
          <w:sz w:val="22"/>
          <w:szCs w:val="22"/>
        </w:rPr>
        <w:t>discriminate the river of origin for</w:t>
      </w:r>
      <w:r w:rsidR="00E71422" w:rsidRPr="00E71422">
        <w:rPr>
          <w:rFonts w:ascii="Garamond" w:hAnsi="Garamond"/>
          <w:sz w:val="22"/>
          <w:szCs w:val="22"/>
        </w:rPr>
        <w:t xml:space="preserve"> marine caught Chinook salmon in Western Alaska</w:t>
      </w:r>
      <w:r w:rsidR="00E71422" w:rsidRPr="00E71422">
        <w:rPr>
          <w:rFonts w:ascii="Garamond" w:hAnsi="Garamond"/>
          <w:sz w:val="22"/>
          <w:szCs w:val="22"/>
        </w:rPr>
        <w:t>.</w:t>
      </w:r>
    </w:p>
    <w:p w14:paraId="5ED2AE5F" w14:textId="461BC296"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machine learning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25D54A0E"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w:t>
      </w:r>
      <w:r w:rsidR="00DF1513" w:rsidRPr="00CE7F91">
        <w:rPr>
          <w:rFonts w:ascii="Garamond" w:hAnsi="Garamond"/>
          <w:sz w:val="22"/>
          <w:szCs w:val="22"/>
        </w:rPr>
        <w:lastRenderedPageBreak/>
        <w:t xml:space="preserve">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0678BE3E" w14:textId="77777777" w:rsidR="00070CB1" w:rsidRDefault="00070CB1" w:rsidP="002A47CE">
      <w:pPr>
        <w:spacing w:line="480" w:lineRule="auto"/>
        <w:ind w:firstLine="720"/>
        <w:rPr>
          <w:rFonts w:ascii="Garamond" w:hAnsi="Garamond"/>
          <w:sz w:val="22"/>
          <w:szCs w:val="22"/>
        </w:rPr>
      </w:pPr>
    </w:p>
    <w:p w14:paraId="7EC1B482" w14:textId="60EB3F53" w:rsidR="00CE7F91" w:rsidRDefault="005E7567" w:rsidP="00070CB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070CB1">
        <w:rPr>
          <w:rFonts w:ascii="Garamond" w:hAnsi="Garamond"/>
          <w:sz w:val="22"/>
          <w:szCs w:val="22"/>
        </w:rPr>
        <w:t xml:space="preserve">Natal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lastRenderedPageBreak/>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0E87D85D" w14:textId="7911D83A" w:rsidR="00CD3FB4" w:rsidRDefault="00AF5A80" w:rsidP="00070CB1">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 xml:space="preserve">0.7080. PCA plots were produced to visualize clustering of both PC1 (47.46% of variance) and PC2 (20.93% of variance) as well as between PC1 and PC3 (10.23% of variance). </w:t>
      </w:r>
      <w:r w:rsidR="00070CB1">
        <w:rPr>
          <w:rFonts w:ascii="Garamond" w:hAnsi="Garamond"/>
          <w:sz w:val="22"/>
          <w:szCs w:val="22"/>
        </w:rPr>
        <w:t xml:space="preserve">We then displayed the absolutely values of </w:t>
      </w:r>
      <w:r w:rsidR="00070CB1">
        <w:rPr>
          <w:rFonts w:ascii="Garamond" w:hAnsi="Garamond"/>
          <w:sz w:val="22"/>
          <w:szCs w:val="22"/>
        </w:rPr>
        <w:lastRenderedPageBreak/>
        <w:t>the principal component loading from each point along the timeseries to identify portions of the timeseries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9D6A0ED" w14:textId="77777777" w:rsidR="00070CB1" w:rsidRPr="00CD3FB4" w:rsidRDefault="00070CB1" w:rsidP="00070CB1">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0CFA09C"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proofErr w:type="spellStart"/>
      <w:r w:rsidR="00070CB1">
        <w:rPr>
          <w:rFonts w:ascii="Garamond" w:hAnsi="Garamond"/>
          <w:sz w:val="22"/>
          <w:szCs w:val="22"/>
        </w:rPr>
        <w:t>datasets</w:t>
      </w:r>
      <w:r w:rsidR="00444663" w:rsidRPr="009B73BD">
        <w:rPr>
          <w:rFonts w:ascii="Garamond" w:hAnsi="Garamond"/>
          <w:sz w:val="22"/>
          <w:szCs w:val="22"/>
        </w:rPr>
        <w:t>ets</w:t>
      </w:r>
      <w:proofErr w:type="spellEnd"/>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e trained three supervised classification algorithms</w:t>
      </w:r>
      <w:r w:rsidR="00070CB1">
        <w:rPr>
          <w:rFonts w:ascii="Garamond" w:hAnsi="Garamond"/>
          <w:sz w:val="22"/>
          <w:szCs w:val="22"/>
        </w:rPr>
        <w:t xml:space="preserve"> on the training set for each dataset</w:t>
      </w:r>
      <w:r>
        <w:rPr>
          <w:rFonts w:ascii="Garamond" w:hAnsi="Garamond"/>
          <w:sz w:val="22"/>
          <w:szCs w:val="22"/>
        </w:rPr>
        <w:t xml:space="preserve">: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2"/>
      <w:r w:rsidR="00444663" w:rsidRPr="00701699">
        <w:rPr>
          <w:rFonts w:ascii="Garamond" w:hAnsi="Garamond"/>
          <w:sz w:val="22"/>
          <w:szCs w:val="22"/>
        </w:rPr>
        <w:t>R</w:t>
      </w:r>
      <w:r w:rsidR="00444663">
        <w:rPr>
          <w:rFonts w:ascii="Garamond" w:hAnsi="Garamond"/>
          <w:sz w:val="22"/>
          <w:szCs w:val="22"/>
        </w:rPr>
        <w:t xml:space="preserve">. </w:t>
      </w:r>
      <w:commentRangeEnd w:id="2"/>
      <w:r>
        <w:rPr>
          <w:rStyle w:val="CommentReference"/>
        </w:rPr>
        <w:commentReference w:id="2"/>
      </w:r>
    </w:p>
    <w:p w14:paraId="090C2636" w14:textId="10B29DCC"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w:t>
      </w:r>
      <w:r w:rsidR="00070CB1">
        <w:rPr>
          <w:rFonts w:ascii="Garamond" w:hAnsi="Garamond"/>
          <w:sz w:val="22"/>
          <w:szCs w:val="22"/>
        </w:rPr>
        <w:t xml:space="preserve">(Figure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lastRenderedPageBreak/>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0433F72D" w14:textId="0788DC16" w:rsidR="00070CB1" w:rsidRDefault="00043EBC" w:rsidP="00070CB1">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3D905F26"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w:t>
      </w:r>
      <w:r w:rsidR="00070CB1">
        <w:rPr>
          <w:rFonts w:ascii="Garamond" w:hAnsi="Garamond"/>
          <w:sz w:val="22"/>
          <w:szCs w:val="22"/>
        </w:rPr>
        <w:t xml:space="preserve"> (Supplemental?)</w:t>
      </w:r>
      <w:r w:rsidRPr="00D440B2">
        <w:rPr>
          <w:rFonts w:ascii="Garamond" w:hAnsi="Garamond"/>
          <w:sz w:val="22"/>
          <w:szCs w:val="22"/>
        </w:rPr>
        <w:t>.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 xml:space="preserve">Calibration transformations were fitted separately for each model-data type combination and stored as reusable functions that can be applied consistently to future predictions. This ensures that probability estimates from our models accurately </w:t>
      </w:r>
      <w:r w:rsidRPr="00D440B2">
        <w:rPr>
          <w:rFonts w:ascii="Garamond" w:hAnsi="Garamond"/>
          <w:sz w:val="22"/>
          <w:szCs w:val="22"/>
        </w:rPr>
        <w:lastRenderedPageBreak/>
        <w:t>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6B8594A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timeseries compared to the more constrained ranges observed in the other two watershed classes</w:t>
      </w:r>
    </w:p>
    <w:p w14:paraId="06F8E81E" w14:textId="6830FC19" w:rsidR="00ED3EE6" w:rsidRPr="00D53F6D" w:rsidRDefault="00D53F6D" w:rsidP="000F5F9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3"/>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3"/>
      <w:r w:rsidR="000F5F96">
        <w:rPr>
          <w:rStyle w:val="CommentReference"/>
        </w:rPr>
        <w:commentReference w:id="3"/>
      </w:r>
      <w:r w:rsidR="00D70E26">
        <w:rPr>
          <w:rFonts w:ascii="Garamond" w:hAnsi="Garamond"/>
          <w:sz w:val="22"/>
          <w:szCs w:val="22"/>
        </w:rPr>
        <w:t xml:space="preserve">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w:t>
      </w:r>
      <w:r w:rsidR="000F5F96" w:rsidRPr="00CA63D8">
        <w:rPr>
          <w:rFonts w:ascii="Cambria Math" w:hAnsi="Cambria Math" w:cs="Cambria Math"/>
          <w:sz w:val="22"/>
          <w:szCs w:val="22"/>
        </w:rPr>
        <w:t>⁸⁷</w:t>
      </w:r>
      <w:r w:rsidR="000F5F96" w:rsidRPr="00CA63D8">
        <w:rPr>
          <w:rFonts w:ascii="Garamond" w:hAnsi="Garamond"/>
          <w:sz w:val="22"/>
          <w:szCs w:val="22"/>
        </w:rPr>
        <w:t>Sr/</w:t>
      </w:r>
      <w:r w:rsidR="000F5F96" w:rsidRPr="00CA63D8">
        <w:rPr>
          <w:rFonts w:ascii="Cambria Math" w:hAnsi="Cambria Math" w:cs="Cambria Math"/>
          <w:sz w:val="22"/>
          <w:szCs w:val="22"/>
        </w:rPr>
        <w:t>⁸⁶</w:t>
      </w:r>
      <w:r w:rsidR="000F5F96" w:rsidRPr="00CA63D8">
        <w:rPr>
          <w:rFonts w:ascii="Garamond" w:hAnsi="Garamond"/>
          <w:sz w:val="22"/>
          <w:szCs w:val="22"/>
        </w:rPr>
        <w:t>Sr</w:t>
      </w:r>
      <w:r w:rsidR="00D70E26">
        <w:rPr>
          <w:rFonts w:ascii="Garamond" w:hAnsi="Garamond"/>
          <w:sz w:val="22"/>
          <w:szCs w:val="22"/>
        </w:rPr>
        <w:t xml:space="preserve"> values before the marine onset</w:t>
      </w:r>
      <w:r w:rsidR="00D9294A">
        <w:rPr>
          <w:rFonts w:ascii="Garamond" w:hAnsi="Garamond"/>
          <w:sz w:val="22"/>
          <w:szCs w:val="22"/>
        </w:rPr>
        <w:t xml:space="preserve"> </w:t>
      </w:r>
      <w:r w:rsidR="00D70E26">
        <w:rPr>
          <w:rFonts w:ascii="Garamond" w:hAnsi="Garamond"/>
          <w:sz w:val="22"/>
          <w:szCs w:val="22"/>
        </w:rPr>
        <w:t xml:space="preserve">(Figure 5b.) </w:t>
      </w:r>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w:t>
      </w:r>
      <w:r w:rsidRPr="00D53F6D">
        <w:rPr>
          <w:rFonts w:ascii="Garamond" w:hAnsi="Garamond"/>
          <w:sz w:val="22"/>
          <w:szCs w:val="22"/>
        </w:rPr>
        <w:lastRenderedPageBreak/>
        <w:t>values at the very beginning of the timeseries</w:t>
      </w:r>
      <w:r w:rsidR="000F5F96">
        <w:rPr>
          <w:rFonts w:ascii="Garamond" w:hAnsi="Garamond"/>
          <w:sz w:val="22"/>
          <w:szCs w:val="22"/>
        </w:rPr>
        <w:t xml:space="preserve"> </w:t>
      </w:r>
      <w:r w:rsidR="000F5F96" w:rsidRPr="00D53F6D">
        <w:rPr>
          <w:rFonts w:ascii="Garamond" w:hAnsi="Garamond"/>
          <w:sz w:val="22"/>
          <w:szCs w:val="22"/>
        </w:rPr>
        <w:t xml:space="preserve">corresponding to the start of the natal origin signature. </w:t>
      </w:r>
      <w:r w:rsidR="000F5F96">
        <w:rPr>
          <w:rFonts w:ascii="Garamond" w:hAnsi="Garamond"/>
          <w:sz w:val="22"/>
          <w:szCs w:val="22"/>
        </w:rPr>
        <w:t xml:space="preserve"> as well as some variation in values towards the values just before the mainstem value described above. </w:t>
      </w:r>
      <w:r w:rsidRPr="00D53F6D">
        <w:rPr>
          <w:rFonts w:ascii="Garamond" w:hAnsi="Garamond"/>
          <w:sz w:val="22"/>
          <w:szCs w:val="22"/>
        </w:rPr>
        <w:t xml:space="preserve">The minimal discrimination among watersheds along this component </w:t>
      </w:r>
      <w:r w:rsidR="000F5F96">
        <w:rPr>
          <w:rFonts w:ascii="Garamond" w:hAnsi="Garamond"/>
          <w:sz w:val="22"/>
          <w:szCs w:val="22"/>
        </w:rPr>
        <w:t>is</w:t>
      </w:r>
      <w:r w:rsidRPr="00D53F6D">
        <w:rPr>
          <w:rFonts w:ascii="Garamond" w:hAnsi="Garamond"/>
          <w:sz w:val="22"/>
          <w:szCs w:val="22"/>
        </w:rPr>
        <w:t xml:space="preserve"> expected</w:t>
      </w:r>
      <w:r w:rsidR="00D70E26">
        <w:rPr>
          <w:rFonts w:ascii="Garamond" w:hAnsi="Garamond"/>
          <w:sz w:val="22"/>
          <w:szCs w:val="22"/>
        </w:rPr>
        <w:t xml:space="preserve"> given that all individuals in this </w:t>
      </w:r>
      <w:r w:rsidR="000F5F96">
        <w:rPr>
          <w:rFonts w:ascii="Garamond" w:hAnsi="Garamond"/>
          <w:sz w:val="22"/>
          <w:szCs w:val="22"/>
        </w:rPr>
        <w:t>subset</w:t>
      </w:r>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ED0A917" w14:textId="77777777" w:rsidR="00517678" w:rsidRDefault="00517678" w:rsidP="0038052F">
      <w:pPr>
        <w:spacing w:line="480" w:lineRule="auto"/>
        <w:ind w:firstLine="720"/>
        <w:rPr>
          <w:rFonts w:ascii="Garamond" w:hAnsi="Garamond"/>
          <w:sz w:val="22"/>
          <w:szCs w:val="22"/>
        </w:rPr>
      </w:pPr>
    </w:p>
    <w:p w14:paraId="60891E68" w14:textId="39EDB1F4"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5554505A"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w:t>
      </w:r>
      <w:r>
        <w:rPr>
          <w:rFonts w:ascii="Garamond" w:hAnsi="Garamond"/>
          <w:sz w:val="22"/>
          <w:szCs w:val="22"/>
        </w:rPr>
        <w:lastRenderedPageBreak/>
        <w:t xml:space="preserve">represented only one additional individual misclassified (9 in the total analysis vs 8 in the overlapping analysis). </w:t>
      </w:r>
      <w:r w:rsidR="00363DDE">
        <w:rPr>
          <w:rFonts w:ascii="Garamond" w:hAnsi="Garamond"/>
          <w:sz w:val="22"/>
          <w:szCs w:val="22"/>
        </w:rPr>
        <w:t xml:space="preserve">Classification accuracy within the CWAK reporting group, which includes the Kuskokwim, </w:t>
      </w:r>
      <w:proofErr w:type="spellStart"/>
      <w:r w:rsidR="00363DDE">
        <w:rPr>
          <w:rFonts w:ascii="Garamond" w:hAnsi="Garamond"/>
          <w:sz w:val="22"/>
          <w:szCs w:val="22"/>
        </w:rPr>
        <w:t>Nushagak</w:t>
      </w:r>
      <w:proofErr w:type="spellEnd"/>
      <w:r w:rsidR="00363DDE">
        <w:rPr>
          <w:rFonts w:ascii="Garamond" w:hAnsi="Garamond"/>
          <w:sz w:val="22"/>
          <w:szCs w:val="22"/>
        </w:rPr>
        <w:t xml:space="preserve">,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C3BF8DC"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Machine learning tools applied to otolith laser ablation timeseries data proved highly effective for classifying Western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timeseries smoothing techniques significantly outperformed raw laser ablation data. </w:t>
      </w:r>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timeseries analysis</w:t>
      </w:r>
      <w:r w:rsidR="00733CEF">
        <w:rPr>
          <w:rFonts w:ascii="Garamond" w:hAnsi="Garamond"/>
          <w:sz w:val="22"/>
          <w:szCs w:val="22"/>
        </w:rPr>
        <w:t xml:space="preserve"> techniques to sequentially ordered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addition of more complex timeseries analysis techniques. </w:t>
      </w:r>
    </w:p>
    <w:p w14:paraId="7768580F" w14:textId="386E55E6" w:rsidR="002D29B3" w:rsidRPr="003C5C0F" w:rsidRDefault="00733CEF" w:rsidP="00733CEF">
      <w:pPr>
        <w:spacing w:line="480" w:lineRule="auto"/>
        <w:ind w:firstLine="720"/>
        <w:rPr>
          <w:rFonts w:ascii="Garamond" w:hAnsi="Garamond"/>
          <w:sz w:val="22"/>
          <w:szCs w:val="22"/>
        </w:rPr>
      </w:pPr>
      <w:r>
        <w:rPr>
          <w:rFonts w:ascii="Garamond" w:hAnsi="Garamond"/>
          <w:sz w:val="22"/>
          <w:szCs w:val="22"/>
        </w:rPr>
        <w:t xml:space="preserve">Among our 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w:t>
      </w:r>
      <w:proofErr w:type="spellStart"/>
      <w:r w:rsidR="00BE529C" w:rsidRPr="0073705F">
        <w:rPr>
          <w:rFonts w:ascii="Garamond" w:hAnsi="Garamond"/>
          <w:sz w:val="22"/>
          <w:szCs w:val="22"/>
        </w:rPr>
        <w:t>Nushagak</w:t>
      </w:r>
      <w:proofErr w:type="spellEnd"/>
      <w:r w:rsidR="00BE529C" w:rsidRPr="0073705F">
        <w:rPr>
          <w:rFonts w:ascii="Garamond" w:hAnsi="Garamond"/>
          <w:sz w:val="22"/>
          <w:szCs w:val="22"/>
        </w:rPr>
        <w:t xml:space="preserve">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values and closer spatial proximity between these watersheds. In contrast, Yukon fish exhibited distinct otolith patterns due to the watershed's extreme spatial scale, broader range of isotope values, and extended migration timing</w:t>
      </w:r>
      <w:r>
        <w:rPr>
          <w:rFonts w:ascii="Garamond" w:hAnsi="Garamond"/>
          <w:sz w:val="22"/>
          <w:szCs w:val="22"/>
        </w:rPr>
        <w:t>. This likely resulted in otolith timeseries which were distinct compared distinct compared to the other watersheds either because of distinct natal origin values or prominent features indicating 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xml:space="preserve">, which is further supported by </w:t>
      </w:r>
      <w:r w:rsidR="0073705F" w:rsidRPr="0073705F">
        <w:rPr>
          <w:rFonts w:ascii="Garamond" w:hAnsi="Garamond"/>
          <w:sz w:val="22"/>
          <w:szCs w:val="22"/>
        </w:rPr>
        <w:t xml:space="preserve">supported by higher misclassification rates among CWAK individuals compared to those from </w:t>
      </w:r>
      <w:r w:rsidR="0073705F" w:rsidRPr="0073705F">
        <w:rPr>
          <w:rFonts w:ascii="Garamond" w:hAnsi="Garamond"/>
          <w:sz w:val="22"/>
          <w:szCs w:val="22"/>
        </w:rPr>
        <w:lastRenderedPageBreak/>
        <w:t>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(i.e. Figure 5b, column 4) are more likely to be misclassified with Kuskokwim or </w:t>
      </w:r>
      <w:proofErr w:type="spellStart"/>
      <w:r>
        <w:rPr>
          <w:rFonts w:ascii="Garamond" w:hAnsi="Garamond"/>
          <w:sz w:val="22"/>
          <w:szCs w:val="22"/>
        </w:rPr>
        <w:t>Nushagak</w:t>
      </w:r>
      <w:proofErr w:type="spellEnd"/>
      <w:r>
        <w:rPr>
          <w:rFonts w:ascii="Garamond" w:hAnsi="Garamond"/>
          <w:sz w:val="22"/>
          <w:szCs w:val="22"/>
        </w:rPr>
        <w:t xml:space="preserve"> fish, resulting in lower overall accuracy. </w:t>
      </w:r>
      <w:r w:rsidR="00B753DE" w:rsidRPr="003C5C0F">
        <w:rPr>
          <w:rFonts w:ascii="Garamond" w:hAnsi="Garamond"/>
          <w:sz w:val="22"/>
          <w:szCs w:val="22"/>
        </w:rPr>
        <w:t xml:space="preserve">Still, </w:t>
      </w:r>
      <w:r>
        <w:rPr>
          <w:rFonts w:ascii="Garamond" w:hAnsi="Garamond"/>
          <w:sz w:val="22"/>
          <w:szCs w:val="22"/>
        </w:rPr>
        <w:t>PCA analysis suggests that other features in the timeseries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 xml:space="preserve">when used alongside other </w:t>
      </w:r>
      <w:r w:rsidR="00B753DE" w:rsidRPr="003C5C0F">
        <w:rPr>
          <w:rFonts w:ascii="Garamond" w:hAnsi="Garamond"/>
          <w:sz w:val="22"/>
          <w:szCs w:val="22"/>
        </w:rPr>
        <w:t>timeseries analysis techniques</w:t>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7C21E374" w14:textId="201AED59" w:rsidR="0064576D" w:rsidRPr="00F72276" w:rsidRDefault="00624A8A" w:rsidP="00F72276">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18270C1A" w14:textId="245F6E94" w:rsidR="00E5472C" w:rsidRDefault="00D27C7B" w:rsidP="009B7B97">
      <w:pPr>
        <w:pStyle w:val="whitespace-normal"/>
        <w:spacing w:line="480" w:lineRule="auto"/>
        <w:ind w:firstLine="720"/>
        <w:rPr>
          <w:rFonts w:ascii="Garamond" w:hAnsi="Garamond"/>
          <w:sz w:val="22"/>
          <w:szCs w:val="22"/>
        </w:rPr>
      </w:pPr>
      <w:r w:rsidRPr="009B7B97">
        <w:rPr>
          <w:rFonts w:ascii="Garamond" w:hAnsi="Garamond"/>
        </w:rPr>
        <w:t xml:space="preserve">A tool to estimate provenance of marine-caught Chinook salmon in Western Alaska has the potential to expand assessment </w:t>
      </w:r>
      <w:r w:rsidR="009B7B97" w:rsidRPr="009B7B97">
        <w:rPr>
          <w:rFonts w:ascii="Garamond" w:hAnsi="Garamond"/>
        </w:rPr>
        <w:t xml:space="preserve">of hypotheses of declining population health by allowing for an explicit assessment of marine mortality on stock specific health. </w:t>
      </w:r>
      <w:r w:rsidRPr="009B7B97">
        <w:rPr>
          <w:rFonts w:ascii="Garamond" w:hAnsi="Garamond"/>
        </w:rPr>
        <w:t xml:space="preserve">The models presented here provide an immediately available tool </w:t>
      </w:r>
      <w:r w:rsidR="009B7B97" w:rsidRPr="009B7B97">
        <w:rPr>
          <w:rFonts w:ascii="Garamond" w:hAnsi="Garamond"/>
        </w:rPr>
        <w:t xml:space="preserve">that can be used alongside </w:t>
      </w:r>
      <w:r w:rsidRPr="009B7B97">
        <w:rPr>
          <w:rFonts w:ascii="Garamond" w:hAnsi="Garamond"/>
        </w:rPr>
        <w:t>otolith LA-ICPMS data</w:t>
      </w:r>
      <w:r w:rsidR="009B7B97" w:rsidRPr="009B7B97">
        <w:rPr>
          <w:rFonts w:ascii="Garamond" w:hAnsi="Garamond"/>
        </w:rPr>
        <w:t xml:space="preserve">. Because of the size of this dataset and the temporal scale of sampling efforts, we expect that this model will perform well on new datasets despite shifting patterns of habitat use throughout the basin which may alter the shape of otolith timeseries data. </w:t>
      </w:r>
      <w:r w:rsidR="00E5472C" w:rsidRPr="005E5F5B">
        <w:rPr>
          <w:rFonts w:ascii="Garamond" w:hAnsi="Garamond"/>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Pr>
          <w:rFonts w:ascii="Garamond" w:hAnsi="Garamond"/>
        </w:rPr>
        <w:t xml:space="preserve"> Even with extremely high confidence threshold values, our model achieved between ~70% and ~85% accuracy for all classes. The exception to this is the Yukon classification on the “Total” testing set, in which distinct </w:t>
      </w:r>
      <w:r w:rsidR="009B7B97" w:rsidRPr="00CA63D8">
        <w:rPr>
          <w:rFonts w:ascii="Cambria Math" w:hAnsi="Cambria Math" w:cs="Cambria Math"/>
          <w:sz w:val="22"/>
          <w:szCs w:val="22"/>
        </w:rPr>
        <w:t>⁸⁷</w:t>
      </w:r>
      <w:r w:rsidR="009B7B97" w:rsidRPr="00CA63D8">
        <w:rPr>
          <w:rFonts w:ascii="Garamond" w:hAnsi="Garamond"/>
          <w:sz w:val="22"/>
          <w:szCs w:val="22"/>
        </w:rPr>
        <w:t>Sr/</w:t>
      </w:r>
      <w:r w:rsidR="009B7B97" w:rsidRPr="00CA63D8">
        <w:rPr>
          <w:rFonts w:ascii="Cambria Math" w:hAnsi="Cambria Math" w:cs="Cambria Math"/>
          <w:sz w:val="22"/>
          <w:szCs w:val="22"/>
        </w:rPr>
        <w:t>⁸⁶</w:t>
      </w:r>
      <w:r w:rsidR="009B7B97" w:rsidRPr="00CA63D8">
        <w:rPr>
          <w:rFonts w:ascii="Garamond" w:hAnsi="Garamond"/>
          <w:sz w:val="22"/>
          <w:szCs w:val="22"/>
        </w:rPr>
        <w:t>Sr</w:t>
      </w:r>
      <w:r w:rsidR="009B7B97">
        <w:rPr>
          <w:rFonts w:ascii="Garamond" w:hAnsi="Garamond"/>
          <w:sz w:val="22"/>
          <w:szCs w:val="22"/>
        </w:rPr>
        <w:t xml:space="preserve"> values in the Yukon buoy correct classification with extremely high confidence values. </w:t>
      </w:r>
    </w:p>
    <w:p w14:paraId="75A7E217" w14:textId="01142C45" w:rsidR="00E5472C" w:rsidRPr="00F72276" w:rsidRDefault="0064576D" w:rsidP="0064576D">
      <w:pPr>
        <w:pStyle w:val="whitespace-normal"/>
        <w:spacing w:line="480" w:lineRule="auto"/>
        <w:ind w:firstLine="720"/>
        <w:rPr>
          <w:rFonts w:ascii="Garamond" w:hAnsi="Garamond"/>
          <w:sz w:val="22"/>
          <w:szCs w:val="22"/>
        </w:rPr>
      </w:pPr>
      <w:r w:rsidRPr="00F72276">
        <w:rPr>
          <w:rFonts w:ascii="Garamond" w:hAnsi="Garamond"/>
          <w:sz w:val="22"/>
          <w:szCs w:val="22"/>
        </w:rPr>
        <w:lastRenderedPageBreak/>
        <w:t>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w:t>
      </w:r>
      <w:r w:rsidRPr="00F72276">
        <w:rPr>
          <w:rFonts w:ascii="Garamond" w:hAnsi="Garamond"/>
          <w:sz w:val="22"/>
          <w:szCs w:val="22"/>
        </w:rPr>
        <w:t xml:space="preserve"> </w:t>
      </w:r>
      <w:r w:rsidRPr="00F72276">
        <w:rPr>
          <w:rFonts w:ascii="Garamond" w:hAnsi="Garamond"/>
          <w:sz w:val="22"/>
          <w:szCs w:val="22"/>
        </w:rPr>
        <w:t>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16CB72DD" w14:textId="1FA79619" w:rsidR="00D971E7" w:rsidRPr="00F72276" w:rsidRDefault="00D971E7" w:rsidP="00D971E7">
      <w:pPr>
        <w:spacing w:before="100" w:beforeAutospacing="1" w:after="100" w:afterAutospacing="1" w:line="480" w:lineRule="auto"/>
        <w:ind w:firstLine="720"/>
        <w:outlineLvl w:val="1"/>
        <w:rPr>
          <w:rFonts w:ascii="Garamond" w:hAnsi="Garamond"/>
          <w:sz w:val="22"/>
          <w:szCs w:val="22"/>
        </w:rPr>
      </w:pPr>
      <w:r w:rsidRPr="00F72276">
        <w:rPr>
          <w:rFonts w:ascii="Garamond" w:hAnsi="Garamond"/>
          <w:sz w:val="22"/>
          <w:szCs w:val="22"/>
        </w:rPr>
        <w:t>Cutting edge statistical tools such as machine learning models provide an opportunity to uncover new insights in ecological datasets that may be critical for management or conservation efforts. In this case, e</w:t>
      </w:r>
      <w:r w:rsidRPr="00F72276">
        <w:rPr>
          <w:rFonts w:ascii="Garamond" w:hAnsi="Garamond"/>
          <w:sz w:val="22"/>
          <w:szCs w:val="22"/>
        </w:rPr>
        <w:t xml:space="preserve">nabling river-basin scale determination of provenance for marine-caught Chinook </w:t>
      </w:r>
      <w:r w:rsidRPr="00F72276">
        <w:rPr>
          <w:rFonts w:ascii="Garamond" w:hAnsi="Garamond"/>
          <w:sz w:val="22"/>
          <w:szCs w:val="22"/>
        </w:rPr>
        <w:t>salmon allows</w:t>
      </w:r>
      <w:r w:rsidRPr="00F72276">
        <w:rPr>
          <w:rFonts w:ascii="Garamond" w:hAnsi="Garamond"/>
          <w:sz w:val="22"/>
          <w:szCs w:val="22"/>
        </w:rPr>
        <w:t xml:space="preserve"> managers to connect region-wide </w:t>
      </w:r>
      <w:r w:rsidRPr="00F72276">
        <w:rPr>
          <w:rFonts w:ascii="Garamond" w:hAnsi="Garamond"/>
          <w:sz w:val="22"/>
          <w:szCs w:val="22"/>
        </w:rPr>
        <w:t xml:space="preserve">salmon population </w:t>
      </w:r>
      <w:r w:rsidRPr="00F72276">
        <w:rPr>
          <w:rFonts w:ascii="Garamond" w:hAnsi="Garamond"/>
          <w:sz w:val="22"/>
          <w:szCs w:val="22"/>
        </w:rPr>
        <w:t>patterns with</w:t>
      </w:r>
      <w:r w:rsidRPr="00F72276">
        <w:rPr>
          <w:rFonts w:ascii="Garamond" w:hAnsi="Garamond"/>
          <w:sz w:val="22"/>
          <w:szCs w:val="22"/>
        </w:rPr>
        <w:t xml:space="preserve"> river-specific population health. In doing so, </w:t>
      </w:r>
      <w:r w:rsidRPr="00F72276">
        <w:rPr>
          <w:rFonts w:ascii="Garamond" w:hAnsi="Garamond"/>
          <w:sz w:val="22"/>
          <w:szCs w:val="22"/>
        </w:rPr>
        <w:t xml:space="preserve">researchers </w:t>
      </w:r>
      <w:r w:rsidRPr="00F72276">
        <w:rPr>
          <w:rFonts w:ascii="Garamond" w:hAnsi="Garamond"/>
          <w:sz w:val="22"/>
          <w:szCs w:val="22"/>
        </w:rPr>
        <w:t xml:space="preserve">may </w:t>
      </w:r>
      <w:r w:rsidRPr="00F72276">
        <w:rPr>
          <w:rFonts w:ascii="Garamond" w:hAnsi="Garamond"/>
          <w:sz w:val="22"/>
          <w:szCs w:val="22"/>
        </w:rPr>
        <w:t xml:space="preserve">better understand </w:t>
      </w:r>
      <w:r w:rsidRPr="00F72276">
        <w:rPr>
          <w:rFonts w:ascii="Garamond" w:hAnsi="Garamond"/>
          <w:sz w:val="22"/>
          <w:szCs w:val="22"/>
        </w:rPr>
        <w:t xml:space="preserve">how ecosystem processes at several spatial scales and across ecosystems are interconnected to informing overall ecosystem health. </w:t>
      </w:r>
      <w:r w:rsidR="00FB68F4" w:rsidRPr="00F72276">
        <w:rPr>
          <w:rFonts w:ascii="Garamond" w:hAnsi="Garamond"/>
          <w:sz w:val="22"/>
          <w:szCs w:val="22"/>
        </w:rPr>
        <w:t xml:space="preserve">Developing this knowledge of ecosystem function </w:t>
      </w:r>
      <w:r w:rsidR="00FB68F4" w:rsidRPr="00F72276">
        <w:rPr>
          <w:rFonts w:ascii="Garamond" w:hAnsi="Garamond"/>
          <w:sz w:val="22"/>
          <w:szCs w:val="22"/>
        </w:rPr>
        <w:t xml:space="preserve">across scales </w:t>
      </w:r>
      <w:r w:rsidR="00FB68F4" w:rsidRPr="00F72276">
        <w:rPr>
          <w:rFonts w:ascii="Garamond" w:hAnsi="Garamond"/>
          <w:sz w:val="22"/>
          <w:szCs w:val="22"/>
        </w:rPr>
        <w:t>is essential for informing management and conservation strategies that sustain the services provided by healthy, functioning ecosystems.</w:t>
      </w:r>
    </w:p>
    <w:p w14:paraId="3BAC1256" w14:textId="77777777" w:rsidR="00D971E7" w:rsidRDefault="00D971E7" w:rsidP="00D971E7">
      <w:pPr>
        <w:spacing w:before="100" w:beforeAutospacing="1" w:after="100" w:afterAutospacing="1" w:line="480" w:lineRule="auto"/>
        <w:outlineLvl w:val="1"/>
        <w:rPr>
          <w:rFonts w:ascii="Garamond" w:hAnsi="Garamond"/>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3" w:author="Benjamin J. Makhlouf" w:date="2025-09-06T17:57:00Z" w:initials="b">
    <w:p w14:paraId="7EA423C7" w14:textId="77777777" w:rsidR="000F5F96" w:rsidRDefault="000F5F96" w:rsidP="000F5F96">
      <w:r>
        <w:rPr>
          <w:rStyle w:val="CommentReference"/>
        </w:rPr>
        <w:annotationRef/>
      </w:r>
      <w:r>
        <w:rPr>
          <w:sz w:val="20"/>
          <w:szCs w:val="20"/>
        </w:rPr>
        <w:t xml:space="preserve">Thoughts on whether to just use an average, or show the range.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4E3434D0" w15:done="0"/>
  <w15:commentEx w15:paraId="7EA423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208C7FE7" w16cex:dateUtc="2025-09-02T16:56:00Z"/>
  <w16cex:commentExtensible w16cex:durableId="7BF59F8C" w16cex:dateUtc="2025-09-07T00: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4E3434D0" w16cid:durableId="208C7FE7"/>
  <w16cid:commentId w16cid:paraId="7EA423C7" w16cid:durableId="7BF59F8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18EA"/>
    <w:rsid w:val="000326A8"/>
    <w:rsid w:val="00043ACE"/>
    <w:rsid w:val="00043EBC"/>
    <w:rsid w:val="00052F65"/>
    <w:rsid w:val="00070CB1"/>
    <w:rsid w:val="00071CCC"/>
    <w:rsid w:val="00083149"/>
    <w:rsid w:val="000869FF"/>
    <w:rsid w:val="00091070"/>
    <w:rsid w:val="000941AF"/>
    <w:rsid w:val="00096BA7"/>
    <w:rsid w:val="00096C3C"/>
    <w:rsid w:val="000C2944"/>
    <w:rsid w:val="000D1B34"/>
    <w:rsid w:val="000F0779"/>
    <w:rsid w:val="000F4EE0"/>
    <w:rsid w:val="000F4F29"/>
    <w:rsid w:val="000F5F96"/>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4572F"/>
    <w:rsid w:val="00354445"/>
    <w:rsid w:val="003606FC"/>
    <w:rsid w:val="00363DDE"/>
    <w:rsid w:val="00364186"/>
    <w:rsid w:val="003642FE"/>
    <w:rsid w:val="0038052F"/>
    <w:rsid w:val="003852CE"/>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17678"/>
    <w:rsid w:val="00523B37"/>
    <w:rsid w:val="00525222"/>
    <w:rsid w:val="00526D9D"/>
    <w:rsid w:val="00527EB9"/>
    <w:rsid w:val="00530E86"/>
    <w:rsid w:val="00533C00"/>
    <w:rsid w:val="0053609D"/>
    <w:rsid w:val="00537983"/>
    <w:rsid w:val="00542302"/>
    <w:rsid w:val="00557AB9"/>
    <w:rsid w:val="00560622"/>
    <w:rsid w:val="00563F6D"/>
    <w:rsid w:val="005672B1"/>
    <w:rsid w:val="005A0FE2"/>
    <w:rsid w:val="005A2FFF"/>
    <w:rsid w:val="005B3BF5"/>
    <w:rsid w:val="005C1DE3"/>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3CEF"/>
    <w:rsid w:val="0073705F"/>
    <w:rsid w:val="00737BCD"/>
    <w:rsid w:val="00746012"/>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373D4"/>
    <w:rsid w:val="00841057"/>
    <w:rsid w:val="00841F42"/>
    <w:rsid w:val="008475B7"/>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9F5"/>
    <w:rsid w:val="009B0B8C"/>
    <w:rsid w:val="009B4729"/>
    <w:rsid w:val="009B73BD"/>
    <w:rsid w:val="009B7B97"/>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8751C"/>
    <w:rsid w:val="00AA6FED"/>
    <w:rsid w:val="00AA7224"/>
    <w:rsid w:val="00AB079F"/>
    <w:rsid w:val="00AB4F2C"/>
    <w:rsid w:val="00AE24AA"/>
    <w:rsid w:val="00AF5A80"/>
    <w:rsid w:val="00B008EE"/>
    <w:rsid w:val="00B119FB"/>
    <w:rsid w:val="00B2797F"/>
    <w:rsid w:val="00B30111"/>
    <w:rsid w:val="00B31CD2"/>
    <w:rsid w:val="00B32AF3"/>
    <w:rsid w:val="00B335D4"/>
    <w:rsid w:val="00B753DE"/>
    <w:rsid w:val="00B84DE8"/>
    <w:rsid w:val="00B936A6"/>
    <w:rsid w:val="00B96193"/>
    <w:rsid w:val="00BB5BBB"/>
    <w:rsid w:val="00BD2714"/>
    <w:rsid w:val="00BD3BE0"/>
    <w:rsid w:val="00BD5921"/>
    <w:rsid w:val="00BE529C"/>
    <w:rsid w:val="00BF2E8A"/>
    <w:rsid w:val="00C02555"/>
    <w:rsid w:val="00C1569E"/>
    <w:rsid w:val="00C16ECB"/>
    <w:rsid w:val="00C2398D"/>
    <w:rsid w:val="00C265F6"/>
    <w:rsid w:val="00C26DD3"/>
    <w:rsid w:val="00C417C4"/>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375B0"/>
    <w:rsid w:val="00D440B2"/>
    <w:rsid w:val="00D53F6D"/>
    <w:rsid w:val="00D55132"/>
    <w:rsid w:val="00D70E26"/>
    <w:rsid w:val="00D7690A"/>
    <w:rsid w:val="00D848A0"/>
    <w:rsid w:val="00D86BCC"/>
    <w:rsid w:val="00D9294A"/>
    <w:rsid w:val="00D971E7"/>
    <w:rsid w:val="00D97F1C"/>
    <w:rsid w:val="00DA7891"/>
    <w:rsid w:val="00DB0B6F"/>
    <w:rsid w:val="00DC7070"/>
    <w:rsid w:val="00DE161A"/>
    <w:rsid w:val="00DE389D"/>
    <w:rsid w:val="00DF1513"/>
    <w:rsid w:val="00E06D65"/>
    <w:rsid w:val="00E2005E"/>
    <w:rsid w:val="00E22B3F"/>
    <w:rsid w:val="00E454BB"/>
    <w:rsid w:val="00E45DBA"/>
    <w:rsid w:val="00E46DD7"/>
    <w:rsid w:val="00E50AAB"/>
    <w:rsid w:val="00E50CF7"/>
    <w:rsid w:val="00E51F5E"/>
    <w:rsid w:val="00E5472C"/>
    <w:rsid w:val="00E673AF"/>
    <w:rsid w:val="00E71422"/>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2276"/>
    <w:rsid w:val="00F75B08"/>
    <w:rsid w:val="00F864E5"/>
    <w:rsid w:val="00F94D1D"/>
    <w:rsid w:val="00FA1987"/>
    <w:rsid w:val="00FA6CD2"/>
    <w:rsid w:val="00FB146C"/>
    <w:rsid w:val="00FB68F4"/>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12564</Words>
  <Characters>71618</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3</cp:revision>
  <dcterms:created xsi:type="dcterms:W3CDTF">2025-09-07T21:14:00Z</dcterms:created>
  <dcterms:modified xsi:type="dcterms:W3CDTF">2025-09-07T23:16:00Z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