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Staneva </w:t>
      </w:r>
    </w:p>
    <w:p w14:paraId="5FCA1CD8" w14:textId="7FAC063D" w:rsidR="00CA63D8" w:rsidRDefault="00CA63D8" w:rsidP="00CA63D8">
      <w:pPr>
        <w:spacing w:line="480" w:lineRule="auto"/>
        <w:rPr>
          <w:rFonts w:ascii="Garamond" w:hAnsi="Garamond"/>
        </w:rPr>
      </w:pPr>
    </w:p>
    <w:p w14:paraId="2A93C8C7" w14:textId="66AC2A42" w:rsidR="00CA63D8" w:rsidRPr="00AC2A70" w:rsidRDefault="00CA63D8" w:rsidP="00CA63D8">
      <w:pPr>
        <w:spacing w:line="480" w:lineRule="auto"/>
        <w:rPr>
          <w:rFonts w:ascii="Garamond" w:hAnsi="Garamond"/>
          <w:b/>
          <w:bCs/>
        </w:rPr>
      </w:pPr>
      <w:r w:rsidRPr="00AC2A70">
        <w:rPr>
          <w:rFonts w:ascii="Garamond" w:hAnsi="Garamond"/>
          <w:b/>
          <w:bCs/>
        </w:rPr>
        <w:t xml:space="preserve">Abstract: </w:t>
      </w:r>
    </w:p>
    <w:p w14:paraId="7B0E24F7" w14:textId="75EBF189" w:rsidR="00CA63D8" w:rsidRPr="00E50CF7" w:rsidRDefault="00C417C4" w:rsidP="00E50CF7">
      <w:pPr>
        <w:pStyle w:val="whitespace-normal"/>
        <w:spacing w:line="480" w:lineRule="auto"/>
        <w:rPr>
          <w:rFonts w:ascii="Garamond" w:hAnsi="Garamond"/>
          <w:sz w:val="22"/>
          <w:szCs w:val="22"/>
        </w:rPr>
      </w:pPr>
      <w:r w:rsidRPr="00D375B0">
        <w:rPr>
          <w:rFonts w:ascii="Garamond" w:hAnsi="Garamond"/>
        </w:rPr>
        <w:tab/>
      </w:r>
      <w:r w:rsidR="00E50CF7" w:rsidRPr="00E50CF7">
        <w:rPr>
          <w:rFonts w:ascii="Garamond" w:hAnsi="Garamond"/>
          <w:sz w:val="22"/>
          <w:szCs w:val="22"/>
        </w:rPr>
        <w:t xml:space="preserve">Understanding ecosystem processes at refined spatial scales is critical for effective management and </w:t>
      </w:r>
      <w:proofErr w:type="gramStart"/>
      <w:r w:rsidR="00E50CF7" w:rsidRPr="00E50CF7">
        <w:rPr>
          <w:rFonts w:ascii="Garamond" w:hAnsi="Garamond"/>
          <w:sz w:val="22"/>
          <w:szCs w:val="22"/>
        </w:rPr>
        <w:t>conservation, yet</w:t>
      </w:r>
      <w:proofErr w:type="gramEnd"/>
      <w:r w:rsidR="00E50CF7" w:rsidRPr="00E50CF7">
        <w:rPr>
          <w:rFonts w:ascii="Garamond" w:hAnsi="Garamond"/>
          <w:sz w:val="22"/>
          <w:szCs w:val="22"/>
        </w:rPr>
        <w:t xml:space="preserve"> presents significant challenges in remote or expansive ecosystems. This challenge is exemplified in Western Alaska Chinook salmon, where recent population declines have led to fishery closures, but determining the cause is limited by an inability to identify the river of origin for marine-caught fish. While otolith isotope methods offer an alternative to genetics-based approaches, traditional methods rely on single extracted values from otolith timeseries data and are therefore unable to distinguish among river systems due to overlapping isotope signatures across the region. However, analyzing complete timeseries data may reveal subtle temporal patterns that provide new opportunities for watershed identification. We tested the classification ability of three machine learning algorithms (Random Forest, K Nearest Neighbors, and Support Vector Machines) combined with two timeseries smoothing techniques (Moving Average and Generalized Additive Models) to classify Western Alaska Chinook salmon to their river of origin using complete otolith timeseries data. Model accuracy for timeseries data ranged from 71.9% to 92.5%, with optimal performance achieved by Random Forest applied to GAM-smoothed data. Watershed-specific performance ranged from 91.4% to 93.7%, with most misclassifications occurring between spatially proximate Kuskokwim and </w:t>
      </w:r>
      <w:proofErr w:type="spellStart"/>
      <w:r w:rsidR="00E50CF7" w:rsidRPr="00E50CF7">
        <w:rPr>
          <w:rFonts w:ascii="Garamond" w:hAnsi="Garamond"/>
          <w:sz w:val="22"/>
          <w:szCs w:val="22"/>
        </w:rPr>
        <w:t>Nushagak</w:t>
      </w:r>
      <w:proofErr w:type="spellEnd"/>
      <w:r w:rsidR="00E50CF7" w:rsidRPr="00E50CF7">
        <w:rPr>
          <w:rFonts w:ascii="Garamond" w:hAnsi="Garamond"/>
          <w:sz w:val="22"/>
          <w:szCs w:val="22"/>
        </w:rPr>
        <w:t xml:space="preserve"> systems. Raw probability outputs were calibrated to reflect true class probabilities, enabling incorporation into management decisions with explicit consideration of misclassification risk tolerance. The success of these models offers an ability to provide immediate utility for estimating marine mortality impacts across the region's three major river systems, offering an opportunity to understand changes to ecosystem dynamics are finer spatial scales than had been previously available.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7A55DDF" w14:textId="6F18649F" w:rsidR="00B03D1A" w:rsidRDefault="00DE161A" w:rsidP="00552656">
      <w:pPr>
        <w:spacing w:line="480" w:lineRule="auto"/>
        <w:ind w:firstLine="720"/>
        <w:rPr>
          <w:rFonts w:ascii="Garamond" w:hAnsi="Garamond"/>
          <w:sz w:val="22"/>
          <w:szCs w:val="22"/>
        </w:rPr>
      </w:pPr>
      <w:r w:rsidRPr="00DE161A">
        <w:rPr>
          <w:rFonts w:ascii="Garamond" w:hAnsi="Garamond"/>
          <w:sz w:val="22"/>
          <w:szCs w:val="22"/>
        </w:rPr>
        <w:t xml:space="preserve">Understanding the impacts of environmental and anthropogenic stressors on ecosystem health requires monitoring approaches that operate across multiple spatial and temporal scales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{"citationID":"LWMpUmIK","properties":{"formattedCitation":"(Hutchinson, 1953; Levin, 1992)","plainCitation":"(Hutchinson, 1953; Levin, 1992)","noteIndex":0},"citationItems":[{"id":5726,"uris":["http://zotero.org/users/8421274/items/X348FCQK"],"itemData":{"id":5726,"type":"article-journal","container-title":"Proceedings of the Academy of Natural Sciences of Philadelphia","ISSN":"0097-3157","note":"publisher: Academy of Natural Sciences","page":"1-12","source":"JSTOR","title":"The Concept of Pattern in Ecology","volume":"105","author":[{"family":"Hutchinson","given":"G. Evelyn"}],"issued":{"date-parts":[["1953"]]}}},{"id":274,"uris":["http://zotero.org/users/8421274/items/D2QML5DG"],"itemData":{"id":274,"type":"article-journal","abstract":"A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(Hutchinson, 1953; Levin, 1992)</w:t>
      </w:r>
      <w:r w:rsidRPr="00DE161A">
        <w:rPr>
          <w:rFonts w:ascii="Garamond" w:hAnsi="Garamond"/>
          <w:sz w:val="22"/>
          <w:szCs w:val="22"/>
        </w:rPr>
        <w:fldChar w:fldCharType="end"/>
      </w:r>
      <w:r w:rsidRPr="00DE161A">
        <w:rPr>
          <w:rFonts w:ascii="Garamond" w:hAnsi="Garamond"/>
          <w:sz w:val="22"/>
          <w:szCs w:val="22"/>
        </w:rPr>
        <w:t xml:space="preserve">. Although Population-level assessments offer broad-scale perspectives of ecosystem health, they can obscure the contributions of processes functioning at finer spatial scales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{"citationID":"fhJR0xBw","properties":{"formattedCitation":"(Anderson, 2018; Wessman &amp; Asner, 1998)","plainCitation":"(Anderson, 2018; Wessman &amp; Asner, 1998)","noteIndex":0},"citationItems":[{"id":5728,"uris":["http://zotero.org/users/8421274/items/57BSKMSV"],"itemData":{"id":5728,"type":"article-journal","abstract":"Human activity and land-use change are dramatically altering the sizes, geographical distributions and functioning of biological populations worldwide, with tremendous consequences for human well-being. Yet our ability to measure, monitor and forecast biodiversity change – crucial to addressing it – remains limited. Biodiversity monitoring systems are being developed to improve this capacity by deriving metrics of change from an array of in situ data (e.g. field plots or species occurrence records) and Earth observations (EO; e.g. satellite or airborne imagery). However, there are few ecologically based frameworks for integrating these data into meaningful metrics of biodiversity change. Here, I describe how concepts of pattern and scale in ecology could be used to design such a framework. I review three core topics: the role of scale in measuring and modelling biodiversity patterns with EO, scale-dependent challenges linking in situ and EO data and opportunities to apply concepts of pattern and scale to EO to improve biodiversity mapping. From this analysis emerges an actionable approach for measuring, monitoring and forecasting biodiversity change, highlighting key opportunities to establish EO as the backbone of global-scale, science-driven conservation.","container-title":"Ecology Letters","DOI":"10.1111/ele.13106","ISSN":"1461-0248","issue":"10","language":"en","license":"© 2018 John Wiley &amp; Sons Ltd/CNRS","note":"_eprint: https://onlinelibrary.wiley.com/doi/pdf/10.1111/ele.13106","page":"1572-1585","source":"Wiley Online Library","title":"Biodiversity monitoring, earth observations and the ecology of scale","volume":"21","author":[{"family":"Anderson","given":"Christopher B."}],"issued":{"date-parts":[["2018"]]}}},{"id":5731,"uris":["http://zotero.org/users/8421274/items/MG7PC46L"],"itemData":{"id":5731,"type":"chapter","abstract":"Both the structure and function of terrestrial ecosystems have significant impact on atmosphere-biosphere dynamics. Analyzing and predicting their roles in global environmental change present a major challenge to ecosystem scientists. Measurements at landscape, regional, and global scales are both necessary and difficult because they incorporate the full complexity of interacting system components, variations inherent in resource and climate constraints, and the effects of land-cover or land-use change. Our objective in this chapter is to identify the large-scale measurements that will most effectively further our understanding of regional and global ecology. To do this, our discussion expands from present-day measurements of biophysical structure and function to the areas in which new measurements can span our knowledge gaps. Although today’s observation strategies are conducted at several scales, they tend to address either structure (e.g. vegetation-type distribution) or function (e.g. trace-gas fluxes) and rarely link the two. They lack integration as a result of several gaps, the most significant of which may be knowledge of dynamic carbon allocation processes and changing land-cover and land-use distributions. Continued development of dynamic global vegetation models is needed to couple ecosystem redistribution with biogeochemistry. However, because allocation is not mechanistically simulated by present-day ecosystem process models, remote sensing of aboveground allocation patterns will be required to constrain simulations for the foreseeable future. We contend that a stronger effort to link the physical structure to the function is critically needed to advance our understanding and predictive capability at large scales, and that quantitative remote sensing will provide important measurements to make those links.","container-title":"Successes, Limitations, and Frontiers in Ecosystem Science","event-place":"New York, NY","ISBN":"978-1-4612-1724-4","language":"en","note":"DOI: 10.1007/978-1-4612-1724-4_14","page":"346-371","publisher":"Springer","publisher-place":"New York, NY","source":"Springer Link","title":"Ecosystems and Problems of Measurement at Large Spatial Scales","URL":"https://doi.org/10.1007/978-1-4612-1724-4_14","author":[{"family":"Wessman","given":"Carol A."},{"family":"Asner","given":"Gregory P."}],"editor":[{"family":"Pace","given":"Michael L."},{"family":"Groffman","given":"Peter M."}],"accessed":{"date-parts":[["2025",9,6]]},"issued":{"date-parts":[["1998"]]}}}],"schema":"https://github.com/citation-style-language/schema/raw/master/csl-citation.json"}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(Anderson, 2018; Wessman &amp; Asner, 1998)</w:t>
      </w:r>
      <w:r w:rsidRPr="00DE161A">
        <w:rPr>
          <w:rFonts w:ascii="Garamond" w:hAnsi="Garamond"/>
          <w:sz w:val="22"/>
          <w:szCs w:val="22"/>
        </w:rPr>
        <w:fldChar w:fldCharType="end"/>
      </w:r>
      <w:r w:rsidRPr="00DE161A">
        <w:rPr>
          <w:rFonts w:ascii="Garamond" w:hAnsi="Garamond"/>
          <w:sz w:val="22"/>
          <w:szCs w:val="22"/>
        </w:rPr>
        <w:t xml:space="preserve">. </w:t>
      </w:r>
      <w:r w:rsidR="00874C03">
        <w:rPr>
          <w:rFonts w:ascii="Garamond" w:hAnsi="Garamond"/>
          <w:sz w:val="22"/>
          <w:szCs w:val="22"/>
        </w:rPr>
        <w:t>In remote, complex ecosystems, monitoring these processes using conventional methods is a challenge. H</w:t>
      </w:r>
      <w:r w:rsidRPr="00DE161A">
        <w:rPr>
          <w:rFonts w:ascii="Garamond" w:hAnsi="Garamond"/>
          <w:sz w:val="22"/>
          <w:szCs w:val="22"/>
        </w:rPr>
        <w:t xml:space="preserve">owever, such </w:t>
      </w:r>
      <w:r w:rsidR="00874C03">
        <w:rPr>
          <w:rFonts w:ascii="Garamond" w:hAnsi="Garamond"/>
          <w:sz w:val="22"/>
          <w:szCs w:val="22"/>
        </w:rPr>
        <w:t>knowledge is</w:t>
      </w:r>
      <w:r w:rsidRPr="00DE161A">
        <w:rPr>
          <w:rFonts w:ascii="Garamond" w:hAnsi="Garamond"/>
          <w:sz w:val="22"/>
          <w:szCs w:val="22"/>
        </w:rPr>
        <w:t xml:space="preserve"> essential for </w:t>
      </w:r>
      <w:r w:rsidR="00874C03">
        <w:rPr>
          <w:rFonts w:ascii="Garamond" w:hAnsi="Garamond"/>
          <w:sz w:val="22"/>
          <w:szCs w:val="22"/>
        </w:rPr>
        <w:t>understanding ecosystem health and ensuring the</w:t>
      </w:r>
      <w:r w:rsidR="0004735B">
        <w:rPr>
          <w:rFonts w:ascii="Garamond" w:hAnsi="Garamond"/>
          <w:sz w:val="22"/>
          <w:szCs w:val="22"/>
        </w:rPr>
        <w:t xml:space="preserve"> </w:t>
      </w:r>
      <w:r w:rsidR="00EA3DDE">
        <w:rPr>
          <w:rFonts w:ascii="Garamond" w:hAnsi="Garamond"/>
          <w:sz w:val="22"/>
          <w:szCs w:val="22"/>
        </w:rPr>
        <w:t>reliable delivery</w:t>
      </w:r>
      <w:r w:rsidR="00874C03">
        <w:rPr>
          <w:rFonts w:ascii="Garamond" w:hAnsi="Garamond"/>
          <w:sz w:val="22"/>
          <w:szCs w:val="22"/>
        </w:rPr>
        <w:t xml:space="preserve"> of </w:t>
      </w:r>
      <w:r w:rsidRPr="00DE161A">
        <w:rPr>
          <w:rFonts w:ascii="Garamond" w:hAnsi="Garamond"/>
          <w:sz w:val="22"/>
          <w:szCs w:val="22"/>
        </w:rPr>
        <w:t>ecosystem services</w:t>
      </w:r>
      <w:r w:rsidR="0004735B">
        <w:rPr>
          <w:rFonts w:ascii="Garamond" w:hAnsi="Garamond"/>
          <w:sz w:val="22"/>
          <w:szCs w:val="22"/>
        </w:rPr>
        <w:t xml:space="preserve">. </w:t>
      </w:r>
      <w:r w:rsidR="006F600C" w:rsidRPr="00DE161A">
        <w:rPr>
          <w:rFonts w:ascii="Garamond" w:hAnsi="Garamond"/>
          <w:sz w:val="22"/>
          <w:szCs w:val="22"/>
        </w:rPr>
        <w:t xml:space="preserve">Management of </w:t>
      </w:r>
      <w:r w:rsidR="00B03D1A">
        <w:rPr>
          <w:rFonts w:ascii="Garamond" w:hAnsi="Garamond"/>
          <w:sz w:val="22"/>
          <w:szCs w:val="22"/>
        </w:rPr>
        <w:t>P</w:t>
      </w:r>
      <w:r w:rsidR="006F600C" w:rsidRPr="00DE161A">
        <w:rPr>
          <w:rFonts w:ascii="Garamond" w:hAnsi="Garamond"/>
          <w:sz w:val="22"/>
          <w:szCs w:val="22"/>
        </w:rPr>
        <w:t xml:space="preserve">acific salmon </w:t>
      </w:r>
      <w:r w:rsidR="00D957DB" w:rsidRPr="00DE161A">
        <w:rPr>
          <w:rFonts w:ascii="Garamond" w:hAnsi="Garamond"/>
          <w:sz w:val="22"/>
          <w:szCs w:val="22"/>
        </w:rPr>
        <w:t>In Western Alaska</w:t>
      </w:r>
      <w:r w:rsidR="00D957DB" w:rsidRPr="00DE161A">
        <w:rPr>
          <w:rFonts w:ascii="Garamond" w:hAnsi="Garamond"/>
          <w:sz w:val="22"/>
          <w:szCs w:val="22"/>
        </w:rPr>
        <w:t xml:space="preserve"> </w:t>
      </w:r>
      <w:r w:rsidR="006F600C" w:rsidRPr="00DE161A">
        <w:rPr>
          <w:rFonts w:ascii="Garamond" w:hAnsi="Garamond"/>
          <w:sz w:val="22"/>
          <w:szCs w:val="22"/>
        </w:rPr>
        <w:t>exemplif</w:t>
      </w:r>
      <w:r w:rsidR="00D957DB">
        <w:rPr>
          <w:rFonts w:ascii="Garamond" w:hAnsi="Garamond"/>
          <w:sz w:val="22"/>
          <w:szCs w:val="22"/>
        </w:rPr>
        <w:t>ies</w:t>
      </w:r>
      <w:r w:rsidR="0004735B">
        <w:rPr>
          <w:rFonts w:ascii="Garamond" w:hAnsi="Garamond"/>
          <w:sz w:val="22"/>
          <w:szCs w:val="22"/>
        </w:rPr>
        <w:t xml:space="preserve"> </w:t>
      </w:r>
      <w:r w:rsidR="00B03D1A">
        <w:rPr>
          <w:rFonts w:ascii="Garamond" w:hAnsi="Garamond"/>
          <w:sz w:val="22"/>
          <w:szCs w:val="22"/>
        </w:rPr>
        <w:t xml:space="preserve">this </w:t>
      </w:r>
      <w:r w:rsidRPr="00DE161A">
        <w:rPr>
          <w:rFonts w:ascii="Garamond" w:hAnsi="Garamond"/>
          <w:sz w:val="22"/>
          <w:szCs w:val="22"/>
        </w:rPr>
        <w:t>challenge</w:t>
      </w:r>
      <w:r w:rsidR="00B03D1A">
        <w:rPr>
          <w:rFonts w:ascii="Garamond" w:hAnsi="Garamond"/>
          <w:sz w:val="22"/>
          <w:szCs w:val="22"/>
        </w:rPr>
        <w:t xml:space="preserve">. </w:t>
      </w:r>
      <w:r w:rsidRPr="00DE161A">
        <w:rPr>
          <w:rFonts w:ascii="Garamond" w:hAnsi="Garamond"/>
          <w:sz w:val="22"/>
          <w:szCs w:val="22"/>
        </w:rPr>
        <w:t>Adult</w:t>
      </w:r>
      <w:r w:rsidR="00B03D1A">
        <w:rPr>
          <w:rFonts w:ascii="Garamond" w:hAnsi="Garamond"/>
          <w:sz w:val="22"/>
          <w:szCs w:val="22"/>
        </w:rPr>
        <w:t xml:space="preserve"> </w:t>
      </w:r>
      <w:r w:rsidRPr="00DE161A">
        <w:rPr>
          <w:rFonts w:ascii="Garamond" w:hAnsi="Garamond"/>
          <w:sz w:val="22"/>
          <w:szCs w:val="22"/>
        </w:rPr>
        <w:t>salmon</w:t>
      </w:r>
      <w:r w:rsidR="00D957DB">
        <w:rPr>
          <w:rFonts w:ascii="Garamond" w:hAnsi="Garamond"/>
          <w:sz w:val="22"/>
          <w:szCs w:val="22"/>
        </w:rPr>
        <w:t xml:space="preserve"> in the </w:t>
      </w:r>
      <w:r w:rsidR="00D957DB" w:rsidRPr="00DE161A">
        <w:rPr>
          <w:rFonts w:ascii="Garamond" w:hAnsi="Garamond"/>
          <w:sz w:val="22"/>
          <w:szCs w:val="22"/>
        </w:rPr>
        <w:t xml:space="preserve">Yukon, Kuskokwim, and </w:t>
      </w:r>
      <w:proofErr w:type="spellStart"/>
      <w:r w:rsidR="00D957DB" w:rsidRPr="00DE161A">
        <w:rPr>
          <w:rFonts w:ascii="Garamond" w:hAnsi="Garamond"/>
          <w:sz w:val="22"/>
          <w:szCs w:val="22"/>
        </w:rPr>
        <w:t>Nushagak</w:t>
      </w:r>
      <w:proofErr w:type="spellEnd"/>
      <w:r w:rsidR="00D957DB" w:rsidRPr="00DE161A">
        <w:rPr>
          <w:rFonts w:ascii="Garamond" w:hAnsi="Garamond"/>
          <w:sz w:val="22"/>
          <w:szCs w:val="22"/>
        </w:rPr>
        <w:t xml:space="preserve"> </w:t>
      </w:r>
      <w:r w:rsidR="00552656">
        <w:rPr>
          <w:rFonts w:ascii="Garamond" w:hAnsi="Garamond"/>
          <w:sz w:val="22"/>
          <w:szCs w:val="22"/>
        </w:rPr>
        <w:t xml:space="preserve">river-basins </w:t>
      </w:r>
      <w:r w:rsidR="00D957DB">
        <w:rPr>
          <w:rFonts w:ascii="Garamond" w:hAnsi="Garamond"/>
          <w:sz w:val="22"/>
          <w:szCs w:val="22"/>
        </w:rPr>
        <w:t xml:space="preserve">migrate through </w:t>
      </w:r>
      <w:r w:rsidRPr="00DE161A">
        <w:rPr>
          <w:rFonts w:ascii="Garamond" w:hAnsi="Garamond"/>
          <w:sz w:val="22"/>
          <w:szCs w:val="22"/>
        </w:rPr>
        <w:t>remote</w:t>
      </w:r>
      <w:r w:rsidR="00B03D1A">
        <w:rPr>
          <w:rFonts w:ascii="Garamond" w:hAnsi="Garamond"/>
          <w:sz w:val="22"/>
          <w:szCs w:val="22"/>
        </w:rPr>
        <w:t xml:space="preserve">, </w:t>
      </w:r>
      <w:r w:rsidRPr="00DE161A">
        <w:rPr>
          <w:rFonts w:ascii="Garamond" w:hAnsi="Garamond"/>
          <w:sz w:val="22"/>
          <w:szCs w:val="22"/>
        </w:rPr>
        <w:t>complex</w:t>
      </w:r>
      <w:r w:rsidR="00B03D1A">
        <w:rPr>
          <w:rFonts w:ascii="Garamond" w:hAnsi="Garamond"/>
          <w:sz w:val="22"/>
          <w:szCs w:val="22"/>
        </w:rPr>
        <w:t xml:space="preserve">, and rugged </w:t>
      </w:r>
      <w:r w:rsidR="00BC658A" w:rsidRPr="00DE161A">
        <w:rPr>
          <w:rFonts w:ascii="Garamond" w:hAnsi="Garamond"/>
          <w:sz w:val="22"/>
          <w:szCs w:val="22"/>
        </w:rPr>
        <w:t>ecosystems</w:t>
      </w:r>
      <w:r w:rsidR="00B03D1A">
        <w:rPr>
          <w:rFonts w:ascii="Garamond" w:hAnsi="Garamond"/>
          <w:sz w:val="22"/>
          <w:szCs w:val="22"/>
        </w:rPr>
        <w:t xml:space="preserve">. Each of these river-specific populations contribute towards overall regional population health, however, population dynamics among them vary both within and among return seasons. As such, monitoring at the basin or sub-basin scale is important towards assessing the health of river-specific stocks as well as their contribution to overall population health across space and time. </w:t>
      </w:r>
    </w:p>
    <w:p w14:paraId="37E51B8A" w14:textId="5188E48B" w:rsidR="00B03D1A" w:rsidRDefault="006F600C" w:rsidP="00B03D1A">
      <w:pPr>
        <w:spacing w:line="480" w:lineRule="auto"/>
        <w:ind w:firstLine="720"/>
        <w:rPr>
          <w:rFonts w:ascii="Garamond" w:hAnsi="Garamond"/>
          <w:sz w:val="22"/>
          <w:szCs w:val="22"/>
        </w:rPr>
      </w:pPr>
      <w:r w:rsidRPr="00DE161A">
        <w:rPr>
          <w:rFonts w:ascii="Garamond" w:hAnsi="Garamond"/>
          <w:sz w:val="22"/>
          <w:szCs w:val="22"/>
        </w:rPr>
        <w:t>Salmon</w:t>
      </w:r>
      <w:r w:rsidR="00B64037">
        <w:rPr>
          <w:rFonts w:ascii="Garamond" w:hAnsi="Garamond"/>
          <w:sz w:val="22"/>
          <w:szCs w:val="22"/>
        </w:rPr>
        <w:t xml:space="preserve"> populations in Western Alaska</w:t>
      </w:r>
      <w:r w:rsidRPr="00DE161A">
        <w:rPr>
          <w:rFonts w:ascii="Garamond" w:hAnsi="Garamond"/>
          <w:sz w:val="22"/>
          <w:szCs w:val="22"/>
        </w:rPr>
        <w:t xml:space="preserve">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w:t>
      </w:r>
      <w:r w:rsidR="00B64037">
        <w:rPr>
          <w:rFonts w:ascii="Garamond" w:hAnsi="Garamond"/>
          <w:sz w:val="22"/>
          <w:szCs w:val="22"/>
        </w:rPr>
        <w:t xml:space="preserve">have </w:t>
      </w:r>
      <w:r w:rsidRPr="00DE161A">
        <w:rPr>
          <w:rFonts w:ascii="Garamond" w:hAnsi="Garamond"/>
          <w:sz w:val="22"/>
          <w:szCs w:val="22"/>
        </w:rPr>
        <w:t>serve</w:t>
      </w:r>
      <w:r w:rsidR="00B64037">
        <w:rPr>
          <w:rFonts w:ascii="Garamond" w:hAnsi="Garamond"/>
          <w:sz w:val="22"/>
          <w:szCs w:val="22"/>
        </w:rPr>
        <w:t xml:space="preserve">d </w:t>
      </w:r>
      <w:r w:rsidRPr="00DE161A">
        <w:rPr>
          <w:rFonts w:ascii="Garamond" w:hAnsi="Garamond"/>
          <w:sz w:val="22"/>
          <w:szCs w:val="22"/>
        </w:rPr>
        <w:t>as a</w:t>
      </w:r>
      <w:r w:rsidR="00B64037">
        <w:rPr>
          <w:rFonts w:ascii="Garamond" w:hAnsi="Garamond"/>
          <w:sz w:val="22"/>
          <w:szCs w:val="22"/>
        </w:rPr>
        <w:t>n important</w:t>
      </w:r>
      <w:r w:rsidRPr="00DE161A">
        <w:rPr>
          <w:rFonts w:ascii="Garamond" w:hAnsi="Garamond"/>
          <w:sz w:val="22"/>
          <w:szCs w:val="22"/>
        </w:rPr>
        <w:t xml:space="preserve"> subsistence resource for upstream communities</w:t>
      </w:r>
      <w:r w:rsidR="00B64037">
        <w:rPr>
          <w:rFonts w:ascii="Garamond" w:hAnsi="Garamond"/>
          <w:sz w:val="22"/>
          <w:szCs w:val="22"/>
        </w:rPr>
        <w:t>. H</w:t>
      </w:r>
      <w:r w:rsidR="00DE161A">
        <w:rPr>
          <w:rFonts w:ascii="Garamond" w:hAnsi="Garamond"/>
          <w:sz w:val="22"/>
          <w:szCs w:val="22"/>
        </w:rPr>
        <w:t>owever, r</w:t>
      </w:r>
      <w:r w:rsidR="00F15670" w:rsidRPr="00FD2359">
        <w:rPr>
          <w:rFonts w:ascii="Garamond" w:hAnsi="Garamond"/>
          <w:sz w:val="22"/>
          <w:szCs w:val="22"/>
        </w:rPr>
        <w:t>ecent sustained declines in the number of Chinook salmon (</w:t>
      </w:r>
      <w:r w:rsidR="00F15670" w:rsidRPr="00FD2359">
        <w:rPr>
          <w:rStyle w:val="Emphasis"/>
          <w:rFonts w:ascii="Garamond" w:hAnsi="Garamond"/>
          <w:sz w:val="22"/>
          <w:szCs w:val="22"/>
        </w:rPr>
        <w:t>Oncorhynchus tshawytscha</w:t>
      </w:r>
      <w:commentRangeStart w:id="0"/>
      <w:r w:rsidR="00F15670" w:rsidRPr="00FD2359">
        <w:rPr>
          <w:rFonts w:ascii="Garamond" w:hAnsi="Garamond"/>
          <w:sz w:val="22"/>
          <w:szCs w:val="22"/>
        </w:rPr>
        <w:t>)</w:t>
      </w:r>
      <w:commentRangeEnd w:id="0"/>
      <w:r w:rsidR="00DE161A">
        <w:rPr>
          <w:rStyle w:val="CommentReference"/>
        </w:rPr>
        <w:commentReference w:id="0"/>
      </w:r>
      <w:r w:rsidR="00F15670" w:rsidRPr="00FD2359">
        <w:rPr>
          <w:rFonts w:ascii="Garamond" w:hAnsi="Garamond"/>
          <w:sz w:val="22"/>
          <w:szCs w:val="22"/>
        </w:rPr>
        <w:t xml:space="preserve"> returning to </w:t>
      </w:r>
      <w:r w:rsidR="00FD2359" w:rsidRPr="00FD2359">
        <w:rPr>
          <w:rFonts w:ascii="Garamond" w:hAnsi="Garamond"/>
          <w:sz w:val="22"/>
          <w:szCs w:val="22"/>
        </w:rPr>
        <w:t>Western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 </w:t>
      </w:r>
      <w:r w:rsidR="00FD2359" w:rsidRPr="00DE161A">
        <w:rPr>
          <w:rFonts w:ascii="Garamond" w:hAnsi="Garamond"/>
          <w:sz w:val="22"/>
          <w:szCs w:val="22"/>
        </w:rPr>
        <w:t xml:space="preserve">Several </w:t>
      </w:r>
      <w:r w:rsidR="00DE161A" w:rsidRPr="00DE161A">
        <w:rPr>
          <w:rFonts w:ascii="Garamond" w:hAnsi="Garamond"/>
          <w:sz w:val="22"/>
          <w:szCs w:val="22"/>
        </w:rPr>
        <w:t>marine-based</w:t>
      </w:r>
      <w:r w:rsidR="00FD2359"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as </w:t>
      </w:r>
      <w:r w:rsidR="00FD2359" w:rsidRPr="00DE161A">
        <w:rPr>
          <w:rFonts w:ascii="Garamond" w:hAnsi="Garamond"/>
          <w:sz w:val="22"/>
          <w:szCs w:val="22"/>
        </w:rPr>
        <w:t>bycatch in federal trawl fisheries</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 xml:space="preserve">valuating their impact requires </w:t>
      </w:r>
      <w:r w:rsidR="00552656">
        <w:rPr>
          <w:rFonts w:ascii="Garamond" w:hAnsi="Garamond"/>
          <w:sz w:val="22"/>
          <w:szCs w:val="22"/>
        </w:rPr>
        <w:t>evaluating this mortality</w:t>
      </w:r>
      <w:r w:rsidR="00DE161A" w:rsidRPr="00DE161A">
        <w:rPr>
          <w:rFonts w:ascii="Garamond" w:hAnsi="Garamond"/>
          <w:sz w:val="22"/>
          <w:szCs w:val="22"/>
        </w:rPr>
        <w:t xml:space="preserve"> against river-specific population</w:t>
      </w:r>
      <w:r w:rsidR="00552656">
        <w:rPr>
          <w:rFonts w:ascii="Garamond" w:hAnsi="Garamond"/>
          <w:sz w:val="22"/>
          <w:szCs w:val="22"/>
        </w:rPr>
        <w:t xml:space="preserve"> health</w:t>
      </w:r>
      <w:r w:rsidR="00B03D1A">
        <w:rPr>
          <w:rFonts w:ascii="Garamond" w:hAnsi="Garamond"/>
          <w:sz w:val="22"/>
          <w:szCs w:val="22"/>
        </w:rPr>
        <w:t xml:space="preserve">. </w:t>
      </w:r>
      <w:r w:rsidR="00DE161A" w:rsidRPr="00DE161A">
        <w:rPr>
          <w:rFonts w:ascii="Garamond" w:hAnsi="Garamond"/>
          <w:sz w:val="22"/>
          <w:szCs w:val="22"/>
        </w:rPr>
        <w:t xml:space="preserve">However, </w:t>
      </w:r>
      <w:r w:rsidR="00B03D1A">
        <w:rPr>
          <w:rFonts w:ascii="Garamond" w:hAnsi="Garamond"/>
          <w:sz w:val="22"/>
          <w:szCs w:val="22"/>
        </w:rPr>
        <w:t xml:space="preserve">current best methods, including </w:t>
      </w:r>
      <w:r w:rsidR="00DE161A" w:rsidRPr="00DE161A">
        <w:rPr>
          <w:rFonts w:ascii="Garamond" w:hAnsi="Garamond"/>
          <w:sz w:val="22"/>
          <w:szCs w:val="22"/>
        </w:rPr>
        <w:t xml:space="preserve">genetic stock identification (GSI), a powerful and widely used tool for estimating the provenance of Chinook salmon stocks for in-season management, cannot discriminate </w:t>
      </w:r>
      <w:r w:rsidR="00B03D1A">
        <w:rPr>
          <w:rFonts w:ascii="Garamond" w:hAnsi="Garamond"/>
          <w:sz w:val="22"/>
          <w:szCs w:val="22"/>
        </w:rPr>
        <w:t xml:space="preserve">among watersheds in many cases. Although fish from the upper portions of the Yukon can be reliability distinguished using GSI, the </w:t>
      </w:r>
      <w:r w:rsidR="00DE161A" w:rsidRPr="00DE161A">
        <w:rPr>
          <w:rFonts w:ascii="Garamond" w:hAnsi="Garamond"/>
          <w:sz w:val="22"/>
          <w:szCs w:val="22"/>
        </w:rPr>
        <w:t>Coastal Western Alaska (CWAK) genetic reporting group</w:t>
      </w:r>
      <w:r w:rsidR="00B03D1A">
        <w:rPr>
          <w:rFonts w:ascii="Garamond" w:hAnsi="Garamond"/>
          <w:sz w:val="22"/>
          <w:szCs w:val="22"/>
        </w:rPr>
        <w:t xml:space="preserve"> </w:t>
      </w:r>
      <w:r w:rsidR="00DE161A">
        <w:rPr>
          <w:rFonts w:ascii="Garamond" w:hAnsi="Garamond"/>
          <w:sz w:val="22"/>
          <w:szCs w:val="22"/>
        </w:rPr>
        <w:t xml:space="preserve">contains </w:t>
      </w:r>
      <w:r w:rsidR="00B03D1A">
        <w:rPr>
          <w:rFonts w:ascii="Garamond" w:hAnsi="Garamond"/>
          <w:sz w:val="22"/>
          <w:szCs w:val="22"/>
        </w:rPr>
        <w:t xml:space="preserve">the entire Kuskokwim and </w:t>
      </w:r>
      <w:proofErr w:type="spellStart"/>
      <w:r w:rsidR="00B03D1A">
        <w:rPr>
          <w:rFonts w:ascii="Garamond" w:hAnsi="Garamond"/>
          <w:sz w:val="22"/>
          <w:szCs w:val="22"/>
        </w:rPr>
        <w:t>Nushagak</w:t>
      </w:r>
      <w:proofErr w:type="spellEnd"/>
      <w:r w:rsidR="00B03D1A">
        <w:rPr>
          <w:rFonts w:ascii="Garamond" w:hAnsi="Garamond"/>
          <w:sz w:val="22"/>
          <w:szCs w:val="22"/>
        </w:rPr>
        <w:t xml:space="preserve"> river-basins as well as a large </w:t>
      </w:r>
      <w:r w:rsidR="00DE161A">
        <w:rPr>
          <w:rFonts w:ascii="Garamond" w:hAnsi="Garamond"/>
          <w:sz w:val="22"/>
          <w:szCs w:val="22"/>
        </w:rPr>
        <w:t xml:space="preserve">portion of </w:t>
      </w:r>
      <w:r w:rsidR="00B03D1A">
        <w:rPr>
          <w:rFonts w:ascii="Garamond" w:hAnsi="Garamond"/>
          <w:sz w:val="22"/>
          <w:szCs w:val="22"/>
        </w:rPr>
        <w:t xml:space="preserve">the Yukon </w:t>
      </w:r>
      <w:r w:rsidR="00DE161A">
        <w:rPr>
          <w:rFonts w:ascii="Garamond" w:hAnsi="Garamond"/>
          <w:sz w:val="22"/>
          <w:szCs w:val="22"/>
        </w:rPr>
        <w:t xml:space="preserve">(Figure 1). </w:t>
      </w:r>
      <w:r w:rsidR="00B03D1A">
        <w:rPr>
          <w:rFonts w:ascii="Garamond" w:hAnsi="Garamond"/>
          <w:sz w:val="22"/>
          <w:szCs w:val="22"/>
        </w:rPr>
        <w:t xml:space="preserve">As a result, fish assigned to this genetic baseline cannot be distinguished </w:t>
      </w:r>
      <w:r w:rsidR="00B03D1A">
        <w:rPr>
          <w:rFonts w:ascii="Garamond" w:hAnsi="Garamond"/>
          <w:sz w:val="22"/>
          <w:szCs w:val="22"/>
        </w:rPr>
        <w:lastRenderedPageBreak/>
        <w:t>among rivers, hampering the ability to evaluate the potential impact of marine-based mortality against river-specific population health.</w:t>
      </w:r>
    </w:p>
    <w:p w14:paraId="541CC541" w14:textId="39E05BE2" w:rsidR="0010010D" w:rsidRPr="00B95E95" w:rsidRDefault="00DE161A" w:rsidP="00B95E95">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sidR="00B95E95">
        <w:rPr>
          <w:rFonts w:ascii="Garamond" w:hAnsi="Garamond"/>
          <w:sz w:val="22"/>
          <w:szCs w:val="22"/>
        </w:rPr>
        <w:t>ve</w:t>
      </w:r>
      <w:r>
        <w:rPr>
          <w:rFonts w:ascii="Garamond" w:hAnsi="Garamond"/>
          <w:sz w:val="22"/>
          <w:szCs w:val="22"/>
        </w:rPr>
        <w:t xml:space="preserve">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00FD2359" w:rsidRPr="00CA63D8">
        <w:rPr>
          <w:rFonts w:ascii="Garamond" w:hAnsi="Garamond"/>
          <w:sz w:val="22"/>
          <w:szCs w:val="22"/>
        </w:rPr>
        <w:t>the</w:t>
      </w:r>
      <w:r w:rsidR="00B95E95">
        <w:rPr>
          <w:rFonts w:ascii="Garamond" w:hAnsi="Garamond"/>
          <w:sz w:val="22"/>
          <w:szCs w:val="22"/>
        </w:rPr>
        <w:t xml:space="preserve"> metabolically inert</w:t>
      </w:r>
      <w:r w:rsidR="00FD2359" w:rsidRPr="00CA63D8">
        <w:rPr>
          <w:rFonts w:ascii="Garamond" w:hAnsi="Garamond"/>
          <w:sz w:val="22"/>
          <w:szCs w:val="22"/>
        </w:rPr>
        <w:t xml:space="preserv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B95E95">
        <w:rPr>
          <w:rFonts w:ascii="Garamond" w:hAnsi="Garamond"/>
          <w:sz w:val="22"/>
          <w:szCs w:val="22"/>
        </w:rPr>
        <w:t xml:space="preserve">has been demonstrated to be </w:t>
      </w:r>
      <w:r w:rsidR="0010010D" w:rsidRPr="00CA63D8">
        <w:rPr>
          <w:rFonts w:ascii="Garamond" w:hAnsi="Garamond"/>
          <w:sz w:val="22"/>
          <w:szCs w:val="22"/>
        </w:rPr>
        <w:t>temporally stable in Alaskan watersheds</w:t>
      </w:r>
      <w:r w:rsidR="00B95E95">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As such, t</w:t>
      </w:r>
      <w:r>
        <w:rPr>
          <w:rFonts w:ascii="Garamond" w:hAnsi="Garamond"/>
          <w:sz w:val="22"/>
          <w:szCs w:val="22"/>
        </w:rPr>
        <w:t xml:space="preserve">his </w:t>
      </w:r>
      <w:r w:rsidR="00B95E95">
        <w:rPr>
          <w:rFonts w:ascii="Garamond" w:hAnsi="Garamond"/>
          <w:sz w:val="22"/>
          <w:szCs w:val="22"/>
        </w:rPr>
        <w:t>method</w:t>
      </w:r>
      <w:r>
        <w:rPr>
          <w:rFonts w:ascii="Garamond" w:hAnsi="Garamond"/>
          <w:sz w:val="22"/>
          <w:szCs w:val="22"/>
        </w:rPr>
        <w:t xml:space="preserve"> has been used to </w:t>
      </w:r>
      <w:r w:rsidR="00FD2359" w:rsidRPr="00CA63D8">
        <w:rPr>
          <w:rFonts w:ascii="Garamond" w:hAnsi="Garamond"/>
          <w:sz w:val="22"/>
          <w:szCs w:val="22"/>
        </w:rPr>
        <w:t>estimate provenance</w:t>
      </w:r>
      <w:r>
        <w:rPr>
          <w:rFonts w:ascii="Garamond" w:hAnsi="Garamond"/>
          <w:sz w:val="22"/>
          <w:szCs w:val="22"/>
        </w:rPr>
        <w:t xml:space="preserve"> of </w:t>
      </w:r>
      <w:r w:rsidR="00B95E95">
        <w:rPr>
          <w:rFonts w:ascii="Garamond" w:hAnsi="Garamond"/>
          <w:sz w:val="22"/>
          <w:szCs w:val="22"/>
        </w:rPr>
        <w:t xml:space="preserve">salmon from known watersheds by comparing the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w:t>
      </w:r>
      <w:r w:rsidR="00B95E95">
        <w:rPr>
          <w:rFonts w:ascii="Garamond" w:hAnsi="Garamond"/>
          <w:sz w:val="22"/>
          <w:szCs w:val="22"/>
        </w:rPr>
        <w:t xml:space="preserve">isolated from the natal </w:t>
      </w:r>
      <w:r>
        <w:rPr>
          <w:rFonts w:ascii="Garamond" w:hAnsi="Garamond"/>
          <w:sz w:val="22"/>
          <w:szCs w:val="22"/>
        </w:rPr>
        <w:t xml:space="preserve">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H</w:t>
      </w:r>
      <w:r>
        <w:rPr>
          <w:rFonts w:ascii="Garamond" w:hAnsi="Garamond"/>
          <w:sz w:val="22"/>
          <w:szCs w:val="22"/>
        </w:rPr>
        <w:t xml:space="preserve">eterogeneity in strontium isotope ratios is sufficient within a single river-basin, </w:t>
      </w:r>
      <w:r w:rsidR="00B95E95">
        <w:rPr>
          <w:rFonts w:ascii="Garamond" w:hAnsi="Garamond"/>
          <w:sz w:val="22"/>
          <w:szCs w:val="22"/>
        </w:rPr>
        <w:t xml:space="preserve">however, </w:t>
      </w:r>
      <w:r>
        <w:rPr>
          <w:rFonts w:ascii="Garamond" w:hAnsi="Garamond"/>
          <w:sz w:val="22"/>
          <w:szCs w:val="22"/>
        </w:rPr>
        <w:t xml:space="preserve">redundancy in strontium isotope ratios at the regional scale prevents </w:t>
      </w:r>
      <w:r w:rsidR="0010010D" w:rsidRPr="00CA63D8">
        <w:rPr>
          <w:rFonts w:ascii="Garamond" w:hAnsi="Garamond"/>
          <w:sz w:val="22"/>
          <w:szCs w:val="22"/>
        </w:rPr>
        <w:t xml:space="preserve">reliable assignments </w:t>
      </w:r>
      <w:r>
        <w:rPr>
          <w:rFonts w:ascii="Garamond" w:hAnsi="Garamond"/>
          <w:sz w:val="22"/>
          <w:szCs w:val="22"/>
        </w:rPr>
        <w:t>of a river of origin</w:t>
      </w:r>
      <w:r w:rsidR="00B95E95">
        <w:rPr>
          <w:rFonts w:ascii="Garamond" w:hAnsi="Garamond"/>
          <w:sz w:val="22"/>
          <w:szCs w:val="22"/>
        </w:rPr>
        <w:t xml:space="preserve">. As a result, determining the river of origin from a discrete </w:t>
      </w:r>
      <w:r w:rsidR="00B95E95" w:rsidRPr="00CA63D8">
        <w:rPr>
          <w:rFonts w:ascii="Cambria Math" w:hAnsi="Cambria Math" w:cs="Cambria Math"/>
          <w:sz w:val="22"/>
          <w:szCs w:val="22"/>
        </w:rPr>
        <w:t>⁸⁷</w:t>
      </w:r>
      <w:r w:rsidR="00B95E95" w:rsidRPr="00CA63D8">
        <w:rPr>
          <w:rFonts w:ascii="Garamond" w:hAnsi="Garamond"/>
          <w:sz w:val="22"/>
          <w:szCs w:val="22"/>
        </w:rPr>
        <w:t>Sr/</w:t>
      </w:r>
      <w:r w:rsidR="00B95E95" w:rsidRPr="00CA63D8">
        <w:rPr>
          <w:rFonts w:ascii="Cambria Math" w:hAnsi="Cambria Math" w:cs="Cambria Math"/>
          <w:sz w:val="22"/>
          <w:szCs w:val="22"/>
        </w:rPr>
        <w:t>⁸⁶</w:t>
      </w:r>
      <w:r w:rsidR="00B95E95" w:rsidRPr="00CA63D8">
        <w:rPr>
          <w:rFonts w:ascii="Garamond" w:hAnsi="Garamond"/>
          <w:sz w:val="22"/>
          <w:szCs w:val="22"/>
        </w:rPr>
        <w:t xml:space="preserve">Sr </w:t>
      </w:r>
      <w:r w:rsidR="00B95E95">
        <w:rPr>
          <w:rFonts w:ascii="Garamond" w:hAnsi="Garamond"/>
          <w:sz w:val="22"/>
          <w:szCs w:val="22"/>
        </w:rPr>
        <w:t>value</w:t>
      </w:r>
      <w:r w:rsidR="00B95E95">
        <w:rPr>
          <w:rFonts w:ascii="Garamond" w:hAnsi="Garamond"/>
          <w:sz w:val="22"/>
          <w:szCs w:val="22"/>
        </w:rPr>
        <w:t xml:space="preserve"> is not possible for marine caught fish which </w:t>
      </w:r>
      <w:r w:rsidR="00CA63D8" w:rsidRPr="00CA63D8">
        <w:rPr>
          <w:rFonts w:ascii="Garamond" w:hAnsi="Garamond"/>
          <w:sz w:val="22"/>
          <w:szCs w:val="22"/>
        </w:rPr>
        <w:t>could have originated from any of the three watersheds</w:t>
      </w:r>
      <w:r w:rsidR="0010010D" w:rsidRPr="00CA63D8">
        <w:rPr>
          <w:rFonts w:ascii="Garamond" w:hAnsi="Garamond"/>
          <w:sz w:val="22"/>
          <w:szCs w:val="22"/>
        </w:rPr>
        <w:t xml:space="preserve"> (Figure 1).</w:t>
      </w:r>
    </w:p>
    <w:p w14:paraId="3204BB9A" w14:textId="4E743439" w:rsidR="00E71422" w:rsidRDefault="00CA63D8" w:rsidP="00B95E95">
      <w:pPr>
        <w:spacing w:line="480" w:lineRule="auto"/>
        <w:ind w:firstLine="720"/>
        <w:rPr>
          <w:rFonts w:ascii="Garamond" w:hAnsi="Garamond"/>
          <w:sz w:val="22"/>
          <w:szCs w:val="22"/>
        </w:rPr>
      </w:pPr>
      <w:r w:rsidRPr="000318EA">
        <w:rPr>
          <w:rFonts w:ascii="Garamond" w:hAnsi="Garamond"/>
          <w:sz w:val="22"/>
          <w:szCs w:val="22"/>
        </w:rPr>
        <w:t xml:space="preserve">Otolith growth and isotopic incorporation occur continuously over an individual’s lifetime, producing 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Sr time series along the growth axis</w:t>
      </w:r>
      <w:r w:rsidR="00DE161A" w:rsidRPr="000318EA">
        <w:rPr>
          <w:rFonts w:ascii="Garamond" w:hAnsi="Garamond"/>
          <w:sz w:val="22"/>
          <w:szCs w:val="22"/>
        </w:rPr>
        <w:t xml:space="preserve"> of the otolith</w:t>
      </w:r>
      <w:r w:rsidRPr="000318EA">
        <w:rPr>
          <w:rFonts w:ascii="Garamond" w:hAnsi="Garamond"/>
          <w:sz w:val="22"/>
          <w:szCs w:val="22"/>
        </w:rPr>
        <w:t xml:space="preserve"> that encodes sequential habitat use, relative growth, and maternal migration history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In some cases, rapid movement through multiple environments prevents full isotopic equilibration between the otolith and ambient water. For Pacific salmon, which migrate quickly from freshwater rearing habitats to the ocean, otolith strontium data</w:t>
      </w:r>
      <w:r w:rsidR="00B95E95">
        <w:rPr>
          <w:rFonts w:ascii="Garamond" w:hAnsi="Garamond"/>
          <w:sz w:val="22"/>
          <w:szCs w:val="22"/>
        </w:rPr>
        <w:t xml:space="preserve"> following the natal origin region</w:t>
      </w:r>
      <w:r w:rsidR="000318EA" w:rsidRPr="000318EA">
        <w:rPr>
          <w:rFonts w:ascii="Garamond" w:hAnsi="Garamond"/>
          <w:sz w:val="22"/>
          <w:szCs w:val="22"/>
        </w:rPr>
        <w:t xml:space="preserve">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w:t>
      </w:r>
      <w:r w:rsidR="00B95E95">
        <w:rPr>
          <w:rFonts w:ascii="Garamond" w:hAnsi="Garamond"/>
          <w:sz w:val="22"/>
          <w:szCs w:val="22"/>
        </w:rPr>
        <w:t xml:space="preserve">these </w:t>
      </w:r>
      <w:r w:rsidR="000318EA" w:rsidRPr="000318EA">
        <w:rPr>
          <w:rFonts w:ascii="Garamond" w:hAnsi="Garamond"/>
          <w:sz w:val="22"/>
          <w:szCs w:val="22"/>
        </w:rPr>
        <w:t>data record a series of subtle patterns produced by incomplete and ongoing turnover reactions</w:t>
      </w:r>
      <w:r w:rsidR="00B95E95">
        <w:rPr>
          <w:rFonts w:ascii="Garamond" w:hAnsi="Garamond"/>
          <w:sz w:val="22"/>
          <w:szCs w:val="22"/>
        </w:rPr>
        <w:t xml:space="preserve"> from each habitat. </w:t>
      </w:r>
      <w:r w:rsidR="000318EA" w:rsidRPr="000318EA">
        <w:rPr>
          <w:rFonts w:ascii="Garamond" w:hAnsi="Garamond"/>
          <w:sz w:val="22"/>
          <w:szCs w:val="22"/>
        </w:rPr>
        <w:t xml:space="preserve">The shape of these patterns, and the relationships among them, may encode distinctive river-specific life histories that together form an identifiable “fingerprint” of </w:t>
      </w:r>
      <w:r w:rsidR="000318EA" w:rsidRPr="000318EA">
        <w:rPr>
          <w:rFonts w:ascii="Garamond" w:hAnsi="Garamond"/>
          <w:sz w:val="22"/>
          <w:szCs w:val="22"/>
        </w:rPr>
        <w:lastRenderedPageBreak/>
        <w:t xml:space="preserve">river-specific stocks. However, because these patterns are subtle and the number of possible combinations in large river basins is high, such identifiers are difficult to detect using traditional statistical or manual approaches. </w:t>
      </w:r>
      <w:r w:rsidR="00F64010" w:rsidRPr="007C6AED">
        <w:rPr>
          <w:rFonts w:ascii="Garamond" w:hAnsi="Garamond"/>
          <w:sz w:val="22"/>
          <w:szCs w:val="22"/>
        </w:rPr>
        <w:t xml:space="preserve">Machine learning methods, which are particularly well-suited to interpreting complex, multidimensional patterns in datasets, have only recently been applied to otolith chemical analysis. However, their limited applications have shown promising performance relative to traditional techniques </w:t>
      </w:r>
      <w:r w:rsidR="00F64010" w:rsidRPr="007C6AED">
        <w:rPr>
          <w:rFonts w:ascii="Garamond" w:hAnsi="Garamond"/>
          <w:sz w:val="22"/>
          <w:szCs w:val="22"/>
        </w:rPr>
        <w:fldChar w:fldCharType="begin"/>
      </w:r>
      <w:r w:rsidR="00F64010"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7C6AED">
        <w:rPr>
          <w:rFonts w:ascii="Garamond" w:hAnsi="Garamond"/>
          <w:sz w:val="22"/>
          <w:szCs w:val="22"/>
        </w:rPr>
        <w:fldChar w:fldCharType="separate"/>
      </w:r>
      <w:r w:rsidR="00F64010" w:rsidRPr="007C6AED">
        <w:rPr>
          <w:rFonts w:ascii="Garamond" w:hAnsi="Garamond"/>
          <w:noProof/>
          <w:sz w:val="22"/>
          <w:szCs w:val="22"/>
        </w:rPr>
        <w:t>(Arai et al., 2023; Mercier et al., 2011)</w:t>
      </w:r>
      <w:r w:rsidR="00F64010" w:rsidRPr="007C6AED">
        <w:rPr>
          <w:rFonts w:ascii="Garamond" w:hAnsi="Garamond"/>
          <w:sz w:val="22"/>
          <w:szCs w:val="22"/>
        </w:rPr>
        <w:fldChar w:fldCharType="end"/>
      </w:r>
      <w:r w:rsidR="00F64010"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single values discards potentially powerful contextual information about life history strategies </w:t>
      </w:r>
      <w:r w:rsidR="00F64010" w:rsidRPr="00E71422">
        <w:rPr>
          <w:rFonts w:ascii="Garamond" w:hAnsi="Garamond"/>
          <w:sz w:val="22"/>
          <w:szCs w:val="22"/>
        </w:rPr>
        <w:fldChar w:fldCharType="begin"/>
      </w:r>
      <w:r w:rsidR="00F64010" w:rsidRPr="00E71422">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E71422">
        <w:rPr>
          <w:rFonts w:ascii="Garamond" w:hAnsi="Garamond"/>
          <w:sz w:val="22"/>
          <w:szCs w:val="22"/>
        </w:rPr>
        <w:fldChar w:fldCharType="separate"/>
      </w:r>
      <w:r w:rsidR="00F64010" w:rsidRPr="00E71422">
        <w:rPr>
          <w:rFonts w:ascii="Garamond" w:hAnsi="Garamond"/>
          <w:noProof/>
          <w:sz w:val="22"/>
          <w:szCs w:val="22"/>
        </w:rPr>
        <w:t>(Hegg &amp; Kennedy, 2021)</w:t>
      </w:r>
      <w:r w:rsidR="00F64010" w:rsidRPr="00E71422">
        <w:rPr>
          <w:rFonts w:ascii="Garamond" w:hAnsi="Garamond"/>
          <w:sz w:val="22"/>
          <w:szCs w:val="22"/>
        </w:rPr>
        <w:fldChar w:fldCharType="end"/>
      </w:r>
      <w:r w:rsidR="00F64010" w:rsidRPr="00E71422">
        <w:rPr>
          <w:rFonts w:ascii="Garamond" w:hAnsi="Garamond"/>
          <w:sz w:val="22"/>
          <w:szCs w:val="22"/>
        </w:rPr>
        <w:t xml:space="preserve">. </w:t>
      </w:r>
      <w:r w:rsidR="00B95E95">
        <w:rPr>
          <w:rFonts w:ascii="Garamond" w:hAnsi="Garamond"/>
          <w:sz w:val="22"/>
          <w:szCs w:val="22"/>
        </w:rPr>
        <w:t>C</w:t>
      </w:r>
      <w:r w:rsidR="00E71422" w:rsidRPr="00E71422">
        <w:rPr>
          <w:rFonts w:ascii="Garamond" w:hAnsi="Garamond"/>
          <w:sz w:val="22"/>
          <w:szCs w:val="22"/>
        </w:rPr>
        <w:t>ombining the temporal resolution of otolith timeseries data with the statistical power of machine learning offers the potential to detect otherwise indiscernible patterns within and across LA datasets. With the addition of known watershed labels, these methods could be used to develop a model capable of discriminate the river of origin for marine caught Chinook salmon in Western Alaska.</w:t>
      </w:r>
    </w:p>
    <w:p w14:paraId="5ED2AE5F" w14:textId="461BC296"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machine learning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otolith LA data from Chinook salmon in Western Alaska</w:t>
      </w:r>
      <w:r w:rsidR="002C12CC">
        <w:rPr>
          <w:rFonts w:ascii="Garamond" w:hAnsi="Garamond"/>
          <w:sz w:val="22"/>
          <w:szCs w:val="22"/>
        </w:rPr>
        <w:t xml:space="preserve"> with a known river of origin. In doing so, we </w:t>
      </w:r>
      <w:r w:rsidRPr="007C6AED">
        <w:rPr>
          <w:rFonts w:ascii="Garamond" w:hAnsi="Garamond"/>
          <w:sz w:val="22"/>
          <w:szCs w:val="22"/>
        </w:rPr>
        <w:t>test the potential of machine learning methods to uncover watershed specific characteristics to discriminate among watersheds of origin 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179E324F"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51389E" w:rsidRPr="00CA63D8">
        <w:rPr>
          <w:rFonts w:ascii="Garamond" w:hAnsi="Garamond"/>
          <w:b/>
          <w:bCs/>
          <w:sz w:val="22"/>
          <w:szCs w:val="22"/>
        </w:rPr>
        <w:t xml:space="preserve"> Data</w:t>
      </w:r>
      <w:r w:rsidR="00CA63D8">
        <w:rPr>
          <w:rFonts w:ascii="Garamond" w:hAnsi="Garamond"/>
          <w:b/>
          <w:bCs/>
          <w:sz w:val="22"/>
          <w:szCs w:val="22"/>
        </w:rPr>
        <w:t xml:space="preserve">: </w:t>
      </w:r>
    </w:p>
    <w:p w14:paraId="5A85303E" w14:textId="25D54A0E"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w:t>
      </w:r>
      <w:r w:rsidR="00DF1513" w:rsidRPr="00CE7F91">
        <w:rPr>
          <w:rFonts w:ascii="Garamond" w:hAnsi="Garamond"/>
          <w:sz w:val="22"/>
          <w:szCs w:val="22"/>
        </w:rPr>
        <w:lastRenderedPageBreak/>
        <w:t xml:space="preserve">and Game Lower Yukon Test Fishery (LYTF), Orutsararmiut Native Council at the Bethel Test Fishery, and </w:t>
      </w:r>
      <w:r w:rsidR="002A47CE" w:rsidRPr="002A47CE">
        <w:rPr>
          <w:rFonts w:ascii="Garamond" w:hAnsi="Garamond"/>
          <w:sz w:val="22"/>
          <w:szCs w:val="22"/>
          <w:highlight w:val="yellow"/>
        </w:rPr>
        <w:t>* insert sampling location for Nush*.</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w:t>
      </w:r>
      <w:commentRangeStart w:id="1"/>
      <w:r w:rsidR="00CE7F91">
        <w:rPr>
          <w:rFonts w:ascii="Garamond" w:hAnsi="Garamond"/>
          <w:sz w:val="22"/>
          <w:szCs w:val="22"/>
        </w:rPr>
        <w:t xml:space="preserve">[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w:t>
      </w:r>
      <w:commentRangeEnd w:id="1"/>
      <w:r w:rsidR="002A47CE">
        <w:rPr>
          <w:rStyle w:val="CommentReference"/>
        </w:rPr>
        <w:commentReference w:id="1"/>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timeseries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p>
    <w:p w14:paraId="362240BC" w14:textId="77777777" w:rsidR="00CE7F91" w:rsidRDefault="00CE7F91" w:rsidP="00071CCC">
      <w:pPr>
        <w:rPr>
          <w:rFonts w:ascii="Garamond" w:hAnsi="Garamond"/>
          <w:b/>
          <w:bCs/>
          <w:sz w:val="22"/>
          <w:szCs w:val="22"/>
          <w:u w:val="single"/>
        </w:rPr>
      </w:pPr>
    </w:p>
    <w:p w14:paraId="5CC4E6D5" w14:textId="50FB23D5" w:rsidR="00616EA6" w:rsidRPr="00557AB9" w:rsidRDefault="004D2BA0" w:rsidP="00557AB9">
      <w:pPr>
        <w:rPr>
          <w:rFonts w:ascii="Garamond" w:hAnsi="Garamond"/>
          <w:b/>
          <w:bCs/>
          <w:sz w:val="22"/>
          <w:szCs w:val="22"/>
          <w:u w:val="single"/>
        </w:rPr>
      </w:pPr>
      <w:r w:rsidRPr="00F6547F">
        <w:rPr>
          <w:rFonts w:ascii="Garamond" w:hAnsi="Garamond"/>
          <w:b/>
          <w:bCs/>
          <w:sz w:val="22"/>
          <w:szCs w:val="22"/>
          <w:u w:val="single"/>
        </w:rPr>
        <w:t xml:space="preserve">Data preprocessing </w:t>
      </w:r>
    </w:p>
    <w:p w14:paraId="0678BE3E" w14:textId="77777777" w:rsidR="00070CB1" w:rsidRDefault="00070CB1" w:rsidP="002A47CE">
      <w:pPr>
        <w:spacing w:line="480" w:lineRule="auto"/>
        <w:ind w:firstLine="720"/>
        <w:rPr>
          <w:rFonts w:ascii="Garamond" w:hAnsi="Garamond"/>
          <w:sz w:val="22"/>
          <w:szCs w:val="22"/>
        </w:rPr>
      </w:pPr>
    </w:p>
    <w:p w14:paraId="7EC1B482" w14:textId="60EB3F53" w:rsidR="00CE7F91" w:rsidRDefault="005E7567" w:rsidP="00070CB1">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Sr, and 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070CB1">
        <w:rPr>
          <w:rFonts w:ascii="Garamond" w:hAnsi="Garamond"/>
          <w:sz w:val="22"/>
          <w:szCs w:val="22"/>
        </w:rPr>
        <w:t xml:space="preserve">Natal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time</w:t>
      </w:r>
      <w:r w:rsidR="00616EA6">
        <w:rPr>
          <w:rFonts w:ascii="Garamond" w:hAnsi="Garamond"/>
          <w:sz w:val="22"/>
          <w:szCs w:val="22"/>
        </w:rPr>
        <w:t>s</w:t>
      </w:r>
      <w:r w:rsidR="002A47CE">
        <w:rPr>
          <w:rFonts w:ascii="Garamond" w:hAnsi="Garamond"/>
          <w:sz w:val="22"/>
          <w:szCs w:val="22"/>
        </w:rPr>
        <w:t>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6C1496">
        <w:rPr>
          <w:rFonts w:ascii="Garamond" w:hAnsi="Garamond"/>
          <w:sz w:val="22"/>
          <w:szCs w:val="22"/>
        </w:rPr>
        <w:t xml:space="preserve">2,531 timeseries (971 Yukon, 875 Kuskokwim, and 685 </w:t>
      </w:r>
      <w:proofErr w:type="spellStart"/>
      <w:r w:rsidR="006C1496">
        <w:rPr>
          <w:rFonts w:ascii="Garamond" w:hAnsi="Garamond"/>
          <w:sz w:val="22"/>
          <w:szCs w:val="22"/>
        </w:rPr>
        <w:t>Nushagak</w:t>
      </w:r>
      <w:proofErr w:type="spellEnd"/>
      <w:r w:rsidR="006C1496">
        <w:rPr>
          <w:rFonts w:ascii="Garamond" w:hAnsi="Garamond"/>
          <w:sz w:val="22"/>
          <w:szCs w:val="22"/>
        </w:rPr>
        <w:t xml:space="preserve">). </w:t>
      </w:r>
    </w:p>
    <w:p w14:paraId="3086D9BE" w14:textId="4A0C6C0A" w:rsidR="00701699" w:rsidRDefault="009E23C6" w:rsidP="00557AB9">
      <w:pPr>
        <w:spacing w:line="480" w:lineRule="auto"/>
        <w:ind w:firstLine="720"/>
        <w:rPr>
          <w:rFonts w:ascii="Garamond" w:hAnsi="Garamond"/>
          <w:sz w:val="22"/>
          <w:szCs w:val="22"/>
        </w:rPr>
      </w:pPr>
      <w:r>
        <w:rPr>
          <w:rFonts w:ascii="Garamond" w:hAnsi="Garamond"/>
          <w:sz w:val="22"/>
          <w:szCs w:val="22"/>
        </w:rPr>
        <w:lastRenderedPageBreak/>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timeseries 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 xml:space="preserve">(700 points for non-MA and 600 points for MA-smoothed samples, respectively)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machine learning algorithms </w:t>
      </w:r>
      <w:r w:rsidR="00557AB9">
        <w:rPr>
          <w:rFonts w:ascii="Garamond" w:hAnsi="Garamond"/>
          <w:sz w:val="22"/>
          <w:szCs w:val="22"/>
        </w:rPr>
        <w:t xml:space="preserve">while minimizing warping from interpolation. </w:t>
      </w:r>
    </w:p>
    <w:p w14:paraId="3C911B8B" w14:textId="68A43331" w:rsidR="00AF5A80" w:rsidRPr="00FB146C" w:rsidRDefault="00AF5A80" w:rsidP="00AF5A80">
      <w:pPr>
        <w:spacing w:line="480" w:lineRule="auto"/>
        <w:rPr>
          <w:rFonts w:ascii="Garamond" w:hAnsi="Garamond"/>
          <w:b/>
          <w:bCs/>
          <w:sz w:val="22"/>
          <w:szCs w:val="22"/>
          <w:u w:val="single"/>
        </w:rPr>
      </w:pPr>
      <w:r w:rsidRPr="00FB146C">
        <w:rPr>
          <w:rFonts w:ascii="Garamond" w:hAnsi="Garamond"/>
          <w:b/>
          <w:bCs/>
          <w:sz w:val="22"/>
          <w:szCs w:val="22"/>
          <w:u w:val="single"/>
        </w:rPr>
        <w:t>PCA Analysis</w:t>
      </w:r>
    </w:p>
    <w:p w14:paraId="4FBA00FB" w14:textId="3BF46108" w:rsidR="00AF5A80" w:rsidRDefault="002F10A9" w:rsidP="00AF5A80">
      <w:pPr>
        <w:spacing w:line="480" w:lineRule="auto"/>
        <w:ind w:firstLine="720"/>
        <w:rPr>
          <w:sz w:val="22"/>
          <w:szCs w:val="22"/>
        </w:rPr>
      </w:pPr>
      <w:r w:rsidRPr="002F10A9">
        <w:rPr>
          <w:rFonts w:ascii="Garamond" w:hAnsi="Garamond"/>
          <w:sz w:val="22"/>
          <w:szCs w:val="22"/>
        </w:rPr>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 xml:space="preserve">timeseries </w:t>
      </w:r>
      <w:r w:rsidRPr="002F10A9">
        <w:rPr>
          <w:rFonts w:ascii="Garamond" w:hAnsi="Garamond"/>
          <w:sz w:val="22"/>
          <w:szCs w:val="22"/>
        </w:rPr>
        <w:t>into uncorrelated principal components that capture the greatest variance in the dataset, thereby highlighting variability among time-series that may contain distinguishing watershed characteristics.</w:t>
      </w:r>
      <w:r w:rsidR="00AF5A80">
        <w:rPr>
          <w:rFonts w:ascii="Garamond" w:hAnsi="Garamond"/>
          <w:sz w:val="22"/>
          <w:szCs w:val="22"/>
        </w:rPr>
        <w:t xml:space="preserve"> </w:t>
      </w:r>
      <w:r w:rsidR="00AF5A80" w:rsidRPr="00730E96">
        <w:rPr>
          <w:rFonts w:ascii="Garamond" w:hAnsi="Garamond"/>
          <w:sz w:val="22"/>
          <w:szCs w:val="22"/>
        </w:rPr>
        <w:t>95% confidence interval ellipses were added to visualize the extent of multivariate dispersion for each watershed group and to</w:t>
      </w:r>
      <w:r w:rsidR="00557AB9">
        <w:rPr>
          <w:rFonts w:ascii="Garamond" w:hAnsi="Garamond"/>
          <w:sz w:val="22"/>
          <w:szCs w:val="22"/>
        </w:rPr>
        <w:t xml:space="preserve"> visually</w:t>
      </w:r>
      <w:r w:rsidR="00AF5A80" w:rsidRPr="00730E96">
        <w:rPr>
          <w:rFonts w:ascii="Garamond" w:hAnsi="Garamond"/>
          <w:sz w:val="22"/>
          <w:szCs w:val="22"/>
        </w:rPr>
        <w:t xml:space="preserve"> assess the degree of separation between populations in reduced dimensional space</w:t>
      </w:r>
      <w:r w:rsidR="00730E96">
        <w:rPr>
          <w:rFonts w:ascii="Garamond" w:hAnsi="Garamond"/>
          <w:sz w:val="22"/>
          <w:szCs w:val="22"/>
        </w:rPr>
        <w:t xml:space="preserve"> (Figure 4). </w:t>
      </w:r>
    </w:p>
    <w:p w14:paraId="0E87D85D" w14:textId="7911D83A" w:rsidR="00CD3FB4" w:rsidRDefault="00AF5A80" w:rsidP="00070CB1">
      <w:pPr>
        <w:spacing w:line="480" w:lineRule="auto"/>
        <w:ind w:firstLine="720"/>
        <w:rPr>
          <w:rFonts w:ascii="Garamond" w:hAnsi="Garamond"/>
          <w:sz w:val="22"/>
          <w:szCs w:val="22"/>
        </w:rPr>
      </w:pPr>
      <w:r w:rsidRPr="00AE24AA">
        <w:rPr>
          <w:rFonts w:ascii="Garamond" w:hAnsi="Garamond"/>
          <w:sz w:val="22"/>
          <w:szCs w:val="22"/>
        </w:rPr>
        <w:t>To further illustrate how variability among timeseries</w:t>
      </w:r>
      <w:r w:rsidR="00730E96" w:rsidRPr="00AE24AA">
        <w:rPr>
          <w:rFonts w:ascii="Garamond" w:hAnsi="Garamond"/>
          <w:sz w:val="22"/>
          <w:szCs w:val="22"/>
        </w:rPr>
        <w:t xml:space="preserve"> can distinguish among timeseries </w:t>
      </w:r>
      <w:r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 xml:space="preserve">0.7080. PCA plots were produced to visualize clustering of both PC1 (47.46% of variance) and PC2 (20.93% of variance) as well as between PC1 and PC3 (10.23% of variance). </w:t>
      </w:r>
      <w:r w:rsidR="00070CB1">
        <w:rPr>
          <w:rFonts w:ascii="Garamond" w:hAnsi="Garamond"/>
          <w:sz w:val="22"/>
          <w:szCs w:val="22"/>
        </w:rPr>
        <w:t xml:space="preserve">We then displayed the absolutely values of </w:t>
      </w:r>
      <w:r w:rsidR="00070CB1">
        <w:rPr>
          <w:rFonts w:ascii="Garamond" w:hAnsi="Garamond"/>
          <w:sz w:val="22"/>
          <w:szCs w:val="22"/>
        </w:rPr>
        <w:lastRenderedPageBreak/>
        <w:t>the principal component loading from each point along the timeseries to identify portions of the timeseries contributing to these interclass separation</w:t>
      </w:r>
      <w:r w:rsidR="00CD3FB4">
        <w:rPr>
          <w:rFonts w:ascii="Garamond" w:hAnsi="Garamond"/>
          <w:sz w:val="22"/>
          <w:szCs w:val="22"/>
        </w:rPr>
        <w:t xml:space="preserve"> </w:t>
      </w:r>
      <w:r w:rsidR="005F1D8A" w:rsidRPr="00AE24AA">
        <w:rPr>
          <w:rFonts w:ascii="Garamond" w:hAnsi="Garamond"/>
          <w:sz w:val="22"/>
          <w:szCs w:val="22"/>
        </w:rPr>
        <w:t>(Figure 5b.)</w:t>
      </w:r>
      <w:r w:rsidR="00AE24AA">
        <w:rPr>
          <w:rFonts w:ascii="Garamond" w:hAnsi="Garamond"/>
          <w:sz w:val="22"/>
          <w:szCs w:val="22"/>
        </w:rPr>
        <w:t xml:space="preserve">. </w:t>
      </w:r>
    </w:p>
    <w:p w14:paraId="09D6A0ED" w14:textId="77777777" w:rsidR="00070CB1" w:rsidRPr="00CD3FB4" w:rsidRDefault="00070CB1" w:rsidP="00070CB1">
      <w:pPr>
        <w:spacing w:line="480" w:lineRule="auto"/>
        <w:ind w:firstLine="720"/>
        <w:rPr>
          <w:rFonts w:ascii="Garamond" w:hAnsi="Garamond"/>
          <w:sz w:val="22"/>
          <w:szCs w:val="22"/>
        </w:rPr>
      </w:pP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69C69FD3"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proofErr w:type="spellStart"/>
      <w:r w:rsidR="00070CB1">
        <w:rPr>
          <w:rFonts w:ascii="Garamond" w:hAnsi="Garamond"/>
          <w:sz w:val="22"/>
          <w:szCs w:val="22"/>
        </w:rPr>
        <w:t>datasets</w:t>
      </w:r>
      <w:r w:rsidR="00444663" w:rsidRPr="009B73BD">
        <w:rPr>
          <w:rFonts w:ascii="Garamond" w:hAnsi="Garamond"/>
          <w:sz w:val="22"/>
          <w:szCs w:val="22"/>
        </w:rPr>
        <w:t>ets</w:t>
      </w:r>
      <w:proofErr w:type="spellEnd"/>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e trained three supervised classification algorithms</w:t>
      </w:r>
      <w:r w:rsidR="00070CB1">
        <w:rPr>
          <w:rFonts w:ascii="Garamond" w:hAnsi="Garamond"/>
          <w:sz w:val="22"/>
          <w:szCs w:val="22"/>
        </w:rPr>
        <w:t xml:space="preserve"> on the training set for each dataset</w:t>
      </w:r>
      <w:r w:rsidR="00097484">
        <w:rPr>
          <w:rFonts w:ascii="Garamond" w:hAnsi="Garamond"/>
          <w:sz w:val="22"/>
          <w:szCs w:val="22"/>
        </w:rPr>
        <w:t xml:space="preserve"> using the </w:t>
      </w:r>
      <w:commentRangeStart w:id="2"/>
      <w:r w:rsidR="00097484">
        <w:rPr>
          <w:rFonts w:ascii="Garamond" w:hAnsi="Garamond"/>
          <w:sz w:val="22"/>
          <w:szCs w:val="22"/>
        </w:rPr>
        <w:t>{</w:t>
      </w:r>
      <w:proofErr w:type="spellStart"/>
      <w:r w:rsidR="00097484">
        <w:rPr>
          <w:rFonts w:ascii="Garamond" w:hAnsi="Garamond"/>
          <w:sz w:val="22"/>
          <w:szCs w:val="22"/>
        </w:rPr>
        <w:t>tidymodels</w:t>
      </w:r>
      <w:proofErr w:type="spellEnd"/>
      <w:r w:rsidR="00097484">
        <w:rPr>
          <w:rFonts w:ascii="Garamond" w:hAnsi="Garamond"/>
          <w:sz w:val="22"/>
          <w:szCs w:val="22"/>
        </w:rPr>
        <w:t xml:space="preserve">} </w:t>
      </w:r>
      <w:commentRangeEnd w:id="2"/>
      <w:r w:rsidR="00097484">
        <w:rPr>
          <w:rStyle w:val="CommentReference"/>
        </w:rPr>
        <w:commentReference w:id="2"/>
      </w:r>
      <w:r w:rsidR="00097484">
        <w:rPr>
          <w:rFonts w:ascii="Garamond" w:hAnsi="Garamond"/>
          <w:sz w:val="22"/>
          <w:szCs w:val="22"/>
        </w:rPr>
        <w:t xml:space="preserve">package in </w:t>
      </w:r>
      <w:proofErr w:type="gramStart"/>
      <w:r w:rsidR="00097484">
        <w:rPr>
          <w:rFonts w:ascii="Garamond" w:hAnsi="Garamond"/>
          <w:sz w:val="22"/>
          <w:szCs w:val="22"/>
        </w:rPr>
        <w:t xml:space="preserve">R </w:t>
      </w:r>
      <w:r>
        <w:rPr>
          <w:rFonts w:ascii="Garamond" w:hAnsi="Garamond"/>
          <w:sz w:val="22"/>
          <w:szCs w:val="22"/>
        </w:rPr>
        <w:t>:</w:t>
      </w:r>
      <w:proofErr w:type="gramEnd"/>
      <w:r>
        <w:rPr>
          <w:rFonts w:ascii="Garamond" w:hAnsi="Garamond"/>
          <w:sz w:val="22"/>
          <w:szCs w:val="22"/>
        </w:rPr>
        <w:t xml:space="preserve">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 xml:space="preserve">The Random Forest model was configured </w:t>
      </w:r>
      <w:proofErr w:type="spellStart"/>
      <w:r w:rsidR="00097484">
        <w:rPr>
          <w:rFonts w:ascii="Garamond" w:hAnsi="Garamond"/>
          <w:sz w:val="22"/>
          <w:szCs w:val="22"/>
        </w:rPr>
        <w:t>u</w:t>
      </w:r>
      <w:r w:rsidR="00444663" w:rsidRPr="00701699">
        <w:rPr>
          <w:rFonts w:ascii="Garamond" w:hAnsi="Garamond"/>
          <w:sz w:val="22"/>
          <w:szCs w:val="22"/>
        </w:rPr>
        <w:t>with</w:t>
      </w:r>
      <w:proofErr w:type="spellEnd"/>
      <w:r w:rsidR="00444663" w:rsidRPr="00701699">
        <w:rPr>
          <w:rFonts w:ascii="Garamond" w:hAnsi="Garamond"/>
          <w:sz w:val="22"/>
          <w:szCs w:val="22"/>
        </w:rPr>
        <w:t xml:space="preserve"> 500 trees, and the number of predictors randomly sampled at each split (</w:t>
      </w:r>
      <w:commentRangeStart w:id="3"/>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w:t>
      </w:r>
      <w:commentRangeEnd w:id="3"/>
      <w:r w:rsidR="00E84B9A">
        <w:rPr>
          <w:rStyle w:val="CommentReference"/>
        </w:rPr>
        <w:commentReference w:id="3"/>
      </w:r>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 xml:space="preserve">tidy </w:t>
      </w:r>
      <w:proofErr w:type="gramStart"/>
      <w:r w:rsidRPr="00701699">
        <w:rPr>
          <w:rStyle w:val="HTMLCode"/>
          <w:rFonts w:ascii="Garamond" w:eastAsiaTheme="majorEastAsia" w:hAnsi="Garamond"/>
          <w:sz w:val="22"/>
          <w:szCs w:val="22"/>
        </w:rPr>
        <w:t>models</w:t>
      </w:r>
      <w:proofErr w:type="gramEnd"/>
      <w:r w:rsidR="00444663" w:rsidRPr="00701699">
        <w:rPr>
          <w:rFonts w:ascii="Garamond" w:hAnsi="Garamond"/>
          <w:sz w:val="22"/>
          <w:szCs w:val="22"/>
        </w:rPr>
        <w:t xml:space="preserve"> framework in </w:t>
      </w:r>
      <w:commentRangeStart w:id="4"/>
      <w:r w:rsidR="00444663" w:rsidRPr="00701699">
        <w:rPr>
          <w:rFonts w:ascii="Garamond" w:hAnsi="Garamond"/>
          <w:sz w:val="22"/>
          <w:szCs w:val="22"/>
        </w:rPr>
        <w:t>R</w:t>
      </w:r>
      <w:r w:rsidR="00444663">
        <w:rPr>
          <w:rFonts w:ascii="Garamond" w:hAnsi="Garamond"/>
          <w:sz w:val="22"/>
          <w:szCs w:val="22"/>
        </w:rPr>
        <w:t xml:space="preserve">. </w:t>
      </w:r>
      <w:commentRangeEnd w:id="4"/>
      <w:r>
        <w:rPr>
          <w:rStyle w:val="CommentReference"/>
        </w:rPr>
        <w:commentReference w:id="4"/>
      </w:r>
    </w:p>
    <w:p w14:paraId="090C2636" w14:textId="10B29DCC"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 xml:space="preserve">Sr values above 0.7150 were </w:t>
      </w:r>
      <w:r w:rsidR="00CD3FB4">
        <w:rPr>
          <w:rFonts w:ascii="Garamond" w:hAnsi="Garamond"/>
          <w:sz w:val="22"/>
          <w:szCs w:val="22"/>
        </w:rPr>
        <w:t>excluded</w:t>
      </w:r>
      <w:r w:rsidRPr="00AF5A80">
        <w:rPr>
          <w:rFonts w:ascii="Garamond" w:hAnsi="Garamond"/>
          <w:sz w:val="22"/>
          <w:szCs w:val="22"/>
        </w:rPr>
        <w:t>. Only the Yukon watershed contains enriched isotope values above this threshold and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“Overlap”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Model performance was</w:t>
      </w:r>
      <w:r w:rsidR="00070CB1">
        <w:rPr>
          <w:rFonts w:ascii="Garamond" w:hAnsi="Garamond"/>
          <w:sz w:val="22"/>
          <w:szCs w:val="22"/>
        </w:rPr>
        <w:t xml:space="preserve"> then</w:t>
      </w:r>
      <w:r w:rsidR="00043EBC" w:rsidRPr="00043EBC">
        <w:rPr>
          <w:rFonts w:ascii="Garamond" w:hAnsi="Garamond"/>
          <w:sz w:val="22"/>
          <w:szCs w:val="22"/>
        </w:rPr>
        <w:t xml:space="preserve">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(Figure 2).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77777777"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lastRenderedPageBreak/>
        <w:t>F1-Score</w:t>
      </w:r>
      <w:r w:rsidRPr="00043EBC">
        <w:rPr>
          <w:rFonts w:ascii="Garamond" w:hAnsi="Garamond"/>
          <w:sz w:val="22"/>
          <w:szCs w:val="22"/>
        </w:rPr>
        <w:t xml:space="preserve"> = 2 * (Precision * Recall) / (Precision + Recall)</w:t>
      </w:r>
    </w:p>
    <w:p w14:paraId="0461E756" w14:textId="77777777" w:rsidR="003A0BEA" w:rsidRDefault="00043EBC" w:rsidP="003A0BEA">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p>
    <w:p w14:paraId="0433F72D" w14:textId="0788DC16" w:rsidR="00070CB1" w:rsidRDefault="00043EBC" w:rsidP="00070CB1">
      <w:pPr>
        <w:pStyle w:val="NormalWeb"/>
        <w:spacing w:line="480" w:lineRule="auto"/>
        <w:ind w:firstLine="720"/>
        <w:rPr>
          <w:rFonts w:ascii="Garamond" w:hAnsi="Garamond"/>
          <w:sz w:val="22"/>
          <w:szCs w:val="22"/>
        </w:rPr>
      </w:pP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accuracy by watershed, we calculated the accuracy of fish from within the CWAK (Coastal Western Alaska) genetic reporting group (Figure 1) by removing individuals with genetic assignments from the Middle or Upper Yukon reporting groups, which are outside of the CWAK region. </w:t>
      </w:r>
    </w:p>
    <w:p w14:paraId="1E36E3FD" w14:textId="6F58B80B" w:rsidR="004D2BA0" w:rsidRPr="00D70E26" w:rsidRDefault="004D2BA0" w:rsidP="004D2BA0">
      <w:pPr>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28CF991D" w:rsidR="00F6547F" w:rsidRPr="00985634" w:rsidRDefault="00FB146C" w:rsidP="003A4B5F">
      <w:pPr>
        <w:pStyle w:val="whitespace-normal"/>
        <w:spacing w:line="480" w:lineRule="auto"/>
        <w:ind w:firstLine="720"/>
        <w:rPr>
          <w:rFonts w:ascii="Garamond" w:hAnsi="Garamond"/>
          <w:sz w:val="22"/>
          <w:szCs w:val="22"/>
        </w:rPr>
      </w:pPr>
      <w:r w:rsidRPr="00D440B2">
        <w:rPr>
          <w:rFonts w:ascii="Garamond" w:hAnsi="Garamond"/>
          <w:sz w:val="22"/>
          <w:szCs w:val="22"/>
        </w:rPr>
        <w:t>Many machine learning classification models produce probability estimates that do not accurately reflect the true likelihood of correct prediction. While these models may achieve high classification accuracy, their reported confidence</w:t>
      </w:r>
      <w:r w:rsidR="00097484">
        <w:rPr>
          <w:rFonts w:ascii="Garamond" w:hAnsi="Garamond"/>
          <w:sz w:val="22"/>
          <w:szCs w:val="22"/>
        </w:rPr>
        <w:t xml:space="preserve"> scores</w:t>
      </w:r>
      <w:r w:rsidRPr="00D440B2">
        <w:rPr>
          <w:rFonts w:ascii="Garamond" w:hAnsi="Garamond"/>
          <w:sz w:val="22"/>
          <w:szCs w:val="22"/>
        </w:rPr>
        <w:t xml:space="preserve"> may not match the true proportion of correct classifications within each confidence </w:t>
      </w:r>
      <w:proofErr w:type="gramStart"/>
      <w:r w:rsidRPr="00D440B2">
        <w:rPr>
          <w:rFonts w:ascii="Garamond" w:hAnsi="Garamond"/>
          <w:sz w:val="22"/>
          <w:szCs w:val="22"/>
        </w:rPr>
        <w:t>bin</w:t>
      </w:r>
      <w:r w:rsidR="00097484">
        <w:rPr>
          <w:rFonts w:ascii="Garamond" w:hAnsi="Garamond"/>
          <w:sz w:val="22"/>
          <w:szCs w:val="22"/>
        </w:rPr>
        <w:t xml:space="preserve"> </w:t>
      </w:r>
      <w:r w:rsidRPr="00D440B2">
        <w:rPr>
          <w:rFonts w:ascii="Garamond" w:hAnsi="Garamond"/>
          <w:sz w:val="22"/>
          <w:szCs w:val="22"/>
        </w:rPr>
        <w:t>.</w:t>
      </w:r>
      <w:proofErr w:type="gramEnd"/>
      <w:r w:rsidRPr="00D440B2">
        <w:rPr>
          <w:rFonts w:ascii="Garamond" w:hAnsi="Garamond"/>
          <w:sz w:val="22"/>
          <w:szCs w:val="22"/>
        </w:rPr>
        <w:t xml:space="preserve"> </w:t>
      </w:r>
      <w:r w:rsidR="00097484">
        <w:rPr>
          <w:rFonts w:ascii="Garamond" w:hAnsi="Garamond"/>
          <w:sz w:val="22"/>
          <w:szCs w:val="22"/>
        </w:rPr>
        <w:t>Although these scores may provide sufficient class ranking, t</w:t>
      </w:r>
      <w:commentRangeStart w:id="5"/>
      <w:r w:rsidRPr="00D440B2">
        <w:rPr>
          <w:rFonts w:ascii="Garamond" w:hAnsi="Garamond"/>
          <w:sz w:val="22"/>
          <w:szCs w:val="22"/>
        </w:rPr>
        <w:t>his</w:t>
      </w:r>
      <w:commentRangeEnd w:id="5"/>
      <w:r w:rsidR="00E84B9A">
        <w:rPr>
          <w:rStyle w:val="CommentReference"/>
          <w:rFonts w:asciiTheme="minorHAnsi" w:eastAsiaTheme="minorHAnsi" w:hAnsiTheme="minorHAnsi" w:cstheme="minorBidi"/>
          <w:kern w:val="2"/>
          <w14:ligatures w14:val="standardContextual"/>
        </w:rPr>
        <w:commentReference w:id="5"/>
      </w:r>
      <w:r w:rsidRPr="00D440B2">
        <w:rPr>
          <w:rFonts w:ascii="Garamond" w:hAnsi="Garamond"/>
          <w:sz w:val="22"/>
          <w:szCs w:val="22"/>
        </w:rPr>
        <w:t xml:space="preserve"> limits the utility of these results for decision-making based on confidence thresholds or propagation of uncertainty through further probability-based models. To calibrate predictions from our models, we used the </w:t>
      </w:r>
      <w:r w:rsidR="00AA7224">
        <w:rPr>
          <w:rFonts w:ascii="Garamond" w:hAnsi="Garamond"/>
          <w:sz w:val="22"/>
          <w:szCs w:val="22"/>
        </w:rPr>
        <w:t>{</w:t>
      </w:r>
      <w:r w:rsidRPr="00D440B2">
        <w:rPr>
          <w:rStyle w:val="HTMLCode"/>
          <w:rFonts w:ascii="Garamond" w:eastAsiaTheme="majorEastAsia" w:hAnsi="Garamond"/>
          <w:sz w:val="22"/>
          <w:szCs w:val="22"/>
        </w:rPr>
        <w:t>probably</w:t>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 </w:t>
      </w:r>
      <w:commentRangeStart w:id="6"/>
      <w:commentRangeStart w:id="7"/>
      <w:r w:rsidRPr="00D440B2">
        <w:rPr>
          <w:rFonts w:ascii="Garamond" w:hAnsi="Garamond"/>
          <w:sz w:val="22"/>
          <w:szCs w:val="22"/>
        </w:rPr>
        <w:t xml:space="preserve">This approach adjusts the </w:t>
      </w:r>
      <w:r w:rsidR="00097484">
        <w:rPr>
          <w:rFonts w:ascii="Garamond" w:hAnsi="Garamond"/>
          <w:sz w:val="22"/>
          <w:szCs w:val="22"/>
        </w:rPr>
        <w:t xml:space="preserve">raw </w:t>
      </w:r>
      <w:r w:rsidRPr="00D440B2">
        <w:rPr>
          <w:rFonts w:ascii="Garamond" w:hAnsi="Garamond"/>
          <w:sz w:val="22"/>
          <w:szCs w:val="22"/>
        </w:rPr>
        <w:t xml:space="preserve">probability </w:t>
      </w:r>
      <w:r w:rsidR="00097484">
        <w:rPr>
          <w:rFonts w:ascii="Garamond" w:hAnsi="Garamond"/>
          <w:sz w:val="22"/>
          <w:szCs w:val="22"/>
        </w:rPr>
        <w:t>scores</w:t>
      </w:r>
      <w:r w:rsidRPr="00D440B2">
        <w:rPr>
          <w:rFonts w:ascii="Garamond" w:hAnsi="Garamond"/>
          <w:sz w:val="22"/>
          <w:szCs w:val="22"/>
        </w:rPr>
        <w:t xml:space="preserve"> to better align </w:t>
      </w:r>
      <w:r w:rsidR="00097484">
        <w:rPr>
          <w:rFonts w:ascii="Garamond" w:hAnsi="Garamond"/>
          <w:sz w:val="22"/>
          <w:szCs w:val="22"/>
        </w:rPr>
        <w:t>with the true observed probabilities</w:t>
      </w:r>
      <w:r w:rsidRPr="00D440B2">
        <w:rPr>
          <w:rFonts w:ascii="Garamond" w:hAnsi="Garamond"/>
          <w:sz w:val="22"/>
          <w:szCs w:val="22"/>
        </w:rPr>
        <w:t xml:space="preserve"> through a non-parametric monotonic transformation. </w:t>
      </w:r>
      <w:commentRangeEnd w:id="6"/>
      <w:r w:rsidR="00E84B9A">
        <w:rPr>
          <w:rStyle w:val="CommentReference"/>
          <w:rFonts w:asciiTheme="minorHAnsi" w:eastAsiaTheme="minorHAnsi" w:hAnsiTheme="minorHAnsi" w:cstheme="minorBidi"/>
          <w:kern w:val="2"/>
          <w14:ligatures w14:val="standardContextual"/>
        </w:rPr>
        <w:commentReference w:id="6"/>
      </w:r>
      <w:commentRangeEnd w:id="7"/>
      <w:r w:rsidR="00E84B9A">
        <w:rPr>
          <w:rStyle w:val="CommentReference"/>
          <w:rFonts w:asciiTheme="minorHAnsi" w:eastAsiaTheme="minorHAnsi" w:hAnsiTheme="minorHAnsi" w:cstheme="minorBidi"/>
          <w:kern w:val="2"/>
          <w14:ligatures w14:val="standardContextual"/>
        </w:rPr>
        <w:commentReference w:id="7"/>
      </w:r>
      <w:r w:rsidRPr="00D440B2">
        <w:rPr>
          <w:rFonts w:ascii="Garamond" w:hAnsi="Garamond"/>
          <w:sz w:val="22"/>
          <w:szCs w:val="22"/>
        </w:rPr>
        <w:t xml:space="preserve">We verified calibration effectiveness through </w:t>
      </w:r>
      <w:r w:rsidR="003A0BEA">
        <w:rPr>
          <w:rFonts w:ascii="Garamond" w:hAnsi="Garamond"/>
          <w:sz w:val="22"/>
          <w:szCs w:val="22"/>
        </w:rPr>
        <w:t xml:space="preserve">visual assessment of </w:t>
      </w:r>
      <w:r w:rsidRPr="00D440B2">
        <w:rPr>
          <w:rFonts w:ascii="Garamond" w:hAnsi="Garamond"/>
          <w:sz w:val="22"/>
          <w:szCs w:val="22"/>
        </w:rPr>
        <w:t>diagrams that plot predicted probabilities against observed class frequencies across probability bins</w:t>
      </w:r>
      <w:r w:rsidR="00070CB1">
        <w:rPr>
          <w:rFonts w:ascii="Garamond" w:hAnsi="Garamond"/>
          <w:sz w:val="22"/>
          <w:szCs w:val="22"/>
        </w:rPr>
        <w:t xml:space="preserve"> (Supplemental?)</w:t>
      </w:r>
      <w:r w:rsidRPr="00D440B2">
        <w:rPr>
          <w:rFonts w:ascii="Garamond" w:hAnsi="Garamond"/>
          <w:sz w:val="22"/>
          <w:szCs w:val="22"/>
        </w:rPr>
        <w:t>. Additionally, we quantified calibration improvements using Brier scores and logarithmic loss calculated before and after calibration.</w:t>
      </w:r>
      <w:r w:rsidR="00043EBC">
        <w:rPr>
          <w:rFonts w:ascii="Garamond" w:hAnsi="Garamond"/>
          <w:sz w:val="22"/>
          <w:szCs w:val="22"/>
        </w:rPr>
        <w:t xml:space="preserve"> </w:t>
      </w:r>
      <w:r w:rsidRPr="00D440B2">
        <w:rPr>
          <w:rFonts w:ascii="Garamond" w:hAnsi="Garamond"/>
          <w:sz w:val="22"/>
          <w:szCs w:val="22"/>
        </w:rPr>
        <w:t xml:space="preserve">Calibration transformations were fitted separately for each model-data type combination and stored as reusable functions that can be applied consistently to future predictions. This ensures that </w:t>
      </w:r>
      <w:r w:rsidRPr="00D440B2">
        <w:rPr>
          <w:rFonts w:ascii="Garamond" w:hAnsi="Garamond"/>
          <w:sz w:val="22"/>
          <w:szCs w:val="22"/>
        </w:rPr>
        <w:lastRenderedPageBreak/>
        <w:t>probability estimates from our models accurately 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r w:rsidR="00E2005E">
        <w:rPr>
          <w:rFonts w:ascii="Garamond" w:hAnsi="Garamond"/>
          <w:sz w:val="22"/>
          <w:szCs w:val="22"/>
        </w:rPr>
        <w:t xml:space="preserve"> we tested the accuracy obtained </w:t>
      </w:r>
      <w:r w:rsidR="000869FF">
        <w:rPr>
          <w:rFonts w:ascii="Garamond" w:hAnsi="Garamond"/>
          <w:sz w:val="22"/>
          <w:szCs w:val="22"/>
        </w:rPr>
        <w:t xml:space="preserve">from our model with an added confidence threshold. </w:t>
      </w:r>
      <w:r w:rsidR="0034572F">
        <w:rPr>
          <w:rFonts w:ascii="Garamond" w:hAnsi="Garamond"/>
          <w:sz w:val="22"/>
          <w:szCs w:val="22"/>
        </w:rPr>
        <w:t xml:space="preserve">We </w:t>
      </w:r>
      <w:r w:rsidR="000869FF">
        <w:rPr>
          <w:rFonts w:ascii="Garamond" w:hAnsi="Garamond"/>
          <w:sz w:val="22"/>
          <w:szCs w:val="22"/>
        </w:rPr>
        <w:t xml:space="preserve">evaluated the proportion of correctly assigned individuals </w:t>
      </w:r>
      <w:r w:rsidR="0034572F">
        <w:rPr>
          <w:rFonts w:ascii="Garamond" w:hAnsi="Garamond"/>
          <w:sz w:val="22"/>
          <w:szCs w:val="22"/>
        </w:rPr>
        <w:t>in which the assigned and calibrated probability value is above a given threshold value from 60-90%. From these results we recorded both class specific and overall accuracy at each threshold value</w:t>
      </w:r>
      <w:r w:rsidR="00C51A58">
        <w:rPr>
          <w:rFonts w:ascii="Garamond" w:hAnsi="Garamond"/>
          <w:sz w:val="22"/>
          <w:szCs w:val="22"/>
        </w:rPr>
        <w:t xml:space="preserve"> (Figure 6). </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6B8594A3"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xml:space="preserve">. The first two principal components together captured 97.3% of the total variance in the dataset (PC1: 92.2%, PC2: 5.1%, Figure 4). Despite clear clustering patterns, some overlap remained among all three watersheds. Kuskokwim samples (Figure 4, red) exhibited the greatest degree of overlap, 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4, blue)</w:t>
      </w:r>
      <w:r w:rsidR="00D53F6D" w:rsidRPr="00D53F6D">
        <w:rPr>
          <w:rFonts w:ascii="Garamond" w:hAnsi="Garamond"/>
          <w:sz w:val="22"/>
          <w:szCs w:val="22"/>
        </w:rPr>
        <w:t xml:space="preserve"> covered a much larger region of the principal component space, reflecting the broader range of potential isotope values that create unique timeseries compared to the more constrained ranges observed in the other two watershed classes</w:t>
      </w:r>
    </w:p>
    <w:p w14:paraId="06F8E81E" w14:textId="6830FC19" w:rsidR="00ED3EE6" w:rsidRPr="00D53F6D" w:rsidRDefault="00D53F6D" w:rsidP="000F5F96">
      <w:pPr>
        <w:spacing w:line="480" w:lineRule="auto"/>
        <w:ind w:firstLine="720"/>
        <w:rPr>
          <w:rFonts w:ascii="Garamond" w:hAnsi="Garamond"/>
          <w:sz w:val="22"/>
          <w:szCs w:val="22"/>
        </w:rPr>
      </w:pPr>
      <w:r w:rsidRPr="00D53F6D">
        <w:rPr>
          <w:rFonts w:ascii="Garamond" w:hAnsi="Garamond"/>
          <w:sz w:val="22"/>
          <w:szCs w:val="22"/>
        </w:rPr>
        <w:t xml:space="preserve">Mapping the loadings of each principal component onto the timeseries revealed distinct regions driving class separation. The first principal component showed high loading values in the middle portion of the timeseries, potentially encompassing both </w:t>
      </w:r>
      <w:r w:rsidR="00D70E26">
        <w:rPr>
          <w:rFonts w:ascii="Garamond" w:hAnsi="Garamond"/>
          <w:sz w:val="22"/>
          <w:szCs w:val="22"/>
        </w:rPr>
        <w:t xml:space="preserve">the end of the </w:t>
      </w:r>
      <w:r w:rsidRPr="00D53F6D">
        <w:rPr>
          <w:rFonts w:ascii="Garamond" w:hAnsi="Garamond"/>
          <w:sz w:val="22"/>
          <w:szCs w:val="22"/>
        </w:rPr>
        <w:t>natal origin region</w:t>
      </w:r>
      <w:r w:rsidR="00D70E26">
        <w:rPr>
          <w:rFonts w:ascii="Garamond" w:hAnsi="Garamond"/>
          <w:sz w:val="22"/>
          <w:szCs w:val="22"/>
        </w:rPr>
        <w:t xml:space="preserve"> </w:t>
      </w:r>
      <w:r w:rsidRPr="00D53F6D">
        <w:rPr>
          <w:rFonts w:ascii="Garamond" w:hAnsi="Garamond"/>
          <w:sz w:val="22"/>
          <w:szCs w:val="22"/>
        </w:rPr>
        <w:t>a</w:t>
      </w:r>
      <w:r w:rsidR="00D70E26">
        <w:rPr>
          <w:rFonts w:ascii="Garamond" w:hAnsi="Garamond"/>
          <w:sz w:val="22"/>
          <w:szCs w:val="22"/>
        </w:rPr>
        <w:t xml:space="preserve">s well as </w:t>
      </w:r>
      <w:r w:rsidRPr="00D53F6D">
        <w:rPr>
          <w:rFonts w:ascii="Garamond" w:hAnsi="Garamond"/>
          <w:sz w:val="22"/>
          <w:szCs w:val="22"/>
        </w:rPr>
        <w:t xml:space="preserve">secondary rearing locations. The second principal component was driven by variation occurring just before the onset of the marine region, likely representing residency in mainstem tributaries during ocean migration. The relative shape at this point in the timeseries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Pr="00D53F6D">
        <w:rPr>
          <w:rFonts w:ascii="Garamond" w:hAnsi="Garamond"/>
          <w:sz w:val="22"/>
          <w:szCs w:val="22"/>
        </w:rPr>
        <w:t>values among the three watersheds</w:t>
      </w:r>
      <w:r w:rsidR="00D70E26">
        <w:rPr>
          <w:rFonts w:ascii="Garamond" w:hAnsi="Garamond"/>
          <w:sz w:val="22"/>
          <w:szCs w:val="22"/>
        </w:rPr>
        <w:t xml:space="preserve"> (e.g. </w:t>
      </w:r>
      <w:commentRangeStart w:id="8"/>
      <w:r w:rsidR="00D70E26">
        <w:rPr>
          <w:rFonts w:ascii="Garamond" w:hAnsi="Garamond"/>
          <w:sz w:val="22"/>
          <w:szCs w:val="22"/>
        </w:rPr>
        <w:t xml:space="preserve">X, </w:t>
      </w:r>
      <w:proofErr w:type="gramStart"/>
      <w:r w:rsidR="00D70E26">
        <w:rPr>
          <w:rFonts w:ascii="Garamond" w:hAnsi="Garamond"/>
          <w:sz w:val="22"/>
          <w:szCs w:val="22"/>
        </w:rPr>
        <w:t>Y,Z</w:t>
      </w:r>
      <w:proofErr w:type="gramEnd"/>
      <w:r w:rsidR="00D70E26">
        <w:rPr>
          <w:rFonts w:ascii="Garamond" w:hAnsi="Garamond"/>
          <w:sz w:val="22"/>
          <w:szCs w:val="22"/>
        </w:rPr>
        <w:t xml:space="preserve"> </w:t>
      </w:r>
      <w:commentRangeEnd w:id="8"/>
      <w:r w:rsidR="000F5F96">
        <w:rPr>
          <w:rStyle w:val="CommentReference"/>
        </w:rPr>
        <w:commentReference w:id="8"/>
      </w:r>
      <w:r w:rsidR="00D70E26">
        <w:rPr>
          <w:rFonts w:ascii="Garamond" w:hAnsi="Garamond"/>
          <w:sz w:val="22"/>
          <w:szCs w:val="22"/>
        </w:rPr>
        <w:t xml:space="preserve">in the Yukon, Kuskokwim, and </w:t>
      </w:r>
      <w:proofErr w:type="spellStart"/>
      <w:r w:rsidR="00D70E26">
        <w:rPr>
          <w:rFonts w:ascii="Garamond" w:hAnsi="Garamond"/>
          <w:sz w:val="22"/>
          <w:szCs w:val="22"/>
        </w:rPr>
        <w:t>Nushagak</w:t>
      </w:r>
      <w:proofErr w:type="spellEnd"/>
      <w:r w:rsidR="00D70E26">
        <w:rPr>
          <w:rFonts w:ascii="Garamond" w:hAnsi="Garamond"/>
          <w:sz w:val="22"/>
          <w:szCs w:val="22"/>
        </w:rPr>
        <w:t xml:space="preserve">, respectively). Interestingly, timeseries of fish from the CWAK region within the Yukon river-basin contained a less pronounced increase in </w:t>
      </w:r>
      <w:r w:rsidR="000F5F96" w:rsidRPr="00CA63D8">
        <w:rPr>
          <w:rFonts w:ascii="Cambria Math" w:hAnsi="Cambria Math" w:cs="Cambria Math"/>
          <w:sz w:val="22"/>
          <w:szCs w:val="22"/>
        </w:rPr>
        <w:t>⁸⁷</w:t>
      </w:r>
      <w:r w:rsidR="000F5F96" w:rsidRPr="00CA63D8">
        <w:rPr>
          <w:rFonts w:ascii="Garamond" w:hAnsi="Garamond"/>
          <w:sz w:val="22"/>
          <w:szCs w:val="22"/>
        </w:rPr>
        <w:t>Sr/</w:t>
      </w:r>
      <w:r w:rsidR="000F5F96" w:rsidRPr="00CA63D8">
        <w:rPr>
          <w:rFonts w:ascii="Cambria Math" w:hAnsi="Cambria Math" w:cs="Cambria Math"/>
          <w:sz w:val="22"/>
          <w:szCs w:val="22"/>
        </w:rPr>
        <w:t>⁸⁶</w:t>
      </w:r>
      <w:r w:rsidR="000F5F96" w:rsidRPr="00CA63D8">
        <w:rPr>
          <w:rFonts w:ascii="Garamond" w:hAnsi="Garamond"/>
          <w:sz w:val="22"/>
          <w:szCs w:val="22"/>
        </w:rPr>
        <w:t>Sr</w:t>
      </w:r>
      <w:r w:rsidR="00D70E26">
        <w:rPr>
          <w:rFonts w:ascii="Garamond" w:hAnsi="Garamond"/>
          <w:sz w:val="22"/>
          <w:szCs w:val="22"/>
        </w:rPr>
        <w:t xml:space="preserve"> values before the marine onset</w:t>
      </w:r>
      <w:r w:rsidR="00D9294A">
        <w:rPr>
          <w:rFonts w:ascii="Garamond" w:hAnsi="Garamond"/>
          <w:sz w:val="22"/>
          <w:szCs w:val="22"/>
        </w:rPr>
        <w:t xml:space="preserve"> </w:t>
      </w:r>
      <w:r w:rsidR="00D70E26">
        <w:rPr>
          <w:rFonts w:ascii="Garamond" w:hAnsi="Garamond"/>
          <w:sz w:val="22"/>
          <w:szCs w:val="22"/>
        </w:rPr>
        <w:t xml:space="preserve">(Figure 5b.) </w:t>
      </w:r>
      <w:r w:rsidRPr="00D53F6D">
        <w:rPr>
          <w:rFonts w:ascii="Garamond" w:hAnsi="Garamond"/>
          <w:sz w:val="22"/>
          <w:szCs w:val="22"/>
        </w:rPr>
        <w:t>Principal component 3 appear</w:t>
      </w:r>
      <w:r w:rsidR="000F5F96">
        <w:rPr>
          <w:rFonts w:ascii="Garamond" w:hAnsi="Garamond"/>
          <w:sz w:val="22"/>
          <w:szCs w:val="22"/>
        </w:rPr>
        <w:t>s</w:t>
      </w:r>
      <w:r w:rsidRPr="00D53F6D">
        <w:rPr>
          <w:rFonts w:ascii="Garamond" w:hAnsi="Garamond"/>
          <w:sz w:val="22"/>
          <w:szCs w:val="22"/>
        </w:rPr>
        <w:t xml:space="preserve"> to be driven by </w:t>
      </w:r>
      <w:r w:rsidRPr="00D53F6D">
        <w:rPr>
          <w:rFonts w:ascii="Garamond" w:hAnsi="Garamond"/>
          <w:sz w:val="22"/>
          <w:szCs w:val="22"/>
        </w:rPr>
        <w:lastRenderedPageBreak/>
        <w:t>values at the very beginning of the timeseries</w:t>
      </w:r>
      <w:r w:rsidR="000F5F96">
        <w:rPr>
          <w:rFonts w:ascii="Garamond" w:hAnsi="Garamond"/>
          <w:sz w:val="22"/>
          <w:szCs w:val="22"/>
        </w:rPr>
        <w:t xml:space="preserve"> </w:t>
      </w:r>
      <w:r w:rsidR="000F5F96" w:rsidRPr="00D53F6D">
        <w:rPr>
          <w:rFonts w:ascii="Garamond" w:hAnsi="Garamond"/>
          <w:sz w:val="22"/>
          <w:szCs w:val="22"/>
        </w:rPr>
        <w:t xml:space="preserve">corresponding to the start of the natal origin signature. </w:t>
      </w:r>
      <w:r w:rsidR="000F5F96">
        <w:rPr>
          <w:rFonts w:ascii="Garamond" w:hAnsi="Garamond"/>
          <w:sz w:val="22"/>
          <w:szCs w:val="22"/>
        </w:rPr>
        <w:t xml:space="preserve"> as well as some variation in values towards the values just before the mainstem value described above. </w:t>
      </w:r>
      <w:r w:rsidRPr="00D53F6D">
        <w:rPr>
          <w:rFonts w:ascii="Garamond" w:hAnsi="Garamond"/>
          <w:sz w:val="22"/>
          <w:szCs w:val="22"/>
        </w:rPr>
        <w:t xml:space="preserve">The minimal discrimination among watersheds along this component </w:t>
      </w:r>
      <w:r w:rsidR="000F5F96">
        <w:rPr>
          <w:rFonts w:ascii="Garamond" w:hAnsi="Garamond"/>
          <w:sz w:val="22"/>
          <w:szCs w:val="22"/>
        </w:rPr>
        <w:t>is</w:t>
      </w:r>
      <w:r w:rsidRPr="00D53F6D">
        <w:rPr>
          <w:rFonts w:ascii="Garamond" w:hAnsi="Garamond"/>
          <w:sz w:val="22"/>
          <w:szCs w:val="22"/>
        </w:rPr>
        <w:t xml:space="preserve"> expected</w:t>
      </w:r>
      <w:r w:rsidR="00D70E26">
        <w:rPr>
          <w:rFonts w:ascii="Garamond" w:hAnsi="Garamond"/>
          <w:sz w:val="22"/>
          <w:szCs w:val="22"/>
        </w:rPr>
        <w:t xml:space="preserve"> given that all individuals in this </w:t>
      </w:r>
      <w:r w:rsidR="000F5F96">
        <w:rPr>
          <w:rFonts w:ascii="Garamond" w:hAnsi="Garamond"/>
          <w:sz w:val="22"/>
          <w:szCs w:val="22"/>
        </w:rPr>
        <w:t>subset</w:t>
      </w:r>
      <w:r w:rsidR="00D70E26">
        <w:rPr>
          <w:rFonts w:ascii="Garamond" w:hAnsi="Garamond"/>
          <w:sz w:val="22"/>
          <w:szCs w:val="22"/>
        </w:rPr>
        <w:t xml:space="preserve"> </w:t>
      </w:r>
      <w:r w:rsidRPr="00D53F6D">
        <w:rPr>
          <w:rFonts w:ascii="Garamond" w:hAnsi="Garamond"/>
          <w:sz w:val="22"/>
          <w:szCs w:val="22"/>
        </w:rPr>
        <w:t>share the same natal origin value</w:t>
      </w:r>
      <w:r w:rsidR="00D70E26">
        <w:rPr>
          <w:rFonts w:ascii="Garamond" w:hAnsi="Garamond"/>
          <w:sz w:val="22"/>
          <w:szCs w:val="22"/>
        </w:rPr>
        <w:t xml:space="preserve">. </w:t>
      </w:r>
    </w:p>
    <w:p w14:paraId="3BAA849F" w14:textId="77777777" w:rsidR="001566FD" w:rsidRDefault="001566FD" w:rsidP="001566FD">
      <w:pPr>
        <w:tabs>
          <w:tab w:val="left" w:pos="3088"/>
        </w:tabs>
        <w:rPr>
          <w:rFonts w:ascii="Garamond" w:hAnsi="Garamond"/>
          <w:b/>
          <w:bCs/>
          <w:sz w:val="22"/>
          <w:szCs w:val="22"/>
        </w:rPr>
      </w:pPr>
    </w:p>
    <w:p w14:paraId="6ED0A917" w14:textId="7EF5EDA3" w:rsidR="00517678" w:rsidRPr="001566FD" w:rsidRDefault="0038052F" w:rsidP="001566FD">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0891E68" w14:textId="2AFDF5AE" w:rsidR="0038052F" w:rsidRDefault="0038052F" w:rsidP="0038052F">
      <w:pPr>
        <w:spacing w:line="480" w:lineRule="auto"/>
        <w:ind w:firstLine="720"/>
        <w:rPr>
          <w:rFonts w:ascii="Garamond" w:hAnsi="Garamond"/>
          <w:sz w:val="22"/>
          <w:szCs w:val="22"/>
        </w:rPr>
      </w:pPr>
      <w:r>
        <w:rPr>
          <w:rFonts w:ascii="Garamond" w:hAnsi="Garamond"/>
          <w:sz w:val="22"/>
          <w:szCs w:val="22"/>
        </w:rPr>
        <w:t>Accuracy a</w:t>
      </w:r>
      <w:r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92.2%. The </w:t>
      </w:r>
      <w:r w:rsidRPr="00841F42">
        <w:rPr>
          <w:rFonts w:ascii="Garamond" w:hAnsi="Garamond"/>
          <w:sz w:val="22"/>
          <w:szCs w:val="22"/>
        </w:rPr>
        <w:t>accuracy and F1-score achieved by applying the random forest model to the GAM smoothed dataset and tested on the full testing set. Smoothed timeseries data outperformed the raw data in all cases, indicating that the noise in the raw data ma</w:t>
      </w:r>
      <w:r w:rsidR="00097484">
        <w:rPr>
          <w:rFonts w:ascii="Garamond" w:hAnsi="Garamond"/>
          <w:sz w:val="22"/>
          <w:szCs w:val="22"/>
        </w:rPr>
        <w:t>y have</w:t>
      </w:r>
      <w:r w:rsidRPr="00841F42">
        <w:rPr>
          <w:rFonts w:ascii="Garamond" w:hAnsi="Garamond"/>
          <w:sz w:val="22"/>
          <w:szCs w:val="22"/>
        </w:rPr>
        <w:t xml:space="preserve"> inhibited model </w:t>
      </w:r>
      <w:r>
        <w:rPr>
          <w:rFonts w:ascii="Garamond" w:hAnsi="Garamond"/>
          <w:sz w:val="22"/>
          <w:szCs w:val="22"/>
        </w:rPr>
        <w:t xml:space="preserve">performance by obscuring meaningful patterns in the data. Among model types KNN consistently preformed the lowest in both accuracy and F1-Score. </w:t>
      </w:r>
      <w:r w:rsidRPr="00841F42">
        <w:rPr>
          <w:rFonts w:ascii="Garamond" w:hAnsi="Garamond"/>
          <w:sz w:val="22"/>
          <w:szCs w:val="22"/>
        </w:rPr>
        <w:t>In general, RF analysis outperformed both KNN and SVM, however, SVM was the highest performer on Raw datasets (89.8% accuracy on total testing set and 87.0% on overlapping testing set)</w:t>
      </w:r>
      <w:r>
        <w:rPr>
          <w:rFonts w:ascii="Garamond" w:hAnsi="Garamond"/>
          <w:sz w:val="22"/>
          <w:szCs w:val="22"/>
        </w:rPr>
        <w:t xml:space="preserve">, which may have more dimensionality due to less autocorrelation among points. </w:t>
      </w:r>
      <w:r w:rsidRPr="00841F42">
        <w:rPr>
          <w:rFonts w:ascii="Garamond" w:hAnsi="Garamond"/>
          <w:sz w:val="22"/>
          <w:szCs w:val="22"/>
        </w:rPr>
        <w:t>Unsurprisingly, the overlapping training set performance was slightly lower than that of the total training set, with the highest classification accuracy of 90.</w:t>
      </w:r>
      <w:r>
        <w:rPr>
          <w:rFonts w:ascii="Garamond" w:hAnsi="Garamond"/>
          <w:sz w:val="22"/>
          <w:szCs w:val="22"/>
        </w:rPr>
        <w:t>9</w:t>
      </w:r>
      <w:r w:rsidRPr="00841F42">
        <w:rPr>
          <w:rFonts w:ascii="Garamond" w:hAnsi="Garamond"/>
          <w:sz w:val="22"/>
          <w:szCs w:val="22"/>
        </w:rPr>
        <w:t>% as compared to 92.</w:t>
      </w:r>
      <w:r>
        <w:rPr>
          <w:rFonts w:ascii="Garamond" w:hAnsi="Garamond"/>
          <w:sz w:val="22"/>
          <w:szCs w:val="22"/>
        </w:rPr>
        <w:t>2</w:t>
      </w:r>
      <w:r w:rsidRPr="00841F42">
        <w:rPr>
          <w:rFonts w:ascii="Garamond" w:hAnsi="Garamond"/>
          <w:sz w:val="22"/>
          <w:szCs w:val="22"/>
        </w:rPr>
        <w:t xml:space="preserve">%. </w:t>
      </w:r>
      <w:r>
        <w:rPr>
          <w:rFonts w:ascii="Garamond" w:hAnsi="Garamond"/>
          <w:sz w:val="22"/>
          <w:szCs w:val="22"/>
        </w:rPr>
        <w:t xml:space="preserve">These results are expected given the relatively straightforward discrimination of highly enriched Yukon samples which were removed in the overlapping comparison.  </w:t>
      </w:r>
    </w:p>
    <w:p w14:paraId="07605C5E" w14:textId="5554505A"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 xml:space="preserve">The best preforming model (RF, GAM-smoothed data) displayed some variation in overall accuracy among classes. On the Total testing set 92.0% of Kuskokwim, 91.4% of </w:t>
      </w:r>
      <w:proofErr w:type="spellStart"/>
      <w:r>
        <w:rPr>
          <w:rFonts w:ascii="Garamond" w:hAnsi="Garamond"/>
          <w:sz w:val="22"/>
          <w:szCs w:val="22"/>
        </w:rPr>
        <w:t>Nushagak</w:t>
      </w:r>
      <w:proofErr w:type="spellEnd"/>
      <w:r>
        <w:rPr>
          <w:rFonts w:ascii="Garamond" w:hAnsi="Garamond"/>
          <w:sz w:val="22"/>
          <w:szCs w:val="22"/>
        </w:rPr>
        <w:t xml:space="preserve">, and 93.7% of Yukon samples were correctly identified (Figure 3). By percentage of each class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estimated to have been Kuskokwim (8.6% of Kuskokwim fish) followed by the inverse (5.6% of </w:t>
      </w:r>
      <w:proofErr w:type="spellStart"/>
      <w:r>
        <w:rPr>
          <w:rFonts w:ascii="Garamond" w:hAnsi="Garamond"/>
          <w:sz w:val="22"/>
          <w:szCs w:val="22"/>
        </w:rPr>
        <w:t>Nushagak</w:t>
      </w:r>
      <w:proofErr w:type="spellEnd"/>
      <w:r>
        <w:rPr>
          <w:rFonts w:ascii="Garamond" w:hAnsi="Garamond"/>
          <w:sz w:val="22"/>
          <w:szCs w:val="22"/>
        </w:rPr>
        <w:t xml:space="preserve"> fish). Interestingly, after removing the easiest 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 xml:space="preserve">.7150), Yukon classification accuracy dropped to 86.8%. Classification accuracy for </w:t>
      </w:r>
      <w:proofErr w:type="spellStart"/>
      <w:r>
        <w:rPr>
          <w:rFonts w:ascii="Garamond" w:hAnsi="Garamond"/>
          <w:sz w:val="22"/>
          <w:szCs w:val="22"/>
        </w:rPr>
        <w:t>Nushagak</w:t>
      </w:r>
      <w:proofErr w:type="spellEnd"/>
      <w:r>
        <w:rPr>
          <w:rFonts w:ascii="Garamond" w:hAnsi="Garamond"/>
          <w:sz w:val="22"/>
          <w:szCs w:val="22"/>
        </w:rPr>
        <w:t xml:space="preserve"> fish did not change (91.4%) whereas Kuskokwim saw a slight increase to 92.5%. In this testing set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w:t>
      </w:r>
      <w:r>
        <w:rPr>
          <w:rFonts w:ascii="Garamond" w:hAnsi="Garamond"/>
          <w:sz w:val="22"/>
          <w:szCs w:val="22"/>
        </w:rPr>
        <w:lastRenderedPageBreak/>
        <w:t xml:space="preserve">represented only one additional individual misclassified (9 in the total analysis vs 8 in the overlapping analysis). </w:t>
      </w:r>
      <w:r w:rsidR="00363DDE">
        <w:rPr>
          <w:rFonts w:ascii="Garamond" w:hAnsi="Garamond"/>
          <w:sz w:val="22"/>
          <w:szCs w:val="22"/>
        </w:rPr>
        <w:t xml:space="preserve">Classification accuracy within the CWAK reporting group, which includes the Kuskokwim, </w:t>
      </w:r>
      <w:proofErr w:type="spellStart"/>
      <w:r w:rsidR="00363DDE">
        <w:rPr>
          <w:rFonts w:ascii="Garamond" w:hAnsi="Garamond"/>
          <w:sz w:val="22"/>
          <w:szCs w:val="22"/>
        </w:rPr>
        <w:t>Nushagak</w:t>
      </w:r>
      <w:proofErr w:type="spellEnd"/>
      <w:r w:rsidR="00363DDE">
        <w:rPr>
          <w:rFonts w:ascii="Garamond" w:hAnsi="Garamond"/>
          <w:sz w:val="22"/>
          <w:szCs w:val="22"/>
        </w:rPr>
        <w:t xml:space="preserve">,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Default="00D53F6D" w:rsidP="003E5607">
      <w:pPr>
        <w:tabs>
          <w:tab w:val="left" w:pos="3088"/>
        </w:tabs>
        <w:rPr>
          <w:rFonts w:ascii="Garamond" w:hAnsi="Garamond"/>
          <w:b/>
          <w:bCs/>
        </w:rPr>
      </w:pPr>
    </w:p>
    <w:p w14:paraId="689794F5" w14:textId="50A747CA" w:rsidR="00D53F6D"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probability tuning 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reliability diagrams confirmed improved alignment between predicted and observed probabilities following calibration. </w:t>
      </w:r>
    </w:p>
    <w:p w14:paraId="17923CE8" w14:textId="7E98661F" w:rsidR="00C51A58" w:rsidRPr="00C51A58" w:rsidRDefault="00C51A58" w:rsidP="00C51A58">
      <w:pPr>
        <w:pStyle w:val="NoSpacing"/>
        <w:spacing w:line="480" w:lineRule="auto"/>
        <w:ind w:firstLine="720"/>
        <w:rPr>
          <w:rFonts w:ascii="Garamond" w:hAnsi="Garamond"/>
          <w:b/>
          <w:bCs/>
          <w:sz w:val="22"/>
          <w:szCs w:val="22"/>
        </w:rPr>
      </w:pPr>
      <w:commentRangeStart w:id="9"/>
      <w:r>
        <w:rPr>
          <w:rFonts w:ascii="Garamond" w:hAnsi="Garamond"/>
          <w:sz w:val="22"/>
          <w:szCs w:val="22"/>
        </w:rPr>
        <w:t>Across the range of tested thresholds, overall accuracy ranged from 91 – 79% for the total testing set and from 89.5% to 78% for the overlapping dataset</w:t>
      </w:r>
      <w:commentRangeEnd w:id="9"/>
      <w:r w:rsidR="00E84B9A">
        <w:rPr>
          <w:rStyle w:val="CommentReference"/>
        </w:rPr>
        <w:commentReference w:id="9"/>
      </w:r>
      <w:r w:rsidR="00097484">
        <w:rPr>
          <w:rFonts w:ascii="Garamond" w:hAnsi="Garamond"/>
          <w:sz w:val="22"/>
          <w:szCs w:val="22"/>
        </w:rPr>
        <w:t xml:space="preserve"> before calibration</w:t>
      </w:r>
      <w:r>
        <w:rPr>
          <w:rFonts w:ascii="Garamond" w:hAnsi="Garamond"/>
          <w:sz w:val="22"/>
          <w:szCs w:val="22"/>
        </w:rPr>
        <w:t xml:space="preserve">. In the total dataset, Yukon classification accuracy remained well above 90%, even at the very high (&gt;90%) confidence threshold. </w:t>
      </w:r>
      <w:proofErr w:type="spellStart"/>
      <w:r>
        <w:rPr>
          <w:rFonts w:ascii="Garamond" w:hAnsi="Garamond"/>
          <w:sz w:val="22"/>
          <w:szCs w:val="22"/>
        </w:rPr>
        <w:t>Nushagak</w:t>
      </w:r>
      <w:proofErr w:type="spellEnd"/>
      <w:r>
        <w:rPr>
          <w:rFonts w:ascii="Garamond" w:hAnsi="Garamond"/>
          <w:sz w:val="22"/>
          <w:szCs w:val="22"/>
        </w:rPr>
        <w:t xml:space="preserve"> and Kuskokwim, however, fell steadily as the threshold was raised. Kuskokwim classification accuracy dropped steadily from 87% to 71% whereas </w:t>
      </w:r>
      <w:proofErr w:type="spellStart"/>
      <w:r>
        <w:rPr>
          <w:rFonts w:ascii="Garamond" w:hAnsi="Garamond"/>
          <w:sz w:val="22"/>
          <w:szCs w:val="22"/>
        </w:rPr>
        <w:t>Nushagak</w:t>
      </w:r>
      <w:proofErr w:type="spellEnd"/>
      <w:r>
        <w:rPr>
          <w:rFonts w:ascii="Garamond" w:hAnsi="Garamond"/>
          <w:sz w:val="22"/>
          <w:szCs w:val="22"/>
        </w:rPr>
        <w:t xml:space="preserve"> accuracy declined more quickly at higher probability thresholds from 92% to 75%. The overlapping dataset contained slightly different trends, with Yukon accuracy remaining relatively stable between 89% and 83% over the full range of threshold values. In this testing set </w:t>
      </w:r>
      <w:proofErr w:type="spellStart"/>
      <w:r>
        <w:rPr>
          <w:rFonts w:ascii="Garamond" w:hAnsi="Garamond"/>
          <w:sz w:val="22"/>
          <w:szCs w:val="22"/>
        </w:rPr>
        <w:t>Nushagak</w:t>
      </w:r>
      <w:proofErr w:type="spellEnd"/>
      <w:r>
        <w:rPr>
          <w:rFonts w:ascii="Garamond" w:hAnsi="Garamond"/>
          <w:sz w:val="22"/>
          <w:szCs w:val="22"/>
        </w:rPr>
        <w:t xml:space="preserve"> accuracy dropped steadily from 91% to 84%,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2D6789A1" w14:textId="7033E7DA"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425D0685" w:rsidR="00733CEF" w:rsidRDefault="00523B37" w:rsidP="00733CEF">
      <w:pPr>
        <w:spacing w:line="480" w:lineRule="auto"/>
        <w:ind w:firstLine="720"/>
        <w:rPr>
          <w:rFonts w:ascii="Garamond" w:hAnsi="Garamond"/>
          <w:sz w:val="22"/>
          <w:szCs w:val="22"/>
        </w:rPr>
      </w:pPr>
      <w:r w:rsidRPr="00523B37">
        <w:rPr>
          <w:rFonts w:ascii="Garamond" w:hAnsi="Garamond"/>
          <w:sz w:val="22"/>
          <w:szCs w:val="22"/>
        </w:rPr>
        <w:t>Machine learning tools applied to otolith laser ablation timeseries data proved highly effective for classifying Western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machine learning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64756C" w:rsidRPr="0064756C">
        <w:rPr>
          <w:rFonts w:ascii="Garamond" w:hAnsi="Garamond"/>
          <w:sz w:val="22"/>
          <w:szCs w:val="22"/>
        </w:rPr>
        <w:t xml:space="preserve">Datasets preprocessed with timeseries smoothing techniques significantly outperformed raw laser ablation data. </w:t>
      </w:r>
      <w:commentRangeStart w:id="10"/>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timeseries analysis</w:t>
      </w:r>
      <w:r w:rsidR="00733CEF">
        <w:rPr>
          <w:rFonts w:ascii="Garamond" w:hAnsi="Garamond"/>
          <w:sz w:val="22"/>
          <w:szCs w:val="22"/>
        </w:rPr>
        <w:t xml:space="preserve"> techniques to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w:t>
      </w:r>
      <w:proofErr w:type="gramStart"/>
      <w:r w:rsidR="00733CEF">
        <w:rPr>
          <w:rFonts w:ascii="Garamond" w:hAnsi="Garamond"/>
          <w:sz w:val="22"/>
          <w:szCs w:val="22"/>
        </w:rPr>
        <w:t xml:space="preserve">through the </w:t>
      </w:r>
      <w:r w:rsidR="00097484">
        <w:rPr>
          <w:rFonts w:ascii="Garamond" w:hAnsi="Garamond"/>
          <w:sz w:val="22"/>
          <w:szCs w:val="22"/>
        </w:rPr>
        <w:t>use of</w:t>
      </w:r>
      <w:proofErr w:type="gramEnd"/>
      <w:r w:rsidR="00097484">
        <w:rPr>
          <w:rFonts w:ascii="Garamond" w:hAnsi="Garamond"/>
          <w:sz w:val="22"/>
          <w:szCs w:val="22"/>
        </w:rPr>
        <w:t xml:space="preserve"> additional </w:t>
      </w:r>
      <w:r w:rsidR="00733CEF">
        <w:rPr>
          <w:rFonts w:ascii="Garamond" w:hAnsi="Garamond"/>
          <w:sz w:val="22"/>
          <w:szCs w:val="22"/>
        </w:rPr>
        <w:t xml:space="preserve">timeseries analysis techniques. </w:t>
      </w:r>
      <w:commentRangeEnd w:id="10"/>
      <w:r w:rsidR="00E84B9A">
        <w:rPr>
          <w:rStyle w:val="CommentReference"/>
        </w:rPr>
        <w:commentReference w:id="10"/>
      </w:r>
    </w:p>
    <w:p w14:paraId="7768580F" w14:textId="70C4DB1E" w:rsidR="002D29B3" w:rsidRPr="003C5C0F" w:rsidRDefault="00733CEF" w:rsidP="00733CEF">
      <w:pPr>
        <w:spacing w:line="480" w:lineRule="auto"/>
        <w:ind w:firstLine="720"/>
        <w:rPr>
          <w:rFonts w:ascii="Garamond" w:hAnsi="Garamond"/>
          <w:sz w:val="22"/>
          <w:szCs w:val="22"/>
        </w:rPr>
      </w:pPr>
      <w:r>
        <w:rPr>
          <w:rFonts w:ascii="Garamond" w:hAnsi="Garamond"/>
          <w:sz w:val="22"/>
          <w:szCs w:val="22"/>
        </w:rPr>
        <w:t xml:space="preserve">Among our best model, </w:t>
      </w:r>
      <w:r w:rsidR="00BE529C" w:rsidRPr="0073705F">
        <w:rPr>
          <w:rFonts w:ascii="Garamond" w:hAnsi="Garamond"/>
          <w:sz w:val="22"/>
          <w:szCs w:val="22"/>
        </w:rPr>
        <w:t xml:space="preserve">watershed-specific </w:t>
      </w:r>
      <w:r>
        <w:rPr>
          <w:rFonts w:ascii="Garamond" w:hAnsi="Garamond"/>
          <w:sz w:val="22"/>
          <w:szCs w:val="22"/>
        </w:rPr>
        <w:t xml:space="preserve">classification </w:t>
      </w:r>
      <w:r w:rsidR="00BE529C" w:rsidRPr="0073705F">
        <w:rPr>
          <w:rFonts w:ascii="Garamond" w:hAnsi="Garamond"/>
          <w:sz w:val="22"/>
          <w:szCs w:val="22"/>
        </w:rPr>
        <w:t xml:space="preserve">accuracies exceeding 90% for all three watersheds when tested against the full </w:t>
      </w:r>
      <w:r>
        <w:rPr>
          <w:rFonts w:ascii="Garamond" w:hAnsi="Garamond"/>
          <w:sz w:val="22"/>
          <w:szCs w:val="22"/>
        </w:rPr>
        <w:t>testing set</w:t>
      </w:r>
      <w:r w:rsidR="00BE529C" w:rsidRPr="0073705F">
        <w:rPr>
          <w:rFonts w:ascii="Garamond" w:hAnsi="Garamond"/>
          <w:sz w:val="22"/>
          <w:szCs w:val="22"/>
        </w:rPr>
        <w:t xml:space="preserve">. Most misclassifications occurred between </w:t>
      </w:r>
      <w:proofErr w:type="spellStart"/>
      <w:r w:rsidR="00BE529C" w:rsidRPr="0073705F">
        <w:rPr>
          <w:rFonts w:ascii="Garamond" w:hAnsi="Garamond"/>
          <w:sz w:val="22"/>
          <w:szCs w:val="22"/>
        </w:rPr>
        <w:t>Nushagak</w:t>
      </w:r>
      <w:proofErr w:type="spellEnd"/>
      <w:r w:rsidR="00BE529C" w:rsidRPr="0073705F">
        <w:rPr>
          <w:rFonts w:ascii="Garamond" w:hAnsi="Garamond"/>
          <w:sz w:val="22"/>
          <w:szCs w:val="22"/>
        </w:rPr>
        <w:t xml:space="preserve"> and Kuskokwim fish, consistent with expectations given the greater overlap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t>
      </w:r>
      <w:r w:rsidR="00BE529C" w:rsidRPr="0073705F">
        <w:rPr>
          <w:rFonts w:ascii="Garamond" w:hAnsi="Garamond"/>
          <w:sz w:val="22"/>
          <w:szCs w:val="22"/>
        </w:rPr>
        <w:t xml:space="preserve">values and closer spatial proximity between these watersheds. In contrast, Yukon fish exhibited </w:t>
      </w:r>
      <w:r w:rsidR="00097484">
        <w:rPr>
          <w:rFonts w:ascii="Garamond" w:hAnsi="Garamond"/>
          <w:sz w:val="22"/>
          <w:szCs w:val="22"/>
        </w:rPr>
        <w:t xml:space="preserve">unique </w:t>
      </w:r>
      <w:r w:rsidR="00BE529C" w:rsidRPr="0073705F">
        <w:rPr>
          <w:rFonts w:ascii="Garamond" w:hAnsi="Garamond"/>
          <w:sz w:val="22"/>
          <w:szCs w:val="22"/>
        </w:rPr>
        <w:t>patterns</w:t>
      </w:r>
      <w:r w:rsidR="00097484">
        <w:rPr>
          <w:rFonts w:ascii="Garamond" w:hAnsi="Garamond"/>
          <w:sz w:val="22"/>
          <w:szCs w:val="22"/>
        </w:rPr>
        <w:t xml:space="preserve"> in otolith LA data</w:t>
      </w:r>
      <w:r w:rsidR="00BE529C" w:rsidRPr="0073705F">
        <w:rPr>
          <w:rFonts w:ascii="Garamond" w:hAnsi="Garamond"/>
          <w:sz w:val="22"/>
          <w:szCs w:val="22"/>
        </w:rPr>
        <w:t xml:space="preserve"> due to the watershed's extreme spatial scale, broader range of isotope values, and extended migration timing</w:t>
      </w:r>
      <w:r>
        <w:rPr>
          <w:rFonts w:ascii="Garamond" w:hAnsi="Garamond"/>
          <w:sz w:val="22"/>
          <w:szCs w:val="22"/>
        </w:rPr>
        <w:t>. This likely resulted in otolith timeseries which were distinct compared to the other watersheds either because of natal origin values</w:t>
      </w:r>
      <w:r w:rsidR="00097484">
        <w:rPr>
          <w:rFonts w:ascii="Garamond" w:hAnsi="Garamond"/>
          <w:sz w:val="22"/>
          <w:szCs w:val="22"/>
        </w:rPr>
        <w:t xml:space="preserve"> only found in the Yukon (</w:t>
      </w:r>
      <w:r w:rsidR="00097484" w:rsidRPr="00CA63D8">
        <w:rPr>
          <w:rFonts w:ascii="Cambria Math" w:hAnsi="Cambria Math" w:cs="Cambria Math"/>
          <w:sz w:val="22"/>
          <w:szCs w:val="22"/>
        </w:rPr>
        <w:t>⁸⁷</w:t>
      </w:r>
      <w:r w:rsidR="00097484" w:rsidRPr="00CA63D8">
        <w:rPr>
          <w:rFonts w:ascii="Garamond" w:hAnsi="Garamond"/>
          <w:sz w:val="22"/>
          <w:szCs w:val="22"/>
        </w:rPr>
        <w:t>Sr/</w:t>
      </w:r>
      <w:r w:rsidR="00097484" w:rsidRPr="00CA63D8">
        <w:rPr>
          <w:rFonts w:ascii="Cambria Math" w:hAnsi="Cambria Math" w:cs="Cambria Math"/>
          <w:sz w:val="22"/>
          <w:szCs w:val="22"/>
        </w:rPr>
        <w:t>⁸⁶</w:t>
      </w:r>
      <w:r w:rsidR="00097484" w:rsidRPr="00CA63D8">
        <w:rPr>
          <w:rFonts w:ascii="Garamond" w:hAnsi="Garamond"/>
          <w:sz w:val="22"/>
          <w:szCs w:val="22"/>
        </w:rPr>
        <w:t>Sr</w:t>
      </w:r>
      <w:r w:rsidR="00097484">
        <w:rPr>
          <w:rFonts w:ascii="Garamond" w:hAnsi="Garamond"/>
          <w:sz w:val="22"/>
          <w:szCs w:val="22"/>
        </w:rPr>
        <w:t xml:space="preserve"> &gt; 0.715)</w:t>
      </w:r>
      <w:r>
        <w:rPr>
          <w:rFonts w:ascii="Garamond" w:hAnsi="Garamond"/>
          <w:sz w:val="22"/>
          <w:szCs w:val="22"/>
        </w:rPr>
        <w:t xml:space="preserve"> or prominent features </w:t>
      </w:r>
      <w:r w:rsidR="00097484">
        <w:rPr>
          <w:rFonts w:ascii="Garamond" w:hAnsi="Garamond"/>
          <w:sz w:val="22"/>
          <w:szCs w:val="22"/>
        </w:rPr>
        <w:t xml:space="preserve">resulting from a longer </w:t>
      </w:r>
      <w:r>
        <w:rPr>
          <w:rFonts w:ascii="Garamond" w:hAnsi="Garamond"/>
          <w:sz w:val="22"/>
          <w:szCs w:val="22"/>
        </w:rPr>
        <w:t>migration through the enriched mainstem tributary (</w:t>
      </w:r>
      <w:proofErr w:type="spellStart"/>
      <w:r>
        <w:rPr>
          <w:rFonts w:ascii="Garamond" w:hAnsi="Garamond"/>
          <w:sz w:val="22"/>
          <w:szCs w:val="22"/>
        </w:rPr>
        <w:t>i.e</w:t>
      </w:r>
      <w:proofErr w:type="spellEnd"/>
      <w:r>
        <w:rPr>
          <w:rFonts w:ascii="Garamond" w:hAnsi="Garamond"/>
          <w:sz w:val="22"/>
          <w:szCs w:val="22"/>
        </w:rPr>
        <w:t xml:space="preserve"> Figure 5b, column 3). </w:t>
      </w:r>
      <w:r w:rsidR="0073705F" w:rsidRPr="0073705F">
        <w:rPr>
          <w:rFonts w:ascii="Garamond" w:hAnsi="Garamond"/>
          <w:sz w:val="22"/>
          <w:szCs w:val="22"/>
        </w:rPr>
        <w:t xml:space="preserve">Yukon classification accuracy dropped substantially in the "overlap" testing set (86.86% vs. 93.7% in the total testing set), despite similar numbers of misidentified individuals. </w:t>
      </w:r>
      <w:r>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Pr>
          <w:rFonts w:ascii="Garamond" w:hAnsi="Garamond"/>
          <w:sz w:val="22"/>
          <w:szCs w:val="22"/>
        </w:rPr>
        <w:t>, which is further supported by</w:t>
      </w:r>
      <w:r w:rsidR="009A271F">
        <w:rPr>
          <w:rFonts w:ascii="Garamond" w:hAnsi="Garamond"/>
          <w:sz w:val="22"/>
          <w:szCs w:val="22"/>
        </w:rPr>
        <w:t xml:space="preserve"> </w:t>
      </w:r>
      <w:r w:rsidR="0073705F" w:rsidRPr="0073705F">
        <w:rPr>
          <w:rFonts w:ascii="Garamond" w:hAnsi="Garamond"/>
          <w:sz w:val="22"/>
          <w:szCs w:val="22"/>
        </w:rPr>
        <w:t>higher misclassification rates among CWAK individuals compared to those from the middle and upper Yukon regions</w:t>
      </w:r>
      <w:r>
        <w:rPr>
          <w:rFonts w:ascii="Garamond" w:hAnsi="Garamond"/>
          <w:sz w:val="22"/>
          <w:szCs w:val="22"/>
        </w:rPr>
        <w:t xml:space="preserve">. </w:t>
      </w:r>
      <w:r w:rsidR="003C5C0F" w:rsidRPr="003C5C0F">
        <w:rPr>
          <w:rFonts w:ascii="Garamond" w:hAnsi="Garamond"/>
          <w:sz w:val="22"/>
          <w:szCs w:val="22"/>
        </w:rPr>
        <w:t>The</w:t>
      </w:r>
      <w:r>
        <w:rPr>
          <w:rFonts w:ascii="Garamond" w:hAnsi="Garamond"/>
          <w:sz w:val="22"/>
          <w:szCs w:val="22"/>
        </w:rPr>
        <w:t xml:space="preserve">se </w:t>
      </w:r>
      <w:r w:rsidR="003C5C0F" w:rsidRPr="003C5C0F">
        <w:rPr>
          <w:rFonts w:ascii="Garamond" w:hAnsi="Garamond"/>
          <w:sz w:val="22"/>
          <w:szCs w:val="22"/>
        </w:rPr>
        <w:t xml:space="preserve">challenges </w:t>
      </w:r>
      <w:r>
        <w:rPr>
          <w:rFonts w:ascii="Garamond" w:hAnsi="Garamond"/>
          <w:sz w:val="22"/>
          <w:szCs w:val="22"/>
        </w:rPr>
        <w:t xml:space="preserve">likely stem </w:t>
      </w:r>
      <w:r w:rsidR="003C5C0F" w:rsidRPr="003C5C0F">
        <w:rPr>
          <w:rFonts w:ascii="Garamond" w:hAnsi="Garamond"/>
          <w:sz w:val="22"/>
          <w:szCs w:val="22"/>
        </w:rPr>
        <w:t xml:space="preserve">from shorter migration </w:t>
      </w:r>
      <w:r w:rsidR="003C5C0F" w:rsidRPr="003C5C0F">
        <w:rPr>
          <w:rFonts w:ascii="Garamond" w:hAnsi="Garamond"/>
          <w:sz w:val="22"/>
          <w:szCs w:val="22"/>
        </w:rPr>
        <w:lastRenderedPageBreak/>
        <w:t>patterns that include less residence time in the mainstem Yukon River</w:t>
      </w:r>
      <w:r>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Pr>
          <w:rFonts w:ascii="Garamond" w:hAnsi="Garamond"/>
          <w:sz w:val="22"/>
          <w:szCs w:val="22"/>
        </w:rPr>
        <w:t xml:space="preserve">. Without this distinguishing feature, CWAK individuals from the Yukon (i.e. Figure 5b, column 4) are more likely to be misclassified with Kuskokwim or </w:t>
      </w:r>
      <w:proofErr w:type="spellStart"/>
      <w:r>
        <w:rPr>
          <w:rFonts w:ascii="Garamond" w:hAnsi="Garamond"/>
          <w:sz w:val="22"/>
          <w:szCs w:val="22"/>
        </w:rPr>
        <w:t>Nushagak</w:t>
      </w:r>
      <w:proofErr w:type="spellEnd"/>
      <w:r>
        <w:rPr>
          <w:rFonts w:ascii="Garamond" w:hAnsi="Garamond"/>
          <w:sz w:val="22"/>
          <w:szCs w:val="22"/>
        </w:rPr>
        <w:t xml:space="preserve"> fish, resulting in lower overall accuracy. </w:t>
      </w:r>
      <w:r w:rsidR="00B753DE" w:rsidRPr="003C5C0F">
        <w:rPr>
          <w:rFonts w:ascii="Garamond" w:hAnsi="Garamond"/>
          <w:sz w:val="22"/>
          <w:szCs w:val="22"/>
        </w:rPr>
        <w:t xml:space="preserve">Still, </w:t>
      </w:r>
      <w:r>
        <w:rPr>
          <w:rFonts w:ascii="Garamond" w:hAnsi="Garamond"/>
          <w:sz w:val="22"/>
          <w:szCs w:val="22"/>
        </w:rPr>
        <w:t>PCA analysis suggests that other features in the timeseries may also</w:t>
      </w:r>
      <w:r w:rsidR="00B753DE" w:rsidRPr="003C5C0F">
        <w:rPr>
          <w:rFonts w:ascii="Garamond" w:hAnsi="Garamond"/>
          <w:sz w:val="22"/>
          <w:szCs w:val="22"/>
        </w:rPr>
        <w:t xml:space="preserve"> contribute to </w:t>
      </w:r>
      <w:r>
        <w:rPr>
          <w:rFonts w:ascii="Garamond" w:hAnsi="Garamond"/>
          <w:sz w:val="22"/>
          <w:szCs w:val="22"/>
        </w:rPr>
        <w:t xml:space="preserve">the ability to distinguish among watersheds (Figure 5). These small </w:t>
      </w:r>
      <w:r w:rsidR="00B753DE" w:rsidRPr="003C5C0F">
        <w:rPr>
          <w:rFonts w:ascii="Garamond" w:hAnsi="Garamond"/>
          <w:sz w:val="22"/>
          <w:szCs w:val="22"/>
        </w:rPr>
        <w:t xml:space="preserve">variations may become more readily apparent for classification </w:t>
      </w:r>
      <w:r>
        <w:rPr>
          <w:rFonts w:ascii="Garamond" w:hAnsi="Garamond"/>
          <w:sz w:val="22"/>
          <w:szCs w:val="22"/>
        </w:rPr>
        <w:t>when used alongside other</w:t>
      </w:r>
      <w:commentRangeStart w:id="11"/>
      <w:r>
        <w:rPr>
          <w:rFonts w:ascii="Garamond" w:hAnsi="Garamond"/>
          <w:sz w:val="22"/>
          <w:szCs w:val="22"/>
        </w:rPr>
        <w:t xml:space="preserve"> </w:t>
      </w:r>
      <w:r w:rsidR="00B753DE" w:rsidRPr="003C5C0F">
        <w:rPr>
          <w:rFonts w:ascii="Garamond" w:hAnsi="Garamond"/>
          <w:sz w:val="22"/>
          <w:szCs w:val="22"/>
        </w:rPr>
        <w:t>timeseries analysis techniques</w:t>
      </w:r>
      <w:commentRangeEnd w:id="11"/>
      <w:r w:rsidR="00E84B9A">
        <w:rPr>
          <w:rStyle w:val="CommentReference"/>
        </w:rPr>
        <w:commentReference w:id="11"/>
      </w:r>
      <w:r>
        <w:rPr>
          <w:rFonts w:ascii="Garamond" w:hAnsi="Garamond"/>
          <w:sz w:val="22"/>
          <w:szCs w:val="22"/>
        </w:rPr>
        <w:t xml:space="preserve"> or by increasing the sample size of Yukon CWAK individuals in the training set. </w:t>
      </w:r>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0DE4DA04" w14:textId="427317EF" w:rsidR="009A271F" w:rsidRPr="001566FD" w:rsidRDefault="00624A8A" w:rsidP="009A271F">
      <w:pPr>
        <w:spacing w:before="100" w:beforeAutospacing="1" w:after="100" w:afterAutospacing="1" w:line="240" w:lineRule="auto"/>
        <w:outlineLvl w:val="1"/>
        <w:rPr>
          <w:rFonts w:ascii="Garamond" w:eastAsia="Times New Roman" w:hAnsi="Garamond" w:cs="Times New Roman"/>
          <w:b/>
          <w:bCs/>
          <w:kern w:val="0"/>
          <w14:ligatures w14:val="none"/>
        </w:rPr>
      </w:pPr>
      <w:r w:rsidRPr="001566FD">
        <w:rPr>
          <w:rFonts w:ascii="Garamond" w:eastAsia="Times New Roman" w:hAnsi="Garamond" w:cs="Times New Roman"/>
          <w:b/>
          <w:bCs/>
          <w:kern w:val="0"/>
          <w14:ligatures w14:val="none"/>
        </w:rPr>
        <w:t>Implications for Stock Assessment and Management</w:t>
      </w:r>
    </w:p>
    <w:p w14:paraId="74B65E54" w14:textId="77777777" w:rsidR="00E2482E" w:rsidRPr="001566FD" w:rsidRDefault="00D27C7B" w:rsidP="00E2482E">
      <w:pPr>
        <w:pStyle w:val="whitespace-normal"/>
        <w:spacing w:line="480" w:lineRule="auto"/>
        <w:ind w:firstLine="720"/>
        <w:rPr>
          <w:rFonts w:ascii="Garamond" w:hAnsi="Garamond"/>
          <w:sz w:val="22"/>
          <w:szCs w:val="22"/>
        </w:rPr>
      </w:pPr>
      <w:r w:rsidRPr="001566FD">
        <w:rPr>
          <w:rFonts w:ascii="Garamond" w:hAnsi="Garamond"/>
          <w:sz w:val="22"/>
          <w:szCs w:val="22"/>
        </w:rPr>
        <w:t xml:space="preserve">A tool to estimate provenance of marine-caught Chinook salmon in Western Alaska has the potential to expand assessment </w:t>
      </w:r>
      <w:r w:rsidR="009B7B97" w:rsidRPr="001566FD">
        <w:rPr>
          <w:rFonts w:ascii="Garamond" w:hAnsi="Garamond"/>
          <w:sz w:val="22"/>
          <w:szCs w:val="22"/>
        </w:rPr>
        <w:t xml:space="preserve">of hypotheses of declining population health by allowing for an explicit assessment of marine mortality on stock specific health. </w:t>
      </w:r>
      <w:r w:rsidRPr="001566FD">
        <w:rPr>
          <w:rFonts w:ascii="Garamond" w:hAnsi="Garamond"/>
          <w:sz w:val="22"/>
          <w:szCs w:val="22"/>
        </w:rPr>
        <w:t xml:space="preserve">The </w:t>
      </w:r>
      <w:r w:rsidR="009A271F" w:rsidRPr="001566FD">
        <w:rPr>
          <w:rFonts w:ascii="Garamond" w:hAnsi="Garamond"/>
          <w:sz w:val="22"/>
          <w:szCs w:val="22"/>
        </w:rPr>
        <w:t xml:space="preserve">workflow </w:t>
      </w:r>
      <w:r w:rsidRPr="001566FD">
        <w:rPr>
          <w:rFonts w:ascii="Garamond" w:hAnsi="Garamond"/>
          <w:sz w:val="22"/>
          <w:szCs w:val="22"/>
        </w:rPr>
        <w:t xml:space="preserve">presented </w:t>
      </w:r>
      <w:r w:rsidR="009A271F" w:rsidRPr="001566FD">
        <w:rPr>
          <w:rFonts w:ascii="Garamond" w:hAnsi="Garamond"/>
          <w:sz w:val="22"/>
          <w:szCs w:val="22"/>
        </w:rPr>
        <w:t>illustrates an</w:t>
      </w:r>
      <w:r w:rsidRPr="001566FD">
        <w:rPr>
          <w:rFonts w:ascii="Garamond" w:hAnsi="Garamond"/>
          <w:sz w:val="22"/>
          <w:szCs w:val="22"/>
        </w:rPr>
        <w:t xml:space="preserve"> </w:t>
      </w:r>
      <w:r w:rsidR="009A271F" w:rsidRPr="001566FD">
        <w:rPr>
          <w:rFonts w:ascii="Garamond" w:hAnsi="Garamond"/>
          <w:sz w:val="22"/>
          <w:szCs w:val="22"/>
        </w:rPr>
        <w:t xml:space="preserve">approach </w:t>
      </w:r>
      <w:r w:rsidR="009B7B97" w:rsidRPr="001566FD">
        <w:rPr>
          <w:rFonts w:ascii="Garamond" w:hAnsi="Garamond"/>
          <w:sz w:val="22"/>
          <w:szCs w:val="22"/>
        </w:rPr>
        <w:t xml:space="preserve">that can be used alongside </w:t>
      </w:r>
      <w:r w:rsidRPr="001566FD">
        <w:rPr>
          <w:rFonts w:ascii="Garamond" w:hAnsi="Garamond"/>
          <w:sz w:val="22"/>
          <w:szCs w:val="22"/>
        </w:rPr>
        <w:t>otolith LA-ICPMS data</w:t>
      </w:r>
      <w:r w:rsidR="009A271F" w:rsidRPr="001566FD">
        <w:rPr>
          <w:rFonts w:ascii="Garamond" w:hAnsi="Garamond"/>
          <w:sz w:val="22"/>
          <w:szCs w:val="22"/>
        </w:rPr>
        <w:t xml:space="preserve"> to provide probabilistic estimates of provenance, and calibrated models presented here may be immediately useful for classifying adult Chinook salmon from western Alaska watershed. </w:t>
      </w:r>
      <w:r w:rsidR="009B7B97" w:rsidRPr="001566FD">
        <w:rPr>
          <w:rFonts w:ascii="Garamond" w:hAnsi="Garamond"/>
          <w:sz w:val="22"/>
          <w:szCs w:val="22"/>
        </w:rPr>
        <w:t>Because of the size of this dataset and the temporal scale of sampling efforts, we expect that th</w:t>
      </w:r>
      <w:r w:rsidR="009A271F" w:rsidRPr="001566FD">
        <w:rPr>
          <w:rFonts w:ascii="Garamond" w:hAnsi="Garamond"/>
          <w:sz w:val="22"/>
          <w:szCs w:val="22"/>
        </w:rPr>
        <w:t>e library of otolith data included in this model includes variability among years that will allow it to perform well on new data</w:t>
      </w:r>
      <w:r w:rsidR="00E2482E" w:rsidRPr="001566FD">
        <w:rPr>
          <w:rFonts w:ascii="Garamond" w:hAnsi="Garamond"/>
          <w:sz w:val="22"/>
          <w:szCs w:val="22"/>
        </w:rPr>
        <w:t>sets</w:t>
      </w:r>
      <w:r w:rsidR="009A271F" w:rsidRPr="001566FD">
        <w:rPr>
          <w:rFonts w:ascii="Garamond" w:hAnsi="Garamond"/>
          <w:sz w:val="22"/>
          <w:szCs w:val="22"/>
        </w:rPr>
        <w:t xml:space="preserve">. However, because we opted not to include a true validation set given sample-size constraints, there remains the potential that performance on a new year may be lower due to overfitting to our dataset. In addition, because these data include only the juvenile freshwater residence </w:t>
      </w:r>
      <w:r w:rsidR="00E2482E" w:rsidRPr="001566FD">
        <w:rPr>
          <w:rFonts w:ascii="Garamond" w:hAnsi="Garamond"/>
          <w:sz w:val="22"/>
          <w:szCs w:val="22"/>
        </w:rPr>
        <w:t xml:space="preserve">period, we expect that this model can be applied to juvenile chinook salmon expected to be from western Alaska watersheds. However, this assumption should be tested using known-origin individuals before large scale implementation. </w:t>
      </w:r>
    </w:p>
    <w:p w14:paraId="18270C1A" w14:textId="32B8C04F" w:rsidR="00E5472C" w:rsidRPr="001566FD" w:rsidRDefault="00E5472C" w:rsidP="00E2482E">
      <w:pPr>
        <w:pStyle w:val="whitespace-normal"/>
        <w:spacing w:line="480" w:lineRule="auto"/>
        <w:ind w:firstLine="720"/>
        <w:rPr>
          <w:rFonts w:ascii="Garamond" w:hAnsi="Garamond"/>
          <w:sz w:val="22"/>
          <w:szCs w:val="22"/>
        </w:rPr>
      </w:pPr>
      <w:r w:rsidRPr="001566FD">
        <w:rPr>
          <w:rFonts w:ascii="Garamond" w:hAnsi="Garamond"/>
          <w:sz w:val="22"/>
          <w:szCs w:val="22"/>
        </w:rPr>
        <w:t>In addition, the methods presented here provide quantifiable confidence values which can be directly used by managers to make decisions based on changing thresholds of misassignment risk, offering a practical framework for incorporating uncertainty into management decisions.</w:t>
      </w:r>
      <w:r w:rsidR="009B7B97" w:rsidRPr="001566FD">
        <w:rPr>
          <w:rFonts w:ascii="Garamond" w:hAnsi="Garamond"/>
          <w:sz w:val="22"/>
          <w:szCs w:val="22"/>
        </w:rPr>
        <w:t xml:space="preserve"> Even with extremely high confidence threshold values, our model achieved between ~70% and ~85% accuracy for all classes. The exception to this </w:t>
      </w:r>
      <w:r w:rsidR="009B7B97" w:rsidRPr="001566FD">
        <w:rPr>
          <w:rFonts w:ascii="Garamond" w:hAnsi="Garamond"/>
          <w:sz w:val="22"/>
          <w:szCs w:val="22"/>
        </w:rPr>
        <w:lastRenderedPageBreak/>
        <w:t xml:space="preserve">is the Yukon classification on the “Total” testing set, in which distinct </w:t>
      </w:r>
      <w:r w:rsidR="009B7B97" w:rsidRPr="001566FD">
        <w:rPr>
          <w:rFonts w:ascii="Cambria Math" w:hAnsi="Cambria Math" w:cs="Cambria Math"/>
          <w:sz w:val="22"/>
          <w:szCs w:val="22"/>
        </w:rPr>
        <w:t>⁸⁷</w:t>
      </w:r>
      <w:r w:rsidR="009B7B97" w:rsidRPr="001566FD">
        <w:rPr>
          <w:rFonts w:ascii="Garamond" w:hAnsi="Garamond"/>
          <w:sz w:val="22"/>
          <w:szCs w:val="22"/>
        </w:rPr>
        <w:t>Sr/</w:t>
      </w:r>
      <w:r w:rsidR="009B7B97" w:rsidRPr="001566FD">
        <w:rPr>
          <w:rFonts w:ascii="Cambria Math" w:hAnsi="Cambria Math" w:cs="Cambria Math"/>
          <w:sz w:val="22"/>
          <w:szCs w:val="22"/>
        </w:rPr>
        <w:t>⁸⁶</w:t>
      </w:r>
      <w:r w:rsidR="009B7B97" w:rsidRPr="001566FD">
        <w:rPr>
          <w:rFonts w:ascii="Garamond" w:hAnsi="Garamond"/>
          <w:sz w:val="22"/>
          <w:szCs w:val="22"/>
        </w:rPr>
        <w:t xml:space="preserve">Sr values in the Yukon buoy correct classification with extremely high confidence </w:t>
      </w:r>
      <w:commentRangeStart w:id="12"/>
      <w:r w:rsidR="009B7B97" w:rsidRPr="001566FD">
        <w:rPr>
          <w:rFonts w:ascii="Garamond" w:hAnsi="Garamond"/>
          <w:sz w:val="22"/>
          <w:szCs w:val="22"/>
        </w:rPr>
        <w:t>values</w:t>
      </w:r>
      <w:commentRangeEnd w:id="12"/>
      <w:r w:rsidR="00E84B9A" w:rsidRPr="001566FD">
        <w:rPr>
          <w:rStyle w:val="CommentReference"/>
          <w:rFonts w:ascii="Garamond" w:eastAsiaTheme="minorHAnsi" w:hAnsi="Garamond" w:cstheme="minorBidi"/>
          <w:kern w:val="2"/>
          <w:sz w:val="22"/>
          <w:szCs w:val="22"/>
          <w14:ligatures w14:val="standardContextual"/>
        </w:rPr>
        <w:commentReference w:id="12"/>
      </w:r>
      <w:r w:rsidR="009B7B97" w:rsidRPr="001566FD">
        <w:rPr>
          <w:rFonts w:ascii="Garamond" w:hAnsi="Garamond"/>
          <w:sz w:val="22"/>
          <w:szCs w:val="22"/>
        </w:rPr>
        <w:t xml:space="preserve">. </w:t>
      </w:r>
    </w:p>
    <w:p w14:paraId="75A7E217" w14:textId="01142C45" w:rsidR="00E5472C" w:rsidRPr="001566FD" w:rsidRDefault="0064576D" w:rsidP="0064576D">
      <w:pPr>
        <w:pStyle w:val="whitespace-normal"/>
        <w:spacing w:line="480" w:lineRule="auto"/>
        <w:ind w:firstLine="720"/>
        <w:rPr>
          <w:rFonts w:ascii="Garamond" w:hAnsi="Garamond"/>
          <w:sz w:val="22"/>
          <w:szCs w:val="22"/>
        </w:rPr>
      </w:pPr>
      <w:r w:rsidRPr="001566FD">
        <w:rPr>
          <w:rFonts w:ascii="Garamond" w:hAnsi="Garamond"/>
          <w:sz w:val="22"/>
          <w:szCs w:val="22"/>
        </w:rPr>
        <w:t>Although the methods presented here advance the ability to discriminate among rivers for Western Alaska Chinook salmon, they remain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broader application of these methods across species.</w:t>
      </w:r>
    </w:p>
    <w:p w14:paraId="7B48F9A1" w14:textId="1A7D39FA" w:rsidR="00985634" w:rsidRPr="001566FD" w:rsidRDefault="001566FD" w:rsidP="00E2482E">
      <w:pPr>
        <w:spacing w:before="100" w:beforeAutospacing="1" w:after="100" w:afterAutospacing="1" w:line="480" w:lineRule="auto"/>
        <w:ind w:firstLine="720"/>
        <w:outlineLvl w:val="1"/>
        <w:rPr>
          <w:rFonts w:ascii="Garamond" w:hAnsi="Garamond"/>
          <w:sz w:val="22"/>
          <w:szCs w:val="22"/>
        </w:rPr>
      </w:pPr>
      <w:r w:rsidRPr="001566FD">
        <w:rPr>
          <w:rFonts w:ascii="Garamond" w:hAnsi="Garamond"/>
          <w:sz w:val="22"/>
          <w:szCs w:val="22"/>
        </w:rPr>
        <w:t xml:space="preserve">Machine learning methods provide </w:t>
      </w:r>
      <w:r w:rsidR="00D971E7" w:rsidRPr="001566FD">
        <w:rPr>
          <w:rFonts w:ascii="Garamond" w:hAnsi="Garamond"/>
          <w:sz w:val="22"/>
          <w:szCs w:val="22"/>
        </w:rPr>
        <w:t xml:space="preserve">an opportunity to uncover new insights in ecological datasets that may be critical for management or conservation efforts. In this case, enabling river-basin scale determination of provenance for marine-caught Chinook salmon allows managers to connect region-wide salmon population patterns with river-specific population health. In doing so, researchers may better understand how ecosystem processes at several spatial scales and across ecosystems are interconnected to informing overall ecosystem health. </w:t>
      </w:r>
      <w:r w:rsidR="00FB68F4" w:rsidRPr="001566FD">
        <w:rPr>
          <w:rFonts w:ascii="Garamond" w:hAnsi="Garamond"/>
          <w:sz w:val="22"/>
          <w:szCs w:val="22"/>
        </w:rPr>
        <w:t>Developing this knowledge of ecosystem function across scales is essential for informing management and conservation strategies that sustain the services provided by healthy, functioning ecosystems</w:t>
      </w:r>
      <w:r w:rsidR="00E2482E" w:rsidRPr="001566FD">
        <w:rPr>
          <w:rFonts w:ascii="Garamond" w:hAnsi="Garamond"/>
          <w:sz w:val="22"/>
          <w:szCs w:val="22"/>
        </w:rPr>
        <w:t xml:space="preserve">. </w:t>
      </w:r>
    </w:p>
    <w:sectPr w:rsidR="00985634" w:rsidRPr="001566F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77777777"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Benjamin J. Makhlouf" w:date="2025-08-18T11:18:00Z" w:initials="b">
    <w:p w14:paraId="51CBD6D1" w14:textId="09ADC913" w:rsidR="002A47CE" w:rsidRDefault="002A47CE" w:rsidP="002A47CE">
      <w:r>
        <w:rPr>
          <w:rStyle w:val="CommentReference"/>
        </w:rPr>
        <w:annotationRef/>
      </w:r>
      <w:r>
        <w:rPr>
          <w:sz w:val="20"/>
          <w:szCs w:val="20"/>
        </w:rPr>
        <w:t>Note to self: Ask diego for the specifications for all years</w:t>
      </w:r>
    </w:p>
  </w:comment>
  <w:comment w:id="2" w:author="Benjamin J. Makhlouf" w:date="2025-09-30T09:11:00Z" w:initials="b">
    <w:p w14:paraId="03EE4563" w14:textId="77777777" w:rsidR="00097484" w:rsidRDefault="00097484" w:rsidP="00097484">
      <w:r>
        <w:rPr>
          <w:rStyle w:val="CommentReference"/>
        </w:rPr>
        <w:annotationRef/>
      </w:r>
      <w:r>
        <w:rPr>
          <w:sz w:val="20"/>
          <w:szCs w:val="20"/>
        </w:rPr>
        <w:t>Cite Tidymodels</w:t>
      </w:r>
    </w:p>
  </w:comment>
  <w:comment w:id="3" w:author="Valentina M. Staneva" w:date="2025-09-27T17:02:00Z" w:initials="VMS">
    <w:p w14:paraId="06C0E272" w14:textId="625EB2A4" w:rsidR="00E84B9A" w:rsidRDefault="00E84B9A" w:rsidP="00E84B9A">
      <w:r>
        <w:rPr>
          <w:rStyle w:val="CommentReference"/>
        </w:rPr>
        <w:annotationRef/>
      </w:r>
      <w:r>
        <w:rPr>
          <w:sz w:val="20"/>
          <w:szCs w:val="20"/>
        </w:rPr>
        <w:t>specify from which library otherwise it might not mean anything to people.</w:t>
      </w:r>
    </w:p>
  </w:comment>
  <w:comment w:id="4"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5" w:author="Valentina M. Staneva" w:date="2025-09-29T08:12:00Z" w:initials="VMS">
    <w:p w14:paraId="3471AB53" w14:textId="77777777" w:rsidR="00E84B9A" w:rsidRDefault="00E84B9A" w:rsidP="00E84B9A">
      <w:r>
        <w:rPr>
          <w:rStyle w:val="CommentReference"/>
        </w:rPr>
        <w:annotationRef/>
      </w:r>
      <w:r>
        <w:rPr>
          <w:sz w:val="20"/>
          <w:szCs w:val="20"/>
        </w:rPr>
        <w:t>could add that: "Although they may provide sufficient class ranking, ..."</w:t>
      </w:r>
    </w:p>
  </w:comment>
  <w:comment w:id="6" w:author="Valentina M. Staneva" w:date="2025-09-29T08:43:00Z" w:initials="VMS">
    <w:p w14:paraId="148A0BEE" w14:textId="77777777"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7"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8" w:author="Benjamin J. Makhlouf" w:date="2025-09-06T17:57:00Z" w:initials="b">
    <w:p w14:paraId="7EA423C7" w14:textId="600C47BF" w:rsidR="000F5F96" w:rsidRDefault="000F5F96" w:rsidP="000F5F96">
      <w:r>
        <w:rPr>
          <w:rStyle w:val="CommentReference"/>
        </w:rPr>
        <w:annotationRef/>
      </w:r>
      <w:r>
        <w:rPr>
          <w:sz w:val="20"/>
          <w:szCs w:val="20"/>
        </w:rPr>
        <w:t xml:space="preserve">Thoughts on whether to just use an average, or show the range. </w:t>
      </w:r>
    </w:p>
  </w:comment>
  <w:comment w:id="9" w:author="Valentina M. Staneva" w:date="2025-09-29T10:51:00Z" w:initials="VMS">
    <w:p w14:paraId="00A06E06" w14:textId="77777777" w:rsidR="00E84B9A" w:rsidRDefault="00E84B9A" w:rsidP="00E84B9A">
      <w:r>
        <w:rPr>
          <w:rStyle w:val="CommentReference"/>
        </w:rPr>
        <w:annotationRef/>
      </w:r>
      <w:r>
        <w:rPr>
          <w:sz w:val="20"/>
          <w:szCs w:val="20"/>
        </w:rPr>
        <w:t>Is this after calibration?</w:t>
      </w:r>
    </w:p>
  </w:comment>
  <w:comment w:id="10"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 w:id="11" w:author="Valentina M. Staneva" w:date="2025-09-28T16:28:00Z" w:initials="VMS">
    <w:p w14:paraId="7D7AD7A5" w14:textId="77777777" w:rsidR="00E84B9A" w:rsidRDefault="00E84B9A" w:rsidP="00E84B9A">
      <w:r>
        <w:rPr>
          <w:rStyle w:val="CommentReference"/>
        </w:rPr>
        <w:annotationRef/>
      </w:r>
      <w:r>
        <w:rPr>
          <w:sz w:val="20"/>
          <w:szCs w:val="20"/>
        </w:rPr>
        <w:t>which?</w:t>
      </w:r>
    </w:p>
  </w:comment>
  <w:comment w:id="12" w:author="Valentina M. Staneva" w:date="2025-09-28T18:30:00Z" w:initials="VMS">
    <w:p w14:paraId="2B055E78" w14:textId="77777777" w:rsidR="00E84B9A" w:rsidRDefault="00E84B9A" w:rsidP="00E84B9A">
      <w:r>
        <w:rPr>
          <w:rStyle w:val="CommentReference"/>
        </w:rPr>
        <w:annotationRef/>
      </w:r>
      <w:r>
        <w:rPr>
          <w:sz w:val="20"/>
          <w:szCs w:val="20"/>
        </w:rPr>
        <w:t xml:space="preserve">Could add that the whole approach is rather general and can be implemented for other such data (other fish, other region).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0"/>
  <w15:commentEx w15:paraId="51CBD6D1" w15:done="0"/>
  <w15:commentEx w15:paraId="03EE4563" w15:done="0"/>
  <w15:commentEx w15:paraId="06C0E272" w15:done="1"/>
  <w15:commentEx w15:paraId="4E3434D0" w15:done="1"/>
  <w15:commentEx w15:paraId="3471AB53" w15:done="1"/>
  <w15:commentEx w15:paraId="148A0BEE" w15:done="0"/>
  <w15:commentEx w15:paraId="55BD51FF" w15:paraIdParent="148A0BEE" w15:done="0"/>
  <w15:commentEx w15:paraId="7EA423C7" w15:done="0"/>
  <w15:commentEx w15:paraId="00A06E06" w15:done="1"/>
  <w15:commentEx w15:paraId="31E84DFE" w15:done="1"/>
  <w15:commentEx w15:paraId="7D7AD7A5" w15:done="1"/>
  <w15:commentEx w15:paraId="2B055E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6197010A" w16cex:dateUtc="2025-08-18T18:18:00Z"/>
  <w16cex:commentExtensible w16cex:durableId="2C82FAB6" w16cex:dateUtc="2025-09-30T16:11:00Z"/>
  <w16cex:commentExtensible w16cex:durableId="777EB87E" w16cex:dateUtc="2025-09-28T00:02:00Z"/>
  <w16cex:commentExtensible w16cex:durableId="208C7FE7" w16cex:dateUtc="2025-09-02T16:56:00Z"/>
  <w16cex:commentExtensible w16cex:durableId="0E92A1BC" w16cex:dateUtc="2025-09-29T15:12:00Z"/>
  <w16cex:commentExtensible w16cex:durableId="0444BDF2" w16cex:dateUtc="2025-09-29T15:43:00Z"/>
  <w16cex:commentExtensible w16cex:durableId="1AE1AF2B" w16cex:dateUtc="2025-09-29T15:46:00Z"/>
  <w16cex:commentExtensible w16cex:durableId="7BF59F8C" w16cex:dateUtc="2025-09-07T00:57:00Z"/>
  <w16cex:commentExtensible w16cex:durableId="37956EA5" w16cex:dateUtc="2025-09-29T17:51:00Z"/>
  <w16cex:commentExtensible w16cex:durableId="7B5EF19A" w16cex:dateUtc="2025-09-28T23:25:00Z"/>
  <w16cex:commentExtensible w16cex:durableId="7C4DD3A0" w16cex:dateUtc="2025-09-28T23:28:00Z"/>
  <w16cex:commentExtensible w16cex:durableId="22307157" w16cex:dateUtc="2025-09-29T01: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51CBD6D1" w16cid:durableId="6197010A"/>
  <w16cid:commentId w16cid:paraId="03EE4563" w16cid:durableId="2C82FAB6"/>
  <w16cid:commentId w16cid:paraId="06C0E272" w16cid:durableId="777EB87E"/>
  <w16cid:commentId w16cid:paraId="4E3434D0" w16cid:durableId="208C7FE7"/>
  <w16cid:commentId w16cid:paraId="3471AB53" w16cid:durableId="0E92A1BC"/>
  <w16cid:commentId w16cid:paraId="148A0BEE" w16cid:durableId="0444BDF2"/>
  <w16cid:commentId w16cid:paraId="55BD51FF" w16cid:durableId="1AE1AF2B"/>
  <w16cid:commentId w16cid:paraId="7EA423C7" w16cid:durableId="7BF59F8C"/>
  <w16cid:commentId w16cid:paraId="00A06E06" w16cid:durableId="37956EA5"/>
  <w16cid:commentId w16cid:paraId="31E84DFE" w16cid:durableId="7B5EF19A"/>
  <w16cid:commentId w16cid:paraId="7D7AD7A5" w16cid:durableId="7C4DD3A0"/>
  <w16cid:commentId w16cid:paraId="2B055E78" w16cid:durableId="223071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AFA"/>
    <w:rsid w:val="00014197"/>
    <w:rsid w:val="000318EA"/>
    <w:rsid w:val="000326A8"/>
    <w:rsid w:val="00043ACE"/>
    <w:rsid w:val="00043EBC"/>
    <w:rsid w:val="0004735B"/>
    <w:rsid w:val="00052F65"/>
    <w:rsid w:val="00070CB1"/>
    <w:rsid w:val="00071CCC"/>
    <w:rsid w:val="00083149"/>
    <w:rsid w:val="000869FF"/>
    <w:rsid w:val="00091070"/>
    <w:rsid w:val="000941AF"/>
    <w:rsid w:val="00096BA7"/>
    <w:rsid w:val="00096C3C"/>
    <w:rsid w:val="00097484"/>
    <w:rsid w:val="000C2944"/>
    <w:rsid w:val="000D1B34"/>
    <w:rsid w:val="000F0779"/>
    <w:rsid w:val="000F4EE0"/>
    <w:rsid w:val="000F4F29"/>
    <w:rsid w:val="000F5F96"/>
    <w:rsid w:val="0010010D"/>
    <w:rsid w:val="00103E0E"/>
    <w:rsid w:val="00112ED8"/>
    <w:rsid w:val="00135A3B"/>
    <w:rsid w:val="00154136"/>
    <w:rsid w:val="001566FD"/>
    <w:rsid w:val="001844EB"/>
    <w:rsid w:val="00186DE9"/>
    <w:rsid w:val="001D0BCE"/>
    <w:rsid w:val="001D222B"/>
    <w:rsid w:val="001D6A79"/>
    <w:rsid w:val="001E36C2"/>
    <w:rsid w:val="001F7701"/>
    <w:rsid w:val="00201BCD"/>
    <w:rsid w:val="00202BA8"/>
    <w:rsid w:val="00215662"/>
    <w:rsid w:val="00220A2A"/>
    <w:rsid w:val="00226DBF"/>
    <w:rsid w:val="0022743C"/>
    <w:rsid w:val="00241F3E"/>
    <w:rsid w:val="00257118"/>
    <w:rsid w:val="00292609"/>
    <w:rsid w:val="002948A2"/>
    <w:rsid w:val="002A47CE"/>
    <w:rsid w:val="002C12CC"/>
    <w:rsid w:val="002D29B3"/>
    <w:rsid w:val="002E41F6"/>
    <w:rsid w:val="002F10A9"/>
    <w:rsid w:val="002F5E0E"/>
    <w:rsid w:val="002F666C"/>
    <w:rsid w:val="002F6934"/>
    <w:rsid w:val="00302CA2"/>
    <w:rsid w:val="0031165E"/>
    <w:rsid w:val="00311BF2"/>
    <w:rsid w:val="0032184B"/>
    <w:rsid w:val="0034572F"/>
    <w:rsid w:val="00354445"/>
    <w:rsid w:val="003606FC"/>
    <w:rsid w:val="00363DDE"/>
    <w:rsid w:val="00364186"/>
    <w:rsid w:val="003642FE"/>
    <w:rsid w:val="0038052F"/>
    <w:rsid w:val="003852CE"/>
    <w:rsid w:val="0038560E"/>
    <w:rsid w:val="00386D82"/>
    <w:rsid w:val="003A0BEA"/>
    <w:rsid w:val="003A4B5F"/>
    <w:rsid w:val="003A63D4"/>
    <w:rsid w:val="003A69C6"/>
    <w:rsid w:val="003A7A96"/>
    <w:rsid w:val="003B0A46"/>
    <w:rsid w:val="003C5C0F"/>
    <w:rsid w:val="003D2AE8"/>
    <w:rsid w:val="003E5607"/>
    <w:rsid w:val="003F681E"/>
    <w:rsid w:val="003F7E9E"/>
    <w:rsid w:val="00401A6A"/>
    <w:rsid w:val="00401B70"/>
    <w:rsid w:val="00406C9B"/>
    <w:rsid w:val="004139BE"/>
    <w:rsid w:val="004146AA"/>
    <w:rsid w:val="00420300"/>
    <w:rsid w:val="00435068"/>
    <w:rsid w:val="00440D3C"/>
    <w:rsid w:val="00443259"/>
    <w:rsid w:val="00443445"/>
    <w:rsid w:val="00444663"/>
    <w:rsid w:val="004472CA"/>
    <w:rsid w:val="00464971"/>
    <w:rsid w:val="00477D73"/>
    <w:rsid w:val="00480252"/>
    <w:rsid w:val="004811D8"/>
    <w:rsid w:val="00497545"/>
    <w:rsid w:val="004B1012"/>
    <w:rsid w:val="004C0AA3"/>
    <w:rsid w:val="004C2541"/>
    <w:rsid w:val="004C4DA5"/>
    <w:rsid w:val="004D2BA0"/>
    <w:rsid w:val="004D6CDE"/>
    <w:rsid w:val="004E5235"/>
    <w:rsid w:val="00511B5E"/>
    <w:rsid w:val="0051389E"/>
    <w:rsid w:val="00517678"/>
    <w:rsid w:val="00521908"/>
    <w:rsid w:val="00523B37"/>
    <w:rsid w:val="00525222"/>
    <w:rsid w:val="00526D9D"/>
    <w:rsid w:val="00527EB9"/>
    <w:rsid w:val="00530E86"/>
    <w:rsid w:val="00533C00"/>
    <w:rsid w:val="0053609D"/>
    <w:rsid w:val="00537983"/>
    <w:rsid w:val="00542302"/>
    <w:rsid w:val="00552656"/>
    <w:rsid w:val="00557AB9"/>
    <w:rsid w:val="00560622"/>
    <w:rsid w:val="00563F6D"/>
    <w:rsid w:val="005672B1"/>
    <w:rsid w:val="005A0FE2"/>
    <w:rsid w:val="005A2FFF"/>
    <w:rsid w:val="005B3BF5"/>
    <w:rsid w:val="005C1DE3"/>
    <w:rsid w:val="005E5F5B"/>
    <w:rsid w:val="005E7567"/>
    <w:rsid w:val="005F0F57"/>
    <w:rsid w:val="005F1D8A"/>
    <w:rsid w:val="00616EA6"/>
    <w:rsid w:val="00624A8A"/>
    <w:rsid w:val="0063065E"/>
    <w:rsid w:val="00643661"/>
    <w:rsid w:val="0064576D"/>
    <w:rsid w:val="0064697E"/>
    <w:rsid w:val="0064756C"/>
    <w:rsid w:val="00651A61"/>
    <w:rsid w:val="006624B2"/>
    <w:rsid w:val="006716D7"/>
    <w:rsid w:val="00673B21"/>
    <w:rsid w:val="00683419"/>
    <w:rsid w:val="00694712"/>
    <w:rsid w:val="006A410C"/>
    <w:rsid w:val="006A5948"/>
    <w:rsid w:val="006C1496"/>
    <w:rsid w:val="006C63F4"/>
    <w:rsid w:val="006D0CB1"/>
    <w:rsid w:val="006D1DD4"/>
    <w:rsid w:val="006D218F"/>
    <w:rsid w:val="006D3221"/>
    <w:rsid w:val="006E1563"/>
    <w:rsid w:val="006E32E4"/>
    <w:rsid w:val="006F084E"/>
    <w:rsid w:val="006F3408"/>
    <w:rsid w:val="006F600C"/>
    <w:rsid w:val="00701699"/>
    <w:rsid w:val="00711B8E"/>
    <w:rsid w:val="00721D27"/>
    <w:rsid w:val="00726EC4"/>
    <w:rsid w:val="00730E96"/>
    <w:rsid w:val="00733CEF"/>
    <w:rsid w:val="0073705F"/>
    <w:rsid w:val="00737BCD"/>
    <w:rsid w:val="00746012"/>
    <w:rsid w:val="0075722E"/>
    <w:rsid w:val="00780305"/>
    <w:rsid w:val="007803F1"/>
    <w:rsid w:val="0078300E"/>
    <w:rsid w:val="00793ED4"/>
    <w:rsid w:val="00795E53"/>
    <w:rsid w:val="00796E6F"/>
    <w:rsid w:val="007C6AED"/>
    <w:rsid w:val="007D5270"/>
    <w:rsid w:val="007F08A6"/>
    <w:rsid w:val="007F1A2B"/>
    <w:rsid w:val="00802938"/>
    <w:rsid w:val="00813C70"/>
    <w:rsid w:val="0081488C"/>
    <w:rsid w:val="00820C00"/>
    <w:rsid w:val="008310CB"/>
    <w:rsid w:val="008373D4"/>
    <w:rsid w:val="00841057"/>
    <w:rsid w:val="00841F42"/>
    <w:rsid w:val="008475B7"/>
    <w:rsid w:val="00874C03"/>
    <w:rsid w:val="00882F20"/>
    <w:rsid w:val="00884ECC"/>
    <w:rsid w:val="00886C18"/>
    <w:rsid w:val="00892DEA"/>
    <w:rsid w:val="00894C0A"/>
    <w:rsid w:val="008A1DA2"/>
    <w:rsid w:val="008A52C4"/>
    <w:rsid w:val="008A53F5"/>
    <w:rsid w:val="008A545E"/>
    <w:rsid w:val="008A7985"/>
    <w:rsid w:val="008C15E4"/>
    <w:rsid w:val="008C5595"/>
    <w:rsid w:val="008C5FCA"/>
    <w:rsid w:val="008C6234"/>
    <w:rsid w:val="008C7400"/>
    <w:rsid w:val="008D0D27"/>
    <w:rsid w:val="008E7FFA"/>
    <w:rsid w:val="00907410"/>
    <w:rsid w:val="00911D52"/>
    <w:rsid w:val="009157FF"/>
    <w:rsid w:val="0092735E"/>
    <w:rsid w:val="009326D5"/>
    <w:rsid w:val="00941848"/>
    <w:rsid w:val="00945E61"/>
    <w:rsid w:val="0095522F"/>
    <w:rsid w:val="0095592C"/>
    <w:rsid w:val="00960D9E"/>
    <w:rsid w:val="00965651"/>
    <w:rsid w:val="00967D0B"/>
    <w:rsid w:val="009743E7"/>
    <w:rsid w:val="00985634"/>
    <w:rsid w:val="0099371C"/>
    <w:rsid w:val="00997FB9"/>
    <w:rsid w:val="009A02DB"/>
    <w:rsid w:val="009A271F"/>
    <w:rsid w:val="009A29F5"/>
    <w:rsid w:val="009B0B8C"/>
    <w:rsid w:val="009B4729"/>
    <w:rsid w:val="009B73BD"/>
    <w:rsid w:val="009B7B97"/>
    <w:rsid w:val="009C5E47"/>
    <w:rsid w:val="009D0CB2"/>
    <w:rsid w:val="009E23C6"/>
    <w:rsid w:val="009F51C3"/>
    <w:rsid w:val="00A0360F"/>
    <w:rsid w:val="00A043C9"/>
    <w:rsid w:val="00A113DB"/>
    <w:rsid w:val="00A16CAA"/>
    <w:rsid w:val="00A31015"/>
    <w:rsid w:val="00A42A3A"/>
    <w:rsid w:val="00A4709E"/>
    <w:rsid w:val="00A4712A"/>
    <w:rsid w:val="00A53E07"/>
    <w:rsid w:val="00A60C7C"/>
    <w:rsid w:val="00A83F4D"/>
    <w:rsid w:val="00A8751C"/>
    <w:rsid w:val="00AA6FED"/>
    <w:rsid w:val="00AA7224"/>
    <w:rsid w:val="00AB079F"/>
    <w:rsid w:val="00AB4F2C"/>
    <w:rsid w:val="00AC2A70"/>
    <w:rsid w:val="00AE24AA"/>
    <w:rsid w:val="00AF5A80"/>
    <w:rsid w:val="00B008EE"/>
    <w:rsid w:val="00B03D1A"/>
    <w:rsid w:val="00B119FB"/>
    <w:rsid w:val="00B2797F"/>
    <w:rsid w:val="00B30111"/>
    <w:rsid w:val="00B31CD2"/>
    <w:rsid w:val="00B32AF3"/>
    <w:rsid w:val="00B335D4"/>
    <w:rsid w:val="00B418C0"/>
    <w:rsid w:val="00B64037"/>
    <w:rsid w:val="00B753DE"/>
    <w:rsid w:val="00B84DE8"/>
    <w:rsid w:val="00B936A6"/>
    <w:rsid w:val="00B95E95"/>
    <w:rsid w:val="00B96193"/>
    <w:rsid w:val="00BB5BBB"/>
    <w:rsid w:val="00BC658A"/>
    <w:rsid w:val="00BD2714"/>
    <w:rsid w:val="00BD3BE0"/>
    <w:rsid w:val="00BD5921"/>
    <w:rsid w:val="00BE529C"/>
    <w:rsid w:val="00BF2E8A"/>
    <w:rsid w:val="00C02555"/>
    <w:rsid w:val="00C1569E"/>
    <w:rsid w:val="00C16ECB"/>
    <w:rsid w:val="00C2398D"/>
    <w:rsid w:val="00C265F6"/>
    <w:rsid w:val="00C26DD3"/>
    <w:rsid w:val="00C417C4"/>
    <w:rsid w:val="00C426E7"/>
    <w:rsid w:val="00C51A58"/>
    <w:rsid w:val="00C73537"/>
    <w:rsid w:val="00C9741A"/>
    <w:rsid w:val="00CA34D3"/>
    <w:rsid w:val="00CA63D8"/>
    <w:rsid w:val="00CD36CA"/>
    <w:rsid w:val="00CD3FB4"/>
    <w:rsid w:val="00CE7F91"/>
    <w:rsid w:val="00CF0294"/>
    <w:rsid w:val="00CF0435"/>
    <w:rsid w:val="00CF5C6C"/>
    <w:rsid w:val="00D210C3"/>
    <w:rsid w:val="00D25194"/>
    <w:rsid w:val="00D27C7B"/>
    <w:rsid w:val="00D375B0"/>
    <w:rsid w:val="00D440B2"/>
    <w:rsid w:val="00D53F6D"/>
    <w:rsid w:val="00D55132"/>
    <w:rsid w:val="00D70E26"/>
    <w:rsid w:val="00D7690A"/>
    <w:rsid w:val="00D848A0"/>
    <w:rsid w:val="00D86BCC"/>
    <w:rsid w:val="00D9294A"/>
    <w:rsid w:val="00D957DB"/>
    <w:rsid w:val="00D971E7"/>
    <w:rsid w:val="00D97F1C"/>
    <w:rsid w:val="00DA7891"/>
    <w:rsid w:val="00DB0B6F"/>
    <w:rsid w:val="00DC7070"/>
    <w:rsid w:val="00DE161A"/>
    <w:rsid w:val="00DE389D"/>
    <w:rsid w:val="00DF1513"/>
    <w:rsid w:val="00E06D65"/>
    <w:rsid w:val="00E2005E"/>
    <w:rsid w:val="00E22B3F"/>
    <w:rsid w:val="00E2482E"/>
    <w:rsid w:val="00E454BB"/>
    <w:rsid w:val="00E45DBA"/>
    <w:rsid w:val="00E46DD7"/>
    <w:rsid w:val="00E50AAB"/>
    <w:rsid w:val="00E50CF7"/>
    <w:rsid w:val="00E51F5E"/>
    <w:rsid w:val="00E5472C"/>
    <w:rsid w:val="00E673AF"/>
    <w:rsid w:val="00E71422"/>
    <w:rsid w:val="00E73D9A"/>
    <w:rsid w:val="00E84B9A"/>
    <w:rsid w:val="00EA3DDE"/>
    <w:rsid w:val="00EC7467"/>
    <w:rsid w:val="00ED165F"/>
    <w:rsid w:val="00ED3EE6"/>
    <w:rsid w:val="00EE450C"/>
    <w:rsid w:val="00F001C8"/>
    <w:rsid w:val="00F044CE"/>
    <w:rsid w:val="00F06C0C"/>
    <w:rsid w:val="00F13113"/>
    <w:rsid w:val="00F15670"/>
    <w:rsid w:val="00F436E6"/>
    <w:rsid w:val="00F52F54"/>
    <w:rsid w:val="00F64010"/>
    <w:rsid w:val="00F6547F"/>
    <w:rsid w:val="00F67738"/>
    <w:rsid w:val="00F72276"/>
    <w:rsid w:val="00F75B08"/>
    <w:rsid w:val="00F864E5"/>
    <w:rsid w:val="00F94D1D"/>
    <w:rsid w:val="00FA1987"/>
    <w:rsid w:val="00FA6CD2"/>
    <w:rsid w:val="00FB146C"/>
    <w:rsid w:val="00FB68F4"/>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semiHidden/>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semiHidden/>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14</Pages>
  <Words>12200</Words>
  <Characters>69545</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7</cp:revision>
  <dcterms:created xsi:type="dcterms:W3CDTF">2025-09-30T16:34:00Z</dcterms:created>
  <dcterms:modified xsi:type="dcterms:W3CDTF">2025-09-30T17:45:00Z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id="IvA4sCFE"/&gt;&lt;style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