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73023D14" w14:textId="704A3DA7" w:rsidR="00BD2714" w:rsidRPr="009326D5" w:rsidRDefault="00BD2714" w:rsidP="009326D5">
      <w:pPr>
        <w:spacing w:line="480" w:lineRule="auto"/>
        <w:ind w:firstLine="720"/>
        <w:rPr>
          <w:sz w:val="22"/>
          <w:szCs w:val="22"/>
        </w:rPr>
      </w:pPr>
      <w:r w:rsidRPr="00BD2714">
        <w:rPr>
          <w:sz w:val="22"/>
          <w:szCs w:val="22"/>
        </w:rPr>
        <w:t xml:space="preserve">Assessing the impact of environmental and anthropogenic changes to </w:t>
      </w:r>
      <w:r w:rsidR="004811D8">
        <w:t>requires understanding how these pressures are distributed across ecosystem components</w:t>
      </w:r>
      <w:r w:rsidR="009326D5">
        <w:rPr>
          <w:sz w:val="22"/>
          <w:szCs w:val="22"/>
        </w:rPr>
        <w:t xml:space="preserve">. To do so requires examining the interaction between stressors and ecosystem processes at relevant spatial and temporal scales. In many remote and dynamic ecosystems, understanding ecosystem processes at the sub-ecosystem scale can be challenging. However, assessing population health at the ecosystem scale as opposed to understanding regional or stock specific impacts risks </w:t>
      </w:r>
      <w:r>
        <w:rPr>
          <w:sz w:val="22"/>
          <w:szCs w:val="22"/>
        </w:rPr>
        <w:t xml:space="preserve">missing threats to critical components of ecosystem health. </w:t>
      </w:r>
      <w:r w:rsidR="009326D5">
        <w:rPr>
          <w:sz w:val="22"/>
          <w:szCs w:val="22"/>
        </w:rPr>
        <w:t xml:space="preserve">As such, developing tools to more thoroughly understand ecosystem function at refined spatial scales is key to designing effective management and climate </w:t>
      </w:r>
      <w:r w:rsidR="004811D8">
        <w:rPr>
          <w:sz w:val="22"/>
          <w:szCs w:val="22"/>
        </w:rPr>
        <w:t>adaptation</w:t>
      </w:r>
      <w:r w:rsidR="009326D5">
        <w:rPr>
          <w:sz w:val="22"/>
          <w:szCs w:val="22"/>
        </w:rPr>
        <w:t xml:space="preserve"> strategies to maintain ecosystem function. </w:t>
      </w:r>
    </w:p>
    <w:p w14:paraId="4409B291" w14:textId="77777777" w:rsidR="00BD2714" w:rsidRDefault="00BD2714" w:rsidP="00BD2714">
      <w:pPr>
        <w:spacing w:line="480" w:lineRule="auto"/>
        <w:ind w:firstLine="720"/>
        <w:rPr>
          <w:rFonts w:ascii="Garamond" w:hAnsi="Garamond"/>
          <w:sz w:val="22"/>
          <w:szCs w:val="22"/>
        </w:rPr>
      </w:pPr>
    </w:p>
    <w:p w14:paraId="5587130C" w14:textId="37EE1789" w:rsidR="00673B21" w:rsidRPr="00BD2714" w:rsidRDefault="00F044CE" w:rsidP="00BD2714">
      <w:pPr>
        <w:spacing w:line="480" w:lineRule="auto"/>
        <w:ind w:firstLine="720"/>
        <w:rPr>
          <w:sz w:val="22"/>
          <w:szCs w:val="22"/>
        </w:rPr>
      </w:pPr>
      <w:r w:rsidRPr="00BD2714">
        <w:rPr>
          <w:rFonts w:ascii="Garamond" w:hAnsi="Garamond"/>
          <w:sz w:val="22"/>
          <w:szCs w:val="22"/>
        </w:rPr>
        <w:t>aggregating population-level dynamics into ecosystem-level effects risks oversimplification and mischaracterization of threats to critical components of ecosystem health.</w:t>
      </w:r>
    </w:p>
    <w:p w14:paraId="148209BA" w14:textId="0343AFD5" w:rsidR="00241F3E" w:rsidRPr="0010010D" w:rsidRDefault="006D3221" w:rsidP="00241F3E">
      <w:pPr>
        <w:spacing w:line="480" w:lineRule="auto"/>
        <w:ind w:firstLine="720"/>
        <w:rPr>
          <w:rFonts w:ascii="Garamond" w:hAnsi="Garamond"/>
          <w:sz w:val="22"/>
          <w:szCs w:val="22"/>
        </w:rPr>
      </w:pPr>
      <w:r w:rsidRPr="0010010D">
        <w:rPr>
          <w:rFonts w:ascii="Garamond" w:hAnsi="Garamond"/>
          <w:sz w:val="22"/>
          <w:szCs w:val="22"/>
        </w:rPr>
        <w:t xml:space="preserve">Watersheds in western Alaska have historically supported large Pacific salmon populations that sustain both commercial fisheries and subsistence harvest for Indigenous communities in the region. However, there has been a recent </w:t>
      </w:r>
      <w:r w:rsidR="00241F3E" w:rsidRPr="0010010D">
        <w:rPr>
          <w:rFonts w:ascii="Garamond" w:hAnsi="Garamond"/>
          <w:sz w:val="22"/>
          <w:szCs w:val="22"/>
        </w:rPr>
        <w:t>precipitous</w:t>
      </w:r>
      <w:r w:rsidRPr="0010010D">
        <w:rPr>
          <w:rFonts w:ascii="Garamond" w:hAnsi="Garamond"/>
          <w:sz w:val="22"/>
          <w:szCs w:val="22"/>
        </w:rPr>
        <w:t xml:space="preserve"> and sustained decline in the health of Chinook salmon (X) </w:t>
      </w:r>
      <w:r w:rsidR="00241F3E" w:rsidRPr="0010010D">
        <w:rPr>
          <w:rFonts w:ascii="Garamond" w:hAnsi="Garamond"/>
          <w:sz w:val="22"/>
          <w:szCs w:val="22"/>
        </w:rPr>
        <w:t xml:space="preserve">across the region </w:t>
      </w:r>
      <w:r w:rsidRPr="0010010D">
        <w:rPr>
          <w:rFonts w:ascii="Garamond" w:hAnsi="Garamond"/>
          <w:sz w:val="22"/>
          <w:szCs w:val="22"/>
        </w:rPr>
        <w:t xml:space="preserve">leading to </w:t>
      </w:r>
      <w:r w:rsidR="00241F3E" w:rsidRPr="0010010D">
        <w:rPr>
          <w:rFonts w:ascii="Garamond" w:hAnsi="Garamond"/>
          <w:sz w:val="22"/>
          <w:szCs w:val="22"/>
        </w:rPr>
        <w:t xml:space="preserve">undue hardship for subsistence communities. Across the region’s three major </w:t>
      </w:r>
      <w:proofErr w:type="spellStart"/>
      <w:r w:rsidRPr="0010010D">
        <w:rPr>
          <w:rFonts w:ascii="Garamond" w:hAnsi="Garamond"/>
          <w:sz w:val="22"/>
          <w:szCs w:val="22"/>
        </w:rPr>
        <w:t>major</w:t>
      </w:r>
      <w:proofErr w:type="spellEnd"/>
      <w:r w:rsidRPr="0010010D">
        <w:rPr>
          <w:rFonts w:ascii="Garamond" w:hAnsi="Garamond"/>
          <w:sz w:val="22"/>
          <w:szCs w:val="22"/>
        </w:rPr>
        <w:t xml:space="preserve"> river systems (the Yukon, Kuskokwim, and </w:t>
      </w:r>
      <w:proofErr w:type="spellStart"/>
      <w:r w:rsidRPr="0010010D">
        <w:rPr>
          <w:rFonts w:ascii="Garamond" w:hAnsi="Garamond"/>
          <w:sz w:val="22"/>
          <w:szCs w:val="22"/>
        </w:rPr>
        <w:t>Nushagak</w:t>
      </w:r>
      <w:proofErr w:type="spellEnd"/>
      <w:r w:rsidRPr="0010010D">
        <w:rPr>
          <w:rFonts w:ascii="Garamond" w:hAnsi="Garamond"/>
          <w:sz w:val="22"/>
          <w:szCs w:val="22"/>
        </w:rPr>
        <w:t xml:space="preserve"> river basins) </w:t>
      </w:r>
      <w:r w:rsidR="00241F3E" w:rsidRPr="0010010D">
        <w:rPr>
          <w:rFonts w:ascii="Garamond" w:hAnsi="Garamond"/>
          <w:sz w:val="22"/>
          <w:szCs w:val="22"/>
        </w:rPr>
        <w:t xml:space="preserve">life history strategies, run dynamics, and relative population health vary. As a result, there is a need to assess potential stressors as well as the relative impact of decline regional population health at the basin or sub-basin scale. </w:t>
      </w:r>
    </w:p>
    <w:p w14:paraId="541CC541" w14:textId="79751015" w:rsidR="0010010D" w:rsidRDefault="0010010D" w:rsidP="0010010D">
      <w:pPr>
        <w:spacing w:line="480" w:lineRule="auto"/>
        <w:ind w:firstLine="720"/>
        <w:rPr>
          <w:rFonts w:ascii="Garamond" w:hAnsi="Garamond"/>
          <w:sz w:val="22"/>
          <w:szCs w:val="22"/>
        </w:rPr>
      </w:pPr>
      <w:r w:rsidRPr="0010010D">
        <w:rPr>
          <w:rFonts w:ascii="Garamond" w:hAnsi="Garamond"/>
          <w:sz w:val="22"/>
          <w:szCs w:val="22"/>
        </w:rPr>
        <w:lastRenderedPageBreak/>
        <w:t>Several leading hypotheses</w:t>
      </w:r>
      <w:r>
        <w:rPr>
          <w:rFonts w:ascii="Garamond" w:hAnsi="Garamond"/>
          <w:sz w:val="22"/>
          <w:szCs w:val="22"/>
        </w:rPr>
        <w:t xml:space="preserve"> for declining population health have</w:t>
      </w:r>
      <w:r w:rsidRPr="0010010D">
        <w:rPr>
          <w:rFonts w:ascii="Garamond" w:hAnsi="Garamond"/>
          <w:sz w:val="22"/>
          <w:szCs w:val="22"/>
        </w:rPr>
        <w:t xml:space="preserve"> </w:t>
      </w:r>
      <w:r>
        <w:rPr>
          <w:rFonts w:ascii="Garamond" w:hAnsi="Garamond"/>
          <w:sz w:val="22"/>
          <w:szCs w:val="22"/>
        </w:rPr>
        <w:t>been based</w:t>
      </w:r>
      <w:r w:rsidRPr="0010010D">
        <w:rPr>
          <w:rFonts w:ascii="Garamond" w:hAnsi="Garamond"/>
          <w:sz w:val="22"/>
          <w:szCs w:val="22"/>
        </w:rPr>
        <w:t xml:space="preserve"> on drivers of marine mortality </w:t>
      </w:r>
      <w:r w:rsidRPr="0010010D">
        <w:rPr>
          <w:rFonts w:ascii="Garamond" w:hAnsi="Garamond"/>
          <w:sz w:val="22"/>
          <w:szCs w:val="22"/>
        </w:rPr>
        <w:fldChar w:fldCharType="begin"/>
      </w:r>
      <w:r w:rsidRPr="0010010D">
        <w:rPr>
          <w:rFonts w:ascii="Garamond" w:hAnsi="Garamond"/>
          <w:sz w:val="22"/>
          <w:szCs w:val="22"/>
        </w:rPr>
        <w:instrText xml:space="preserve"> ADDIN ZOTERO_ITEM CSL_CITATION {"citationID":"K3kQcsWX","properties":{"formattedCitation":"(Lamborn et al., 2025)","plainCitation":"(Lamborn et al., 2025)","noteIndex":0},"citationItems":[{"id":5644,"uris":["http://zotero.org/users/8421274/items/68HTP6NW"],"itemData":{"id":5644,"type":"article-journal","abstract":"Across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W."}],"issued":{"date-parts":[["2025"]]}}}],"schema":"https://github.com/citation-style-language/schema/raw/master/csl-citation.json"} </w:instrText>
      </w:r>
      <w:r w:rsidRPr="0010010D">
        <w:rPr>
          <w:rFonts w:ascii="Garamond" w:hAnsi="Garamond"/>
          <w:sz w:val="22"/>
          <w:szCs w:val="22"/>
        </w:rPr>
        <w:fldChar w:fldCharType="separate"/>
      </w:r>
      <w:r w:rsidRPr="0010010D">
        <w:rPr>
          <w:rFonts w:ascii="Garamond" w:hAnsi="Garamond"/>
          <w:noProof/>
          <w:sz w:val="22"/>
          <w:szCs w:val="22"/>
        </w:rPr>
        <w:t>(Lamborn et al., 2025)</w:t>
      </w:r>
      <w:r w:rsidRPr="0010010D">
        <w:rPr>
          <w:rFonts w:ascii="Garamond" w:hAnsi="Garamond"/>
          <w:sz w:val="22"/>
          <w:szCs w:val="22"/>
        </w:rPr>
        <w:fldChar w:fldCharType="end"/>
      </w:r>
      <w:r w:rsidRPr="0010010D">
        <w:rPr>
          <w:rFonts w:ascii="Garamond" w:hAnsi="Garamond"/>
          <w:sz w:val="22"/>
          <w:szCs w:val="22"/>
        </w:rPr>
        <w:t xml:space="preserve">. </w:t>
      </w:r>
      <w:r>
        <w:rPr>
          <w:rFonts w:ascii="Garamond" w:hAnsi="Garamond"/>
          <w:sz w:val="22"/>
          <w:szCs w:val="22"/>
        </w:rPr>
        <w:t>However, a</w:t>
      </w:r>
      <w:r w:rsidRPr="0010010D">
        <w:rPr>
          <w:rFonts w:ascii="Garamond" w:hAnsi="Garamond"/>
          <w:sz w:val="22"/>
          <w:szCs w:val="22"/>
        </w:rPr>
        <w:t xml:space="preserve">ssessment of </w:t>
      </w:r>
      <w:r>
        <w:rPr>
          <w:rFonts w:ascii="Garamond" w:hAnsi="Garamond"/>
          <w:sz w:val="22"/>
          <w:szCs w:val="22"/>
        </w:rPr>
        <w:t xml:space="preserve">marine-based </w:t>
      </w:r>
      <w:r w:rsidRPr="0010010D">
        <w:rPr>
          <w:rFonts w:ascii="Garamond" w:hAnsi="Garamond"/>
          <w:sz w:val="22"/>
          <w:szCs w:val="22"/>
        </w:rPr>
        <w:t xml:space="preserve">hypotheses in relation to river- or stock-specific population health has been hindered by </w:t>
      </w:r>
      <w:r>
        <w:rPr>
          <w:rFonts w:ascii="Garamond" w:hAnsi="Garamond"/>
          <w:sz w:val="22"/>
          <w:szCs w:val="22"/>
        </w:rPr>
        <w:t>a</w:t>
      </w:r>
      <w:r w:rsidRPr="0010010D">
        <w:rPr>
          <w:rFonts w:ascii="Garamond" w:hAnsi="Garamond"/>
          <w:sz w:val="22"/>
          <w:szCs w:val="22"/>
        </w:rPr>
        <w:t xml:space="preserve"> limited ability to determine the </w:t>
      </w:r>
      <w:r>
        <w:rPr>
          <w:rFonts w:ascii="Garamond" w:hAnsi="Garamond"/>
          <w:sz w:val="22"/>
          <w:szCs w:val="22"/>
        </w:rPr>
        <w:t>river of origin for marine-caught fish</w:t>
      </w:r>
      <w:r w:rsidRPr="0010010D">
        <w:rPr>
          <w:rFonts w:ascii="Garamond" w:hAnsi="Garamond"/>
          <w:sz w:val="22"/>
          <w:szCs w:val="22"/>
        </w:rPr>
        <w:t>.</w:t>
      </w:r>
      <w:r>
        <w:rPr>
          <w:rFonts w:ascii="Garamond" w:hAnsi="Garamond"/>
          <w:sz w:val="22"/>
          <w:szCs w:val="22"/>
        </w:rPr>
        <w:t xml:space="preserve"> Genetics based approaches have provided a powerful tool for estimating provenance of Pacific salmon in many cases and have become a key method for assisting in in-season management of the mixed stock fishery for individual with a known river of origin. However, </w:t>
      </w:r>
      <w:r w:rsidRPr="0010010D">
        <w:rPr>
          <w:rFonts w:ascii="Garamond" w:hAnsi="Garamond"/>
          <w:sz w:val="22"/>
          <w:szCs w:val="22"/>
        </w:rPr>
        <w:t>Chinook salmon in Western Alaska</w:t>
      </w:r>
      <w:r>
        <w:rPr>
          <w:rFonts w:ascii="Garamond" w:hAnsi="Garamond"/>
          <w:sz w:val="22"/>
          <w:szCs w:val="22"/>
        </w:rPr>
        <w:t xml:space="preserve"> lack sufficient genetic structure to reliably estimate provenance within the Coastal Western Alaska (CWAK) genetic reporting group, which contains the lower portion of the Yukon river-basin as well as the entire Kuskokwim and </w:t>
      </w:r>
      <w:proofErr w:type="spellStart"/>
      <w:r>
        <w:rPr>
          <w:rFonts w:ascii="Garamond" w:hAnsi="Garamond"/>
          <w:sz w:val="22"/>
          <w:szCs w:val="22"/>
        </w:rPr>
        <w:t>Nushagak</w:t>
      </w:r>
      <w:proofErr w:type="spellEnd"/>
      <w:r>
        <w:rPr>
          <w:rFonts w:ascii="Garamond" w:hAnsi="Garamond"/>
          <w:sz w:val="22"/>
          <w:szCs w:val="22"/>
        </w:rPr>
        <w:t xml:space="preserve"> River-basins. </w:t>
      </w:r>
      <w:r w:rsidRPr="00820C00">
        <w:rPr>
          <w:rFonts w:ascii="Garamond" w:hAnsi="Garamond"/>
          <w:sz w:val="22"/>
          <w:szCs w:val="22"/>
        </w:rPr>
        <w:t>Isotope-based methods for estimating provenance from ear stones found in fish</w:t>
      </w:r>
      <w:r>
        <w:rPr>
          <w:rFonts w:ascii="Garamond" w:hAnsi="Garamond"/>
          <w:sz w:val="22"/>
          <w:szCs w:val="22"/>
        </w:rPr>
        <w:t>, or otoliths,</w:t>
      </w:r>
      <w:r w:rsidRPr="00820C00">
        <w:rPr>
          <w:rFonts w:ascii="Garamond" w:hAnsi="Garamond"/>
          <w:sz w:val="22"/>
          <w:szCs w:val="22"/>
        </w:rPr>
        <w:t xml:space="preserve"> have shown promise as an alternative approach that can provide more refined spatial resolution than genetics in some cases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Brennan &amp; Schindler, 2017; Kennedy et al., 1997)</w:t>
      </w:r>
      <w:r>
        <w:rPr>
          <w:rFonts w:ascii="Garamond" w:hAnsi="Garamond"/>
          <w:sz w:val="22"/>
          <w:szCs w:val="22"/>
        </w:rPr>
        <w:fldChar w:fldCharType="end"/>
      </w:r>
      <w:r>
        <w:rPr>
          <w:rFonts w:ascii="Garamond" w:hAnsi="Garamond"/>
          <w:sz w:val="22"/>
          <w:szCs w:val="22"/>
        </w:rPr>
        <w:t xml:space="preserve">. </w:t>
      </w:r>
      <w:r w:rsidRPr="00820C00">
        <w:rPr>
          <w:rFonts w:ascii="Garamond" w:hAnsi="Garamond"/>
          <w:sz w:val="22"/>
          <w:szCs w:val="22"/>
        </w:rPr>
        <w:t xml:space="preserve">The relative ratio of </w:t>
      </w:r>
      <w:r>
        <w:rPr>
          <w:rFonts w:ascii="Garamond" w:hAnsi="Garamond"/>
          <w:sz w:val="22"/>
          <w:szCs w:val="22"/>
        </w:rPr>
        <w:t>s</w:t>
      </w:r>
      <w:r w:rsidRPr="00820C00">
        <w:rPr>
          <w:rFonts w:ascii="Garamond" w:hAnsi="Garamond"/>
          <w:sz w:val="22"/>
          <w:szCs w:val="22"/>
        </w:rPr>
        <w:t>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is an isotopic tracer that is heterogeneously distributed across geologically diverse landscapes, faithfully incorporated into otoliths, and has been shown to be temporally stable in Alaskan watersheds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(Bataille &amp; Bowen, 2012; Brennan et al., 2015; Campana, 1999; Capo et al., 1998)</w:t>
      </w:r>
      <w:r>
        <w:rPr>
          <w:rFonts w:ascii="Garamond" w:hAnsi="Garamond"/>
          <w:sz w:val="22"/>
          <w:szCs w:val="22"/>
        </w:rPr>
        <w:fldChar w:fldCharType="end"/>
      </w:r>
      <w:r w:rsidRPr="00820C00">
        <w:rPr>
          <w:rFonts w:ascii="Garamond" w:hAnsi="Garamond"/>
          <w:sz w:val="22"/>
          <w:szCs w:val="22"/>
        </w:rPr>
        <w:t xml:space="preserve">.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Despite its precision, this method is limited by the level of isotopic heterogeneity relative to the spatial scale of interest</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(Makhlouf et al., 2025)</w:t>
      </w:r>
      <w:r>
        <w:rPr>
          <w:rFonts w:ascii="Garamond" w:hAnsi="Garamond"/>
          <w:sz w:val="22"/>
          <w:szCs w:val="22"/>
        </w:rPr>
        <w:fldChar w:fldCharType="end"/>
      </w:r>
      <w:r w:rsidRPr="00820C00">
        <w:rPr>
          <w:rFonts w:ascii="Garamond" w:hAnsi="Garamond"/>
          <w:sz w:val="22"/>
          <w:szCs w:val="22"/>
        </w:rPr>
        <w:t xml:space="preserve">. </w:t>
      </w:r>
      <w:r w:rsidRPr="00F52F54">
        <w:rPr>
          <w:rFonts w:ascii="Garamond" w:hAnsi="Garamond"/>
          <w:sz w:val="22"/>
          <w:szCs w:val="22"/>
        </w:rPr>
        <w:t xml:space="preserve">While </w:t>
      </w:r>
      <w:r w:rsidR="00443259">
        <w:rPr>
          <w:rFonts w:ascii="Garamond" w:hAnsi="Garamond"/>
          <w:sz w:val="22"/>
          <w:szCs w:val="22"/>
        </w:rPr>
        <w:t xml:space="preserve">reliable </w:t>
      </w:r>
      <w:r w:rsidRPr="00F52F54">
        <w:rPr>
          <w:rFonts w:ascii="Garamond" w:hAnsi="Garamond"/>
          <w:sz w:val="22"/>
          <w:szCs w:val="22"/>
        </w:rPr>
        <w:t>within-</w:t>
      </w:r>
      <w:r w:rsidR="00443259">
        <w:rPr>
          <w:rFonts w:ascii="Garamond" w:hAnsi="Garamond"/>
          <w:sz w:val="22"/>
          <w:szCs w:val="22"/>
        </w:rPr>
        <w:t>river</w:t>
      </w:r>
      <w:r w:rsidRPr="00F52F54">
        <w:rPr>
          <w:rFonts w:ascii="Garamond" w:hAnsi="Garamond"/>
          <w:sz w:val="22"/>
          <w:szCs w:val="22"/>
        </w:rPr>
        <w:t xml:space="preserve"> </w:t>
      </w:r>
      <w:r w:rsidR="00443259">
        <w:rPr>
          <w:rFonts w:ascii="Garamond" w:hAnsi="Garamond"/>
          <w:sz w:val="22"/>
          <w:szCs w:val="22"/>
        </w:rPr>
        <w:t xml:space="preserve">estimates of </w:t>
      </w:r>
      <w:r w:rsidRPr="00F52F54">
        <w:rPr>
          <w:rFonts w:ascii="Garamond" w:hAnsi="Garamond"/>
          <w:sz w:val="22"/>
          <w:szCs w:val="22"/>
        </w:rPr>
        <w:t xml:space="preserve">provenance </w:t>
      </w:r>
      <w:r w:rsidR="00443259">
        <w:rPr>
          <w:rFonts w:ascii="Garamond" w:hAnsi="Garamond"/>
          <w:sz w:val="22"/>
          <w:szCs w:val="22"/>
        </w:rPr>
        <w:t>are</w:t>
      </w:r>
      <w:r w:rsidRPr="00F52F54">
        <w:rPr>
          <w:rFonts w:ascii="Garamond" w:hAnsi="Garamond"/>
          <w:sz w:val="22"/>
          <w:szCs w:val="22"/>
        </w:rPr>
        <w:t xml:space="preserve"> possible in Western Alaskan watersheds, regional overlap among the three major river systems creates high uncertainty, preventing reliable assignments of marine-caught fish when relying on a single natal </w:t>
      </w:r>
      <w:r w:rsidRPr="00F52F54">
        <w:rPr>
          <w:rFonts w:ascii="Cambria Math" w:hAnsi="Cambria Math" w:cs="Cambria Math"/>
          <w:sz w:val="22"/>
          <w:szCs w:val="22"/>
        </w:rPr>
        <w:t>⁸⁷</w:t>
      </w:r>
      <w:r w:rsidRPr="00F52F54">
        <w:rPr>
          <w:rFonts w:ascii="Garamond" w:hAnsi="Garamond"/>
          <w:sz w:val="22"/>
          <w:szCs w:val="22"/>
        </w:rPr>
        <w:t>Sr/</w:t>
      </w:r>
      <w:r w:rsidRPr="00F52F54">
        <w:rPr>
          <w:rFonts w:ascii="Cambria Math" w:hAnsi="Cambria Math" w:cs="Cambria Math"/>
          <w:sz w:val="22"/>
          <w:szCs w:val="22"/>
        </w:rPr>
        <w:t>⁸⁶</w:t>
      </w:r>
      <w:r w:rsidRPr="00F52F54">
        <w:rPr>
          <w:rFonts w:ascii="Garamond" w:hAnsi="Garamond"/>
          <w:sz w:val="22"/>
          <w:szCs w:val="22"/>
        </w:rPr>
        <w:t>Sr value (Figure 1).</w:t>
      </w:r>
    </w:p>
    <w:p w14:paraId="13231505" w14:textId="77777777" w:rsidR="0010010D" w:rsidRDefault="0010010D" w:rsidP="0010010D">
      <w:pPr>
        <w:spacing w:line="480" w:lineRule="auto"/>
        <w:ind w:firstLine="720"/>
        <w:rPr>
          <w:rFonts w:ascii="Garamond" w:hAnsi="Garamond"/>
          <w:sz w:val="22"/>
          <w:szCs w:val="22"/>
        </w:rPr>
      </w:pPr>
    </w:p>
    <w:p w14:paraId="5804B287" w14:textId="388BF5D3" w:rsidR="00241F3E" w:rsidRPr="0010010D" w:rsidRDefault="0010010D" w:rsidP="0010010D">
      <w:pPr>
        <w:spacing w:line="480" w:lineRule="auto"/>
        <w:ind w:firstLine="720"/>
        <w:rPr>
          <w:rFonts w:ascii="Garamond" w:hAnsi="Garamond"/>
          <w:sz w:val="22"/>
          <w:szCs w:val="22"/>
        </w:rPr>
      </w:pPr>
      <w:r w:rsidRPr="0010010D">
        <w:rPr>
          <w:rFonts w:ascii="Garamond" w:hAnsi="Garamond"/>
          <w:sz w:val="22"/>
          <w:szCs w:val="22"/>
        </w:rPr>
        <w:t>standard approaches such as genetic stock identification (GSI) provide provenance estimates at relatively coarse spatial scales (e.g., coastal western Alaska) but cannot distinguish among rivers within current genetic baselines.</w:t>
      </w:r>
      <w:r>
        <w:rPr>
          <w:rFonts w:ascii="Garamond" w:hAnsi="Garamond"/>
          <w:sz w:val="22"/>
          <w:szCs w:val="22"/>
        </w:rPr>
        <w:t xml:space="preserve"> </w:t>
      </w:r>
    </w:p>
    <w:p w14:paraId="06502723" w14:textId="77777777" w:rsidR="00241F3E" w:rsidRDefault="00241F3E" w:rsidP="00241F3E">
      <w:pPr>
        <w:spacing w:line="480" w:lineRule="auto"/>
        <w:ind w:firstLine="720"/>
      </w:pPr>
    </w:p>
    <w:p w14:paraId="4FC69CC1" w14:textId="77777777" w:rsidR="00241F3E" w:rsidRDefault="00241F3E" w:rsidP="00241F3E">
      <w:pPr>
        <w:spacing w:line="480" w:lineRule="auto"/>
        <w:ind w:firstLine="720"/>
      </w:pPr>
    </w:p>
    <w:p w14:paraId="7EB01FEC" w14:textId="5BBBD426" w:rsidR="006D3221" w:rsidRDefault="006D3221" w:rsidP="00241F3E">
      <w:pPr>
        <w:spacing w:line="480" w:lineRule="auto"/>
        <w:ind w:firstLine="720"/>
      </w:pPr>
      <w:r>
        <w:t xml:space="preserve">vary in space and time, creating a dynamic and interactive mosaic of shifting ecological and environmental conditions. </w:t>
      </w:r>
      <w:r w:rsidR="00241F3E">
        <w:t xml:space="preserve">This, along with the remote and expansive nature of Western Alaska landscapes, ha </w:t>
      </w:r>
    </w:p>
    <w:p w14:paraId="48B66B8E" w14:textId="77777777" w:rsidR="006D3221" w:rsidRDefault="006D3221" w:rsidP="00795E53">
      <w:pPr>
        <w:spacing w:line="480" w:lineRule="auto"/>
        <w:ind w:firstLine="720"/>
      </w:pPr>
    </w:p>
    <w:p w14:paraId="5A15E57E" w14:textId="7F444668" w:rsidR="00795E53" w:rsidRDefault="006D3221" w:rsidP="00795E53">
      <w:pPr>
        <w:spacing w:line="480" w:lineRule="auto"/>
        <w:ind w:firstLine="720"/>
      </w:pPr>
      <w:r>
        <w:t xml:space="preserve"> at the basin or sub-basin scale is challenging.</w:t>
      </w:r>
    </w:p>
    <w:p w14:paraId="4577265B" w14:textId="77777777" w:rsidR="006D3221" w:rsidRDefault="006D3221" w:rsidP="00795E53">
      <w:pPr>
        <w:spacing w:line="480" w:lineRule="auto"/>
        <w:ind w:firstLine="720"/>
      </w:pPr>
    </w:p>
    <w:p w14:paraId="2C8C9330" w14:textId="77777777" w:rsidR="006D3221" w:rsidRDefault="006D3221" w:rsidP="00795E53">
      <w:pPr>
        <w:spacing w:line="480" w:lineRule="auto"/>
        <w:ind w:firstLine="720"/>
      </w:pPr>
    </w:p>
    <w:p w14:paraId="59CE2C23" w14:textId="77777777" w:rsidR="006D3221" w:rsidRDefault="006D3221" w:rsidP="00795E53">
      <w:pPr>
        <w:spacing w:line="480" w:lineRule="auto"/>
        <w:ind w:firstLine="720"/>
      </w:pPr>
    </w:p>
    <w:p w14:paraId="03264F8F" w14:textId="137FA1E9" w:rsidR="00F044CE" w:rsidRPr="00795E53" w:rsidRDefault="00967D0B" w:rsidP="00795E53">
      <w:pPr>
        <w:spacing w:line="480" w:lineRule="auto"/>
        <w:ind w:firstLine="720"/>
      </w:pPr>
      <w:r>
        <w:t>ha</w:t>
      </w:r>
      <w:r w:rsidR="00795E53">
        <w:t>s</w:t>
      </w:r>
      <w:r>
        <w:t xml:space="preserve"> led to </w:t>
      </w:r>
      <w:r w:rsidRPr="00967D0B">
        <w:rPr>
          <w:rFonts w:ascii="Garamond" w:hAnsi="Garamond"/>
        </w:rPr>
        <w:t xml:space="preserve">led </w:t>
      </w:r>
      <w:r w:rsidR="00795E53">
        <w:rPr>
          <w:rFonts w:ascii="Garamond" w:hAnsi="Garamond"/>
        </w:rPr>
        <w:t xml:space="preserve">significant hardship for communities in the region which rely on fishery resources for subsistence and cultural value </w:t>
      </w:r>
      <w:r w:rsidRPr="00967D0B">
        <w:rPr>
          <w:rFonts w:ascii="Garamond" w:hAnsi="Garamond"/>
        </w:rPr>
        <w:fldChar w:fldCharType="begin"/>
      </w:r>
      <w:r w:rsidRPr="00967D0B">
        <w:rPr>
          <w:rFonts w:ascii="Garamond" w:hAnsi="Garamond"/>
        </w:rPr>
        <w:instrText xml:space="preserve"> ADDIN ZOTERO_ITEM CSL_CITATION {"citationID":"CRrkE0aE","properties":{"formattedCitation":"(Brown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Pr="00967D0B">
        <w:rPr>
          <w:rFonts w:ascii="Garamond" w:hAnsi="Garamond"/>
        </w:rPr>
        <w:fldChar w:fldCharType="separate"/>
      </w:r>
      <w:r w:rsidRPr="00967D0B">
        <w:rPr>
          <w:rFonts w:ascii="Garamond" w:hAnsi="Garamond"/>
          <w:noProof/>
        </w:rPr>
        <w:t>(Brown &amp; Godduhn, 2015)</w:t>
      </w:r>
      <w:r w:rsidRPr="00967D0B">
        <w:rPr>
          <w:rFonts w:ascii="Garamond" w:hAnsi="Garamond"/>
        </w:rPr>
        <w:fldChar w:fldCharType="end"/>
      </w:r>
      <w:r w:rsidR="00795E53">
        <w:rPr>
          <w:rFonts w:ascii="Garamond" w:hAnsi="Garamond"/>
        </w:rPr>
        <w:t xml:space="preserve">. </w:t>
      </w:r>
    </w:p>
    <w:p w14:paraId="3C768CC0" w14:textId="77777777" w:rsidR="00F044CE" w:rsidRDefault="00F044CE" w:rsidP="006F084E">
      <w:pPr>
        <w:spacing w:line="480" w:lineRule="auto"/>
        <w:ind w:firstLine="720"/>
      </w:pPr>
    </w:p>
    <w:p w14:paraId="1BBCBB78" w14:textId="77777777" w:rsidR="00673B21" w:rsidRDefault="00673B21" w:rsidP="006F084E">
      <w:pPr>
        <w:spacing w:line="480" w:lineRule="auto"/>
        <w:ind w:firstLine="720"/>
        <w:rPr>
          <w:sz w:val="22"/>
          <w:szCs w:val="22"/>
        </w:rPr>
      </w:pPr>
    </w:p>
    <w:p w14:paraId="5ABE8390" w14:textId="77777777" w:rsidR="008A1DA2" w:rsidRDefault="008A1DA2" w:rsidP="008A1DA2">
      <w:pPr>
        <w:spacing w:line="480" w:lineRule="auto"/>
        <w:ind w:firstLine="720"/>
        <w:rPr>
          <w:sz w:val="22"/>
          <w:szCs w:val="22"/>
        </w:rPr>
      </w:pPr>
    </w:p>
    <w:p w14:paraId="0F428146" w14:textId="77777777" w:rsidR="008A1DA2" w:rsidRDefault="008A1DA2" w:rsidP="006E32E4">
      <w:pPr>
        <w:spacing w:line="480" w:lineRule="auto"/>
        <w:ind w:firstLine="720"/>
        <w:rPr>
          <w:rFonts w:ascii="Times New Roman" w:hAnsi="Times New Roman" w:cs="Times New Roman"/>
          <w:sz w:val="22"/>
          <w:szCs w:val="22"/>
        </w:rPr>
      </w:pPr>
    </w:p>
    <w:p w14:paraId="39C85114" w14:textId="77777777" w:rsidR="008A1DA2" w:rsidRDefault="008A1DA2" w:rsidP="006E32E4">
      <w:pPr>
        <w:spacing w:line="480" w:lineRule="auto"/>
        <w:ind w:firstLine="720"/>
        <w:rPr>
          <w:rFonts w:ascii="Times New Roman" w:hAnsi="Times New Roman" w:cs="Times New Roman"/>
          <w:sz w:val="22"/>
          <w:szCs w:val="22"/>
        </w:rPr>
      </w:pPr>
    </w:p>
    <w:p w14:paraId="7C1D1FF8" w14:textId="77777777" w:rsidR="008A1DA2" w:rsidRPr="00AB079F" w:rsidRDefault="008A1DA2" w:rsidP="006E32E4">
      <w:pPr>
        <w:spacing w:line="480" w:lineRule="auto"/>
        <w:ind w:firstLine="720"/>
        <w:rPr>
          <w:rFonts w:ascii="Times New Roman" w:hAnsi="Times New Roman" w:cs="Times New Roman"/>
          <w:sz w:val="22"/>
          <w:szCs w:val="22"/>
        </w:rPr>
      </w:pPr>
    </w:p>
    <w:p w14:paraId="48DE48E7" w14:textId="667C5A73" w:rsidR="006E32E4" w:rsidRDefault="006E32E4" w:rsidP="006E32E4">
      <w:pPr>
        <w:spacing w:line="480" w:lineRule="auto"/>
        <w:ind w:firstLine="720"/>
        <w:rPr>
          <w:rFonts w:ascii="Garamond" w:hAnsi="Garamond"/>
          <w:sz w:val="22"/>
          <w:szCs w:val="22"/>
        </w:rPr>
      </w:pPr>
      <w:r>
        <w:rPr>
          <w:rFonts w:ascii="Garamond" w:hAnsi="Garamond"/>
          <w:sz w:val="22"/>
          <w:szCs w:val="22"/>
        </w:rPr>
        <w:t xml:space="preserve">** Isotope based methods etc. etc. </w:t>
      </w:r>
    </w:p>
    <w:p w14:paraId="6DA4E404" w14:textId="4765504D" w:rsidR="006E32E4" w:rsidRDefault="006E32E4" w:rsidP="006E32E4">
      <w:pPr>
        <w:spacing w:line="480" w:lineRule="auto"/>
        <w:ind w:firstLine="720"/>
        <w:rPr>
          <w:rFonts w:ascii="Garamond" w:hAnsi="Garamond"/>
          <w:sz w:val="22"/>
          <w:szCs w:val="22"/>
        </w:rPr>
      </w:pPr>
      <w:r>
        <w:rPr>
          <w:rFonts w:ascii="Garamond" w:hAnsi="Garamond"/>
          <w:sz w:val="22"/>
          <w:szCs w:val="22"/>
        </w:rPr>
        <w:lastRenderedPageBreak/>
        <w:t xml:space="preserve">** Machine learning methods. </w:t>
      </w:r>
    </w:p>
    <w:p w14:paraId="1C3EC545" w14:textId="77777777" w:rsidR="006E32E4" w:rsidRDefault="006E32E4" w:rsidP="006E32E4">
      <w:pPr>
        <w:spacing w:line="480" w:lineRule="auto"/>
        <w:ind w:firstLine="720"/>
        <w:rPr>
          <w:rFonts w:ascii="Garamond" w:hAnsi="Garamond"/>
          <w:sz w:val="22"/>
          <w:szCs w:val="22"/>
        </w:rPr>
      </w:pPr>
    </w:p>
    <w:p w14:paraId="62957D0A" w14:textId="77777777" w:rsidR="006E32E4" w:rsidRPr="006E32E4" w:rsidRDefault="006E32E4" w:rsidP="006E32E4">
      <w:pPr>
        <w:spacing w:line="480" w:lineRule="auto"/>
        <w:ind w:firstLine="720"/>
        <w:rPr>
          <w:rFonts w:ascii="Garamond" w:hAnsi="Garamond"/>
          <w:sz w:val="22"/>
          <w:szCs w:val="22"/>
        </w:rPr>
      </w:pPr>
    </w:p>
    <w:p w14:paraId="47DC4DDF" w14:textId="77777777" w:rsidR="006E32E4" w:rsidRDefault="006E32E4" w:rsidP="006E32E4">
      <w:pPr>
        <w:spacing w:line="480" w:lineRule="auto"/>
        <w:ind w:firstLine="720"/>
        <w:rPr>
          <w:rFonts w:ascii="Garamond" w:hAnsi="Garamond"/>
          <w:sz w:val="22"/>
          <w:szCs w:val="22"/>
        </w:rPr>
      </w:pPr>
    </w:p>
    <w:p w14:paraId="678A7ECF" w14:textId="77777777" w:rsidR="006E32E4" w:rsidRDefault="006E32E4" w:rsidP="006E32E4">
      <w:pPr>
        <w:spacing w:line="480" w:lineRule="auto"/>
        <w:ind w:firstLine="720"/>
        <w:rPr>
          <w:rFonts w:ascii="Garamond" w:hAnsi="Garamond"/>
          <w:sz w:val="22"/>
          <w:szCs w:val="22"/>
        </w:rPr>
      </w:pPr>
    </w:p>
    <w:p w14:paraId="18B6AA75" w14:textId="77777777" w:rsidR="006E32E4" w:rsidRDefault="006E32E4" w:rsidP="00F864E5">
      <w:pPr>
        <w:spacing w:line="480" w:lineRule="auto"/>
        <w:ind w:firstLine="720"/>
        <w:rPr>
          <w:rFonts w:ascii="Garamond" w:hAnsi="Garamond"/>
          <w:sz w:val="22"/>
          <w:szCs w:val="22"/>
        </w:rPr>
      </w:pPr>
    </w:p>
    <w:p w14:paraId="0D38FCB3" w14:textId="77777777" w:rsidR="006E32E4" w:rsidRDefault="006E32E4" w:rsidP="00F864E5">
      <w:pPr>
        <w:spacing w:line="480" w:lineRule="auto"/>
        <w:ind w:firstLine="720"/>
        <w:rPr>
          <w:rFonts w:ascii="Garamond" w:hAnsi="Garamond"/>
          <w:sz w:val="22"/>
          <w:szCs w:val="22"/>
        </w:rPr>
      </w:pPr>
    </w:p>
    <w:p w14:paraId="13AE2BCB" w14:textId="77777777" w:rsidR="006E32E4" w:rsidRDefault="006E32E4" w:rsidP="00F864E5">
      <w:pPr>
        <w:spacing w:line="480" w:lineRule="auto"/>
        <w:ind w:firstLine="720"/>
        <w:rPr>
          <w:rFonts w:ascii="Garamond" w:hAnsi="Garamond"/>
          <w:sz w:val="22"/>
          <w:szCs w:val="22"/>
        </w:rPr>
      </w:pPr>
    </w:p>
    <w:p w14:paraId="0E1F1ABB" w14:textId="40629EBA" w:rsidR="0031165E" w:rsidRDefault="004139BE" w:rsidP="00F864E5">
      <w:pPr>
        <w:spacing w:line="480" w:lineRule="auto"/>
        <w:ind w:firstLine="720"/>
        <w:rPr>
          <w:rFonts w:ascii="Garamond" w:hAnsi="Garamond"/>
          <w:sz w:val="22"/>
          <w:szCs w:val="22"/>
        </w:rPr>
      </w:pPr>
      <w:r>
        <w:rPr>
          <w:rFonts w:ascii="Garamond" w:hAnsi="Garamond"/>
          <w:sz w:val="22"/>
          <w:szCs w:val="22"/>
        </w:rPr>
        <w:t xml:space="preserve">One ongoing fisheries research challenge is the need to understand the cause and impact of recent stock collapses of </w:t>
      </w:r>
      <w:r w:rsidR="00E73D9A">
        <w:rPr>
          <w:rFonts w:ascii="Garamond" w:hAnsi="Garamond"/>
          <w:sz w:val="22"/>
          <w:szCs w:val="22"/>
        </w:rPr>
        <w:t>Chinook</w:t>
      </w:r>
      <w:r>
        <w:rPr>
          <w:rFonts w:ascii="Garamond" w:hAnsi="Garamond"/>
          <w:sz w:val="22"/>
          <w:szCs w:val="22"/>
        </w:rPr>
        <w:t xml:space="preserve"> </w:t>
      </w:r>
      <w:r w:rsidR="0031165E">
        <w:rPr>
          <w:rFonts w:ascii="Garamond" w:hAnsi="Garamond"/>
          <w:sz w:val="22"/>
          <w:szCs w:val="22"/>
        </w:rPr>
        <w:t>s</w:t>
      </w:r>
      <w:r>
        <w:rPr>
          <w:rFonts w:ascii="Garamond" w:hAnsi="Garamond"/>
          <w:sz w:val="22"/>
          <w:szCs w:val="22"/>
        </w:rPr>
        <w:t>almon</w:t>
      </w:r>
      <w:r w:rsidR="00E73D9A">
        <w:rPr>
          <w:rFonts w:ascii="Garamond" w:hAnsi="Garamond"/>
          <w:sz w:val="22"/>
          <w:szCs w:val="22"/>
        </w:rPr>
        <w:t xml:space="preserve"> (</w:t>
      </w:r>
      <w:r w:rsidR="00E73D9A" w:rsidRPr="00F864E5">
        <w:rPr>
          <w:rFonts w:ascii="Garamond" w:hAnsi="Garamond"/>
          <w:i/>
          <w:iCs/>
          <w:sz w:val="22"/>
          <w:szCs w:val="22"/>
        </w:rPr>
        <w:t>Oncorhynchus tshawytscha</w:t>
      </w:r>
      <w:r w:rsidR="00E73D9A">
        <w:rPr>
          <w:rFonts w:ascii="Garamond" w:hAnsi="Garamond"/>
          <w:i/>
          <w:iCs/>
          <w:sz w:val="22"/>
          <w:szCs w:val="22"/>
        </w:rPr>
        <w:t>)</w:t>
      </w:r>
      <w:r>
        <w:rPr>
          <w:rFonts w:ascii="Garamond" w:hAnsi="Garamond"/>
          <w:sz w:val="22"/>
          <w:szCs w:val="22"/>
        </w:rPr>
        <w:t xml:space="preserve"> in western Alaska</w:t>
      </w:r>
      <w:r w:rsidR="002F5E0E">
        <w:rPr>
          <w:rFonts w:ascii="Garamond" w:hAnsi="Garamond"/>
          <w:sz w:val="22"/>
          <w:szCs w:val="22"/>
        </w:rPr>
        <w:t xml:space="preserve"> </w:t>
      </w:r>
      <w:r w:rsidR="002F5E0E">
        <w:rPr>
          <w:rFonts w:ascii="Garamond" w:hAnsi="Garamond"/>
          <w:sz w:val="22"/>
          <w:szCs w:val="22"/>
        </w:rPr>
        <w:fldChar w:fldCharType="begin"/>
      </w:r>
      <w:r w:rsidR="00F864E5">
        <w:rPr>
          <w:rFonts w:ascii="Garamond" w:hAnsi="Garamond"/>
          <w:sz w:val="22"/>
          <w:szCs w:val="22"/>
        </w:rPr>
        <w:instrText xml:space="preserve"> ADDIN ZOTERO_ITEM CSL_CITATION {"citationID":"lDhcmwYS","properties":{"formattedCitation":"(Feddern et al., 2023; Lamborn et al., 2025; Ohlberger et al., 2018; Schindler et al., 2013)","plainCitation":"(Feddern et al., 2023; Lamborn et al., 2025; Ohlberger et al., 2018; Schindler et al., 2013)","noteIndex":0},"citationItems":[{"id":4226,"uris":["http://zotero.org/users/8421274/items/53AYSP4H"],"itemData":{"id":4226,"type":"article-journal","abstract":"Understanding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E"},{"family":"Lewis","given":"Bert"}],"issued":{"date-parts":[["2018"]]}}},{"id":5649,"uris":["http://zotero.org/users/8421274/items/LYMQJ7VS"],"itemData":{"id":5649,"type":"article-journal","language":"en","source":"Zotero","title":"Arctic-Yukon-Kuskokwim Sustainable Salmon Initiative Arctic-Yukon-Kuskokwim Chinook Salmon Research Action Plan: Evidence of Decline of Chinook Salmon Populations and Recommendations for Future Research. Prepared for the AYK Sustainable Salmon Initiative (Anchorage, AK). v + 70 pp","author":[{"family":"Schindler","given":"D"},{"family":"Krueger","given":"C"},{"family":"Bisson","given":"P"},{"family":"Bradford","given":"M"},{"family":"Clark","given":"B"},{"family":"Conitz","given":"J"},{"family":"Howard","given":"K"},{"family":"Jones","given":"M"},{"family":"Murphy","given":"J"},{"family":"Myers","given":"K"},{"family":"Scheuerell","given":"M"},{"family":"Volk","given":"E"},{"family":"Winton","given":"J"}],"issued":{"date-parts":[["2013",8]]}}}],"schema":"https://github.com/citation-style-language/schema/raw/master/csl-citation.json"} </w:instrText>
      </w:r>
      <w:r w:rsidR="002F5E0E">
        <w:rPr>
          <w:rFonts w:ascii="Garamond" w:hAnsi="Garamond"/>
          <w:sz w:val="22"/>
          <w:szCs w:val="22"/>
        </w:rPr>
        <w:fldChar w:fldCharType="separate"/>
      </w:r>
      <w:r w:rsidR="00F864E5">
        <w:rPr>
          <w:rFonts w:ascii="Garamond" w:hAnsi="Garamond"/>
          <w:noProof/>
          <w:sz w:val="22"/>
          <w:szCs w:val="22"/>
        </w:rPr>
        <w:t>(Feddern et al., 2023; Lamborn et al., 2025; Ohlberger et al., 2018; Schindler et al., 2013)</w:t>
      </w:r>
      <w:r w:rsidR="002F5E0E">
        <w:rPr>
          <w:rFonts w:ascii="Garamond" w:hAnsi="Garamond"/>
          <w:sz w:val="22"/>
          <w:szCs w:val="22"/>
        </w:rPr>
        <w:fldChar w:fldCharType="end"/>
      </w:r>
      <w:r w:rsidR="002F5E0E">
        <w:rPr>
          <w:rFonts w:ascii="Garamond" w:hAnsi="Garamond"/>
          <w:sz w:val="22"/>
          <w:szCs w:val="22"/>
        </w:rPr>
        <w:t xml:space="preserve">. </w:t>
      </w:r>
      <w:r w:rsidR="00F864E5">
        <w:rPr>
          <w:rFonts w:ascii="Garamond" w:hAnsi="Garamond"/>
          <w:sz w:val="22"/>
          <w:szCs w:val="22"/>
        </w:rPr>
        <w:t>S</w:t>
      </w:r>
      <w:r w:rsidRPr="004139BE">
        <w:rPr>
          <w:rFonts w:ascii="Garamond" w:hAnsi="Garamond"/>
          <w:sz w:val="22"/>
          <w:szCs w:val="22"/>
        </w:rPr>
        <w:t>almon</w:t>
      </w:r>
      <w:r w:rsidR="00F864E5">
        <w:rPr>
          <w:rFonts w:ascii="Garamond" w:hAnsi="Garamond"/>
          <w:sz w:val="22"/>
          <w:szCs w:val="22"/>
        </w:rPr>
        <w:t xml:space="preserve"> in this region</w:t>
      </w:r>
      <w:r w:rsidRPr="004139BE">
        <w:rPr>
          <w:rFonts w:ascii="Garamond" w:hAnsi="Garamond"/>
          <w:sz w:val="22"/>
          <w:szCs w:val="22"/>
        </w:rPr>
        <w:t xml:space="preserve"> su</w:t>
      </w:r>
      <w:r w:rsidR="002F5E0E">
        <w:rPr>
          <w:rFonts w:ascii="Garamond" w:hAnsi="Garamond"/>
          <w:sz w:val="22"/>
          <w:szCs w:val="22"/>
        </w:rPr>
        <w:t>pport</w:t>
      </w:r>
      <w:r w:rsidRPr="004139BE">
        <w:rPr>
          <w:rFonts w:ascii="Garamond" w:hAnsi="Garamond"/>
          <w:sz w:val="22"/>
          <w:szCs w:val="22"/>
        </w:rPr>
        <w:t xml:space="preserve"> lucrative commercial fisher</w:t>
      </w:r>
      <w:r w:rsidR="00E73D9A">
        <w:rPr>
          <w:rFonts w:ascii="Garamond" w:hAnsi="Garamond"/>
          <w:sz w:val="22"/>
          <w:szCs w:val="22"/>
        </w:rPr>
        <w:t>ies</w:t>
      </w:r>
      <w:r w:rsidRPr="004139BE">
        <w:rPr>
          <w:rFonts w:ascii="Garamond" w:hAnsi="Garamond"/>
          <w:sz w:val="22"/>
          <w:szCs w:val="22"/>
        </w:rPr>
        <w:t xml:space="preserve"> and provide subsistence harvests and cultural value for dozens of </w:t>
      </w:r>
      <w:r w:rsidR="002F5E0E">
        <w:rPr>
          <w:rFonts w:ascii="Garamond" w:hAnsi="Garamond"/>
          <w:sz w:val="22"/>
          <w:szCs w:val="22"/>
        </w:rPr>
        <w:t>i</w:t>
      </w:r>
      <w:r w:rsidRPr="004139BE">
        <w:rPr>
          <w:rFonts w:ascii="Garamond" w:hAnsi="Garamond"/>
          <w:sz w:val="22"/>
          <w:szCs w:val="22"/>
        </w:rPr>
        <w:t>ndigenous communities</w:t>
      </w:r>
      <w:r w:rsidR="002F5E0E">
        <w:rPr>
          <w:rFonts w:ascii="Garamond" w:hAnsi="Garamond"/>
          <w:sz w:val="22"/>
          <w:szCs w:val="22"/>
        </w:rPr>
        <w:t xml:space="preserve"> </w:t>
      </w:r>
      <w:r w:rsidR="002F5E0E">
        <w:rPr>
          <w:rFonts w:ascii="Garamond" w:hAnsi="Garamond"/>
          <w:sz w:val="22"/>
          <w:szCs w:val="22"/>
        </w:rPr>
        <w:fldChar w:fldCharType="begin"/>
      </w:r>
      <w:r w:rsidR="00525222">
        <w:rPr>
          <w:rFonts w:ascii="Garamond" w:hAnsi="Garamond"/>
          <w:sz w:val="22"/>
          <w:szCs w:val="22"/>
        </w:rPr>
        <w:instrText xml:space="preserve"> ADDIN ZOTERO_ITEM CSL_CITATION {"citationID":"WNxsp5Xb","properties":{"formattedCitation":"(Esquible, 2024; Moncrieff, 2017)","plainCitation":"(Esquible, 2024; Moncrieff, 2017)","noteIndex":0},"citationItems":[{"id":5642,"uris":["http://zotero.org/users/8421274/items/IM4GUPIR"],"itemData":{"id":5642,"type":"thesis","abstract":"This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id":4522,"uris":["http://zotero.org/users/8421274/items/XNEKH7SB"],"itemData":{"id":4522,"type":"report","publisher":"Yukon River Drainage Fisheries Association. Anchorage, Alaska","title":"How People of the Yukon River Value Salmon: A case study on the lower, middle, and upper portions of the Yukon river. Final report to the North Pacific Research Board project #1413","URL":"https://www.yukonsalmon.org/wp-content/uploads/Value-of-Salmon-Final-Report.pdf","author":[{"family":"Moncrieff","given":"C.F."}],"accessed":{"date-parts":[["2024",9,12]]},"issued":{"date-parts":[["2017",10]]}}}],"schema":"https://github.com/citation-style-language/schema/raw/master/csl-citation.json"} </w:instrText>
      </w:r>
      <w:r w:rsidR="002F5E0E">
        <w:rPr>
          <w:rFonts w:ascii="Garamond" w:hAnsi="Garamond"/>
          <w:sz w:val="22"/>
          <w:szCs w:val="22"/>
        </w:rPr>
        <w:fldChar w:fldCharType="separate"/>
      </w:r>
      <w:r w:rsidR="00525222">
        <w:rPr>
          <w:rFonts w:ascii="Garamond" w:hAnsi="Garamond"/>
          <w:noProof/>
          <w:sz w:val="22"/>
          <w:szCs w:val="22"/>
        </w:rPr>
        <w:t>(Esquible, 2024; Moncrieff, 2017)</w:t>
      </w:r>
      <w:r w:rsidR="002F5E0E">
        <w:rPr>
          <w:rFonts w:ascii="Garamond" w:hAnsi="Garamond"/>
          <w:sz w:val="22"/>
          <w:szCs w:val="22"/>
        </w:rPr>
        <w:fldChar w:fldCharType="end"/>
      </w:r>
      <w:r w:rsidR="00525222">
        <w:rPr>
          <w:rFonts w:ascii="Garamond" w:hAnsi="Garamond"/>
          <w:sz w:val="22"/>
          <w:szCs w:val="22"/>
        </w:rPr>
        <w:t xml:space="preserve">. </w:t>
      </w:r>
      <w:r w:rsidR="00F864E5" w:rsidRPr="00F864E5">
        <w:rPr>
          <w:rFonts w:ascii="Garamond" w:hAnsi="Garamond"/>
          <w:sz w:val="22"/>
          <w:szCs w:val="22"/>
        </w:rPr>
        <w:t>However, r</w:t>
      </w:r>
      <w:r w:rsidR="00215662" w:rsidRPr="00F864E5">
        <w:rPr>
          <w:rFonts w:ascii="Garamond" w:hAnsi="Garamond"/>
          <w:sz w:val="22"/>
          <w:szCs w:val="22"/>
        </w:rPr>
        <w:t>ecent declines</w:t>
      </w:r>
      <w:r w:rsidR="00F864E5" w:rsidRPr="00F864E5">
        <w:rPr>
          <w:rFonts w:ascii="Garamond" w:hAnsi="Garamond"/>
          <w:sz w:val="22"/>
          <w:szCs w:val="22"/>
        </w:rPr>
        <w:t xml:space="preserve"> </w:t>
      </w:r>
      <w:r w:rsidR="00E73D9A">
        <w:rPr>
          <w:rFonts w:ascii="Garamond" w:hAnsi="Garamond"/>
          <w:sz w:val="22"/>
          <w:szCs w:val="22"/>
        </w:rPr>
        <w:t xml:space="preserve">in Chinook salmon to the three major watersheds in the region (the Yukon, Kuskokwim, and </w:t>
      </w:r>
      <w:proofErr w:type="spellStart"/>
      <w:r w:rsidR="00E73D9A">
        <w:rPr>
          <w:rFonts w:ascii="Garamond" w:hAnsi="Garamond"/>
          <w:sz w:val="22"/>
          <w:szCs w:val="22"/>
        </w:rPr>
        <w:t>Nushagak</w:t>
      </w:r>
      <w:proofErr w:type="spellEnd"/>
      <w:r w:rsidR="00E73D9A">
        <w:rPr>
          <w:rFonts w:ascii="Garamond" w:hAnsi="Garamond"/>
          <w:sz w:val="22"/>
          <w:szCs w:val="22"/>
        </w:rPr>
        <w:t xml:space="preserve"> river-basins) </w:t>
      </w:r>
      <w:r w:rsidR="00215662" w:rsidRPr="00F864E5">
        <w:rPr>
          <w:rFonts w:ascii="Garamond" w:hAnsi="Garamond"/>
          <w:sz w:val="22"/>
          <w:szCs w:val="22"/>
        </w:rPr>
        <w:t>have</w:t>
      </w:r>
      <w:r w:rsidR="00F864E5">
        <w:rPr>
          <w:rFonts w:ascii="Garamond" w:hAnsi="Garamond"/>
          <w:sz w:val="22"/>
          <w:szCs w:val="22"/>
        </w:rPr>
        <w:t xml:space="preserve">. </w:t>
      </w:r>
      <w:r w:rsidR="00302CA2" w:rsidRPr="00302CA2">
        <w:rPr>
          <w:rFonts w:ascii="Garamond" w:hAnsi="Garamond"/>
          <w:sz w:val="22"/>
          <w:szCs w:val="22"/>
        </w:rPr>
        <w:t xml:space="preserve">As a </w:t>
      </w:r>
      <w:proofErr w:type="gramStart"/>
      <w:r w:rsidR="00302CA2" w:rsidRPr="00302CA2">
        <w:rPr>
          <w:rFonts w:ascii="Garamond" w:hAnsi="Garamond"/>
          <w:sz w:val="22"/>
          <w:szCs w:val="22"/>
        </w:rPr>
        <w:t>result</w:t>
      </w:r>
      <w:proofErr w:type="gramEnd"/>
      <w:r w:rsidR="00E73D9A">
        <w:rPr>
          <w:rFonts w:ascii="Garamond" w:hAnsi="Garamond"/>
          <w:sz w:val="22"/>
          <w:szCs w:val="22"/>
        </w:rPr>
        <w:t xml:space="preserve"> </w:t>
      </w:r>
      <w:r w:rsidR="00302CA2" w:rsidRPr="00302CA2">
        <w:rPr>
          <w:rFonts w:ascii="Garamond" w:hAnsi="Garamond"/>
          <w:sz w:val="22"/>
          <w:szCs w:val="22"/>
        </w:rPr>
        <w:t xml:space="preserve">there is an urgent need to explore hypotheses related to the stock collapse </w:t>
      </w:r>
      <w:r w:rsidR="00F864E5">
        <w:rPr>
          <w:rFonts w:ascii="Garamond" w:hAnsi="Garamond"/>
          <w:sz w:val="22"/>
          <w:szCs w:val="22"/>
        </w:rPr>
        <w:t xml:space="preserve">and </w:t>
      </w:r>
      <w:r w:rsidR="00302CA2" w:rsidRPr="00302CA2">
        <w:rPr>
          <w:rFonts w:ascii="Garamond" w:hAnsi="Garamond"/>
          <w:sz w:val="22"/>
          <w:szCs w:val="22"/>
        </w:rPr>
        <w:t>assess the spatial distribution of impacts across the region.</w:t>
      </w:r>
    </w:p>
    <w:p w14:paraId="368E1CAE" w14:textId="77777777" w:rsidR="00511B5E" w:rsidRDefault="00E73D9A" w:rsidP="00511B5E">
      <w:pPr>
        <w:spacing w:line="480" w:lineRule="auto"/>
        <w:ind w:firstLine="720"/>
        <w:rPr>
          <w:rFonts w:ascii="Garamond" w:hAnsi="Garamond"/>
          <w:sz w:val="22"/>
          <w:szCs w:val="22"/>
        </w:rPr>
      </w:pPr>
      <w:r w:rsidRPr="00E73D9A">
        <w:rPr>
          <w:rFonts w:ascii="Garamond" w:hAnsi="Garamond"/>
          <w:sz w:val="22"/>
          <w:szCs w:val="22"/>
        </w:rPr>
        <w:t xml:space="preserve">Several plausible explanations have been advanced for the decline in overall population health, with many leading hypotheses focusing on drivers of marine mortality </w:t>
      </w:r>
      <w:r w:rsidR="00096BA7" w:rsidRPr="00E73D9A">
        <w:rPr>
          <w:rFonts w:ascii="Garamond" w:hAnsi="Garamond"/>
          <w:sz w:val="22"/>
          <w:szCs w:val="22"/>
        </w:rPr>
        <w:fldChar w:fldCharType="begin"/>
      </w:r>
      <w:r w:rsidR="00096BA7" w:rsidRPr="00E73D9A">
        <w:rPr>
          <w:rFonts w:ascii="Garamond" w:hAnsi="Garamond"/>
          <w:sz w:val="22"/>
          <w:szCs w:val="22"/>
        </w:rPr>
        <w:instrText xml:space="preserve"> ADDIN ZOTERO_ITEM CSL_CITATION {"citationID":"K3kQcsWX","properties":{"formattedCitation":"(Lamborn et al., 2025)","plainCitation":"(Lamborn et al., 2025)","noteIndex":0},"citationItems":[{"id":5644,"uris":["http://zotero.org/users/8421274/items/68HTP6NW"],"itemData":{"id":5644,"type":"article-journal","abstract":"Across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W."}],"issued":{"date-parts":[["2025"]]}}}],"schema":"https://github.com/citation-style-language/schema/raw/master/csl-citation.json"} </w:instrText>
      </w:r>
      <w:r w:rsidR="00096BA7" w:rsidRPr="00E73D9A">
        <w:rPr>
          <w:rFonts w:ascii="Garamond" w:hAnsi="Garamond"/>
          <w:sz w:val="22"/>
          <w:szCs w:val="22"/>
        </w:rPr>
        <w:fldChar w:fldCharType="separate"/>
      </w:r>
      <w:r w:rsidR="00096BA7" w:rsidRPr="00E73D9A">
        <w:rPr>
          <w:rFonts w:ascii="Garamond" w:hAnsi="Garamond"/>
          <w:noProof/>
          <w:sz w:val="22"/>
          <w:szCs w:val="22"/>
        </w:rPr>
        <w:t>(Lamborn et al., 2025)</w:t>
      </w:r>
      <w:r w:rsidR="00096BA7" w:rsidRPr="00E73D9A">
        <w:rPr>
          <w:rFonts w:ascii="Garamond" w:hAnsi="Garamond"/>
          <w:sz w:val="22"/>
          <w:szCs w:val="22"/>
        </w:rPr>
        <w:fldChar w:fldCharType="end"/>
      </w:r>
      <w:r w:rsidR="00096BA7" w:rsidRPr="00E73D9A">
        <w:rPr>
          <w:rFonts w:ascii="Garamond" w:hAnsi="Garamond"/>
          <w:sz w:val="22"/>
          <w:szCs w:val="22"/>
        </w:rPr>
        <w:t>.</w:t>
      </w:r>
      <w:r w:rsidR="00096BA7">
        <w:rPr>
          <w:rFonts w:ascii="Garamond" w:hAnsi="Garamond"/>
          <w:sz w:val="22"/>
          <w:szCs w:val="22"/>
        </w:rPr>
        <w:t xml:space="preserve"> </w:t>
      </w:r>
      <w:r w:rsidRPr="00E73D9A">
        <w:rPr>
          <w:rFonts w:ascii="Garamond" w:hAnsi="Garamond"/>
          <w:sz w:val="22"/>
          <w:szCs w:val="22"/>
        </w:rPr>
        <w:t>Assessment of these hypotheses in relation to river- or stock-specific population health has been hindered by the limited ability to determine the provenance of marine-caught fish at fine spatial scales</w:t>
      </w:r>
      <w:r w:rsidR="0031165E" w:rsidRPr="00E73D9A">
        <w:rPr>
          <w:rFonts w:ascii="Garamond" w:hAnsi="Garamond"/>
          <w:sz w:val="22"/>
          <w:szCs w:val="22"/>
        </w:rPr>
        <w:t xml:space="preserve">. </w:t>
      </w:r>
      <w:r>
        <w:rPr>
          <w:rFonts w:ascii="Garamond" w:hAnsi="Garamond"/>
          <w:sz w:val="22"/>
          <w:szCs w:val="22"/>
        </w:rPr>
        <w:t>For</w:t>
      </w:r>
      <w:r w:rsidR="0063065E" w:rsidRPr="0063065E">
        <w:rPr>
          <w:rFonts w:ascii="Garamond" w:hAnsi="Garamond"/>
          <w:sz w:val="22"/>
          <w:szCs w:val="22"/>
        </w:rPr>
        <w:t xml:space="preserve"> Chinook salmon</w:t>
      </w:r>
      <w:r>
        <w:rPr>
          <w:rFonts w:ascii="Garamond" w:hAnsi="Garamond"/>
          <w:sz w:val="22"/>
          <w:szCs w:val="22"/>
        </w:rPr>
        <w:t xml:space="preserve"> in Western Alaska</w:t>
      </w:r>
      <w:r w:rsidR="0063065E" w:rsidRPr="0063065E">
        <w:rPr>
          <w:rFonts w:ascii="Garamond" w:hAnsi="Garamond"/>
          <w:sz w:val="22"/>
          <w:szCs w:val="22"/>
        </w:rPr>
        <w:t>, standard</w:t>
      </w:r>
      <w:r>
        <w:rPr>
          <w:rFonts w:ascii="Garamond" w:hAnsi="Garamond"/>
          <w:sz w:val="22"/>
          <w:szCs w:val="22"/>
        </w:rPr>
        <w:t xml:space="preserve"> approaches</w:t>
      </w:r>
      <w:r w:rsidR="0063065E" w:rsidRPr="0063065E">
        <w:rPr>
          <w:rFonts w:ascii="Garamond" w:hAnsi="Garamond"/>
          <w:sz w:val="22"/>
          <w:szCs w:val="22"/>
        </w:rPr>
        <w:t xml:space="preserve"> such as genetic stock identification (GSI) </w:t>
      </w:r>
      <w:r>
        <w:rPr>
          <w:rFonts w:ascii="Garamond" w:hAnsi="Garamond"/>
          <w:sz w:val="22"/>
          <w:szCs w:val="22"/>
        </w:rPr>
        <w:t xml:space="preserve">provide </w:t>
      </w:r>
      <w:r w:rsidR="0063065E" w:rsidRPr="0063065E">
        <w:rPr>
          <w:rFonts w:ascii="Garamond" w:hAnsi="Garamond"/>
          <w:sz w:val="22"/>
          <w:szCs w:val="22"/>
        </w:rPr>
        <w:t>provenance</w:t>
      </w:r>
      <w:r>
        <w:rPr>
          <w:rFonts w:ascii="Garamond" w:hAnsi="Garamond"/>
          <w:sz w:val="22"/>
          <w:szCs w:val="22"/>
        </w:rPr>
        <w:t xml:space="preserve"> estimates</w:t>
      </w:r>
      <w:r w:rsidR="0063065E" w:rsidRPr="0063065E">
        <w:rPr>
          <w:rFonts w:ascii="Garamond" w:hAnsi="Garamond"/>
          <w:sz w:val="22"/>
          <w:szCs w:val="22"/>
        </w:rPr>
        <w:t xml:space="preserve"> at relatively coarse spatial scales (</w:t>
      </w:r>
      <w:r>
        <w:rPr>
          <w:rFonts w:ascii="Garamond" w:hAnsi="Garamond"/>
          <w:sz w:val="22"/>
          <w:szCs w:val="22"/>
        </w:rPr>
        <w:t>e.g.</w:t>
      </w:r>
      <w:r w:rsidR="0063065E" w:rsidRPr="0063065E">
        <w:rPr>
          <w:rFonts w:ascii="Garamond" w:hAnsi="Garamond"/>
          <w:sz w:val="22"/>
          <w:szCs w:val="22"/>
        </w:rPr>
        <w:t>, coastal western Alaska) but cannot</w:t>
      </w:r>
      <w:r>
        <w:rPr>
          <w:rFonts w:ascii="Garamond" w:hAnsi="Garamond"/>
          <w:sz w:val="22"/>
          <w:szCs w:val="22"/>
        </w:rPr>
        <w:t xml:space="preserve"> </w:t>
      </w:r>
      <w:r w:rsidR="0063065E" w:rsidRPr="0063065E">
        <w:rPr>
          <w:rFonts w:ascii="Garamond" w:hAnsi="Garamond"/>
          <w:sz w:val="22"/>
          <w:szCs w:val="22"/>
        </w:rPr>
        <w:t xml:space="preserve">distinguish </w:t>
      </w:r>
      <w:r w:rsidR="00096BA7">
        <w:rPr>
          <w:rFonts w:ascii="Garamond" w:hAnsi="Garamond"/>
          <w:sz w:val="22"/>
          <w:szCs w:val="22"/>
        </w:rPr>
        <w:t xml:space="preserve">among </w:t>
      </w:r>
      <w:r w:rsidR="0063065E" w:rsidRPr="0063065E">
        <w:rPr>
          <w:rFonts w:ascii="Garamond" w:hAnsi="Garamond"/>
          <w:sz w:val="22"/>
          <w:szCs w:val="22"/>
        </w:rPr>
        <w:t>rivers within</w:t>
      </w:r>
      <w:r w:rsidR="00096BA7">
        <w:rPr>
          <w:rFonts w:ascii="Garamond" w:hAnsi="Garamond"/>
          <w:sz w:val="22"/>
          <w:szCs w:val="22"/>
        </w:rPr>
        <w:t xml:space="preserve"> </w:t>
      </w:r>
      <w:r w:rsidR="0063065E" w:rsidRPr="0063065E">
        <w:rPr>
          <w:rFonts w:ascii="Garamond" w:hAnsi="Garamond"/>
          <w:sz w:val="22"/>
          <w:szCs w:val="22"/>
        </w:rPr>
        <w:t>current genetic baseline</w:t>
      </w:r>
      <w:r>
        <w:rPr>
          <w:rFonts w:ascii="Garamond" w:hAnsi="Garamond"/>
          <w:sz w:val="22"/>
          <w:szCs w:val="22"/>
        </w:rPr>
        <w:t>s</w:t>
      </w:r>
      <w:r w:rsidR="0099371C">
        <w:rPr>
          <w:rFonts w:ascii="Garamond" w:hAnsi="Garamond"/>
          <w:sz w:val="22"/>
          <w:szCs w:val="22"/>
        </w:rPr>
        <w:t xml:space="preserve">. </w:t>
      </w:r>
    </w:p>
    <w:p w14:paraId="20AAF5DF" w14:textId="736454BF" w:rsidR="00820C00" w:rsidRPr="00511B5E" w:rsidRDefault="00820C00" w:rsidP="00511B5E">
      <w:pPr>
        <w:spacing w:line="480" w:lineRule="auto"/>
        <w:ind w:firstLine="720"/>
      </w:pPr>
      <w:r w:rsidRPr="00820C00">
        <w:rPr>
          <w:rFonts w:ascii="Garamond" w:hAnsi="Garamond"/>
          <w:sz w:val="22"/>
          <w:szCs w:val="22"/>
        </w:rPr>
        <w:lastRenderedPageBreak/>
        <w:t>Isotope-based methods for estimating provenance from ear stones found in fish</w:t>
      </w:r>
      <w:r w:rsidR="0099371C">
        <w:rPr>
          <w:rFonts w:ascii="Garamond" w:hAnsi="Garamond"/>
          <w:sz w:val="22"/>
          <w:szCs w:val="22"/>
        </w:rPr>
        <w:t>, or otoliths,</w:t>
      </w:r>
      <w:r w:rsidRPr="00820C00">
        <w:rPr>
          <w:rFonts w:ascii="Garamond" w:hAnsi="Garamond"/>
          <w:sz w:val="22"/>
          <w:szCs w:val="22"/>
        </w:rPr>
        <w:t xml:space="preserve"> have shown promise as an alternative approach that can provide more refined spatial resolution than genetics in some cases</w:t>
      </w:r>
      <w:r w:rsidR="0099371C">
        <w:rPr>
          <w:rFonts w:ascii="Garamond" w:hAnsi="Garamond"/>
          <w:sz w:val="22"/>
          <w:szCs w:val="22"/>
        </w:rPr>
        <w:t xml:space="preserve"> </w:t>
      </w:r>
      <w:r w:rsidR="0099371C">
        <w:rPr>
          <w:rFonts w:ascii="Garamond" w:hAnsi="Garamond"/>
          <w:sz w:val="22"/>
          <w:szCs w:val="22"/>
        </w:rPr>
        <w:fldChar w:fldCharType="begin"/>
      </w:r>
      <w:r w:rsidR="0099371C">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99371C">
        <w:rPr>
          <w:rFonts w:ascii="Garamond" w:hAnsi="Garamond"/>
          <w:sz w:val="22"/>
          <w:szCs w:val="22"/>
        </w:rPr>
        <w:fldChar w:fldCharType="separate"/>
      </w:r>
      <w:r w:rsidR="0099371C">
        <w:rPr>
          <w:rFonts w:ascii="Garamond" w:hAnsi="Garamond"/>
          <w:noProof/>
          <w:sz w:val="22"/>
          <w:szCs w:val="22"/>
        </w:rPr>
        <w:t>(Brennan et al., 2015; Brennan &amp; Schindler, 2017; Kennedy et al., 1997)</w:t>
      </w:r>
      <w:r w:rsidR="0099371C">
        <w:rPr>
          <w:rFonts w:ascii="Garamond" w:hAnsi="Garamond"/>
          <w:sz w:val="22"/>
          <w:szCs w:val="22"/>
        </w:rPr>
        <w:fldChar w:fldCharType="end"/>
      </w:r>
      <w:r w:rsidR="0099371C">
        <w:rPr>
          <w:rFonts w:ascii="Garamond" w:hAnsi="Garamond"/>
          <w:sz w:val="22"/>
          <w:szCs w:val="22"/>
        </w:rPr>
        <w:t xml:space="preserve">. </w:t>
      </w:r>
      <w:r w:rsidRPr="00820C00">
        <w:rPr>
          <w:rFonts w:ascii="Garamond" w:hAnsi="Garamond"/>
          <w:sz w:val="22"/>
          <w:szCs w:val="22"/>
        </w:rPr>
        <w:t xml:space="preserve">The relative ratio of </w:t>
      </w:r>
      <w:r w:rsidR="00511B5E">
        <w:rPr>
          <w:rFonts w:ascii="Garamond" w:hAnsi="Garamond"/>
          <w:sz w:val="22"/>
          <w:szCs w:val="22"/>
        </w:rPr>
        <w:t>s</w:t>
      </w:r>
      <w:r w:rsidRPr="00820C00">
        <w:rPr>
          <w:rFonts w:ascii="Garamond" w:hAnsi="Garamond"/>
          <w:sz w:val="22"/>
          <w:szCs w:val="22"/>
        </w:rPr>
        <w:t>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is an isotopic tracer that is heterogeneously distributed across geologically diverse landscapes, faithfully incorporated into otoliths, and has been shown to be temporally stable in Alaskan watersheds</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(Bataille &amp; Bowen, 2012; Brennan et al., 2015; Campana, 1999; Capo et al., 1998)</w:t>
      </w:r>
      <w:r w:rsidR="00511B5E">
        <w:rPr>
          <w:rFonts w:ascii="Garamond" w:hAnsi="Garamond"/>
          <w:sz w:val="22"/>
          <w:szCs w:val="22"/>
        </w:rPr>
        <w:fldChar w:fldCharType="end"/>
      </w:r>
      <w:r w:rsidRPr="00820C00">
        <w:rPr>
          <w:rFonts w:ascii="Garamond" w:hAnsi="Garamond"/>
          <w:sz w:val="22"/>
          <w:szCs w:val="22"/>
        </w:rPr>
        <w:t xml:space="preserve">.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t xml:space="preserve"> </w:t>
      </w:r>
      <w:r w:rsidRPr="00820C00">
        <w:rPr>
          <w:rFonts w:ascii="Garamond" w:hAnsi="Garamond"/>
          <w:sz w:val="22"/>
          <w:szCs w:val="22"/>
        </w:rPr>
        <w:t>Despite its precision, this method is limited by the level of isotopic heterogeneity relative to the spatial scale of interest</w:t>
      </w:r>
      <w:r w:rsidR="00511B5E">
        <w:rPr>
          <w:rFonts w:ascii="Garamond" w:hAnsi="Garamond"/>
          <w:sz w:val="22"/>
          <w:szCs w:val="22"/>
        </w:rPr>
        <w:t xml:space="preserve"> </w:t>
      </w:r>
      <w:r w:rsidR="00511B5E">
        <w:rPr>
          <w:rFonts w:ascii="Garamond" w:hAnsi="Garamond"/>
          <w:sz w:val="22"/>
          <w:szCs w:val="22"/>
        </w:rPr>
        <w:fldChar w:fldCharType="begin"/>
      </w:r>
      <w:r w:rsidR="00511B5E">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511B5E">
        <w:rPr>
          <w:rFonts w:ascii="Garamond" w:hAnsi="Garamond"/>
          <w:sz w:val="22"/>
          <w:szCs w:val="22"/>
        </w:rPr>
        <w:fldChar w:fldCharType="separate"/>
      </w:r>
      <w:r w:rsidR="00511B5E">
        <w:rPr>
          <w:rFonts w:ascii="Garamond" w:hAnsi="Garamond"/>
          <w:noProof/>
          <w:sz w:val="22"/>
          <w:szCs w:val="22"/>
        </w:rPr>
        <w:t>(Makhlouf et al., 2025)</w:t>
      </w:r>
      <w:r w:rsidR="00511B5E">
        <w:rPr>
          <w:rFonts w:ascii="Garamond" w:hAnsi="Garamond"/>
          <w:sz w:val="22"/>
          <w:szCs w:val="22"/>
        </w:rPr>
        <w:fldChar w:fldCharType="end"/>
      </w:r>
      <w:r w:rsidRPr="00820C00">
        <w:rPr>
          <w:rFonts w:ascii="Garamond" w:hAnsi="Garamond"/>
          <w:sz w:val="22"/>
          <w:szCs w:val="22"/>
        </w:rPr>
        <w:t xml:space="preserve">. </w:t>
      </w:r>
      <w:r w:rsidR="00F52F54" w:rsidRPr="00F52F54">
        <w:rPr>
          <w:rFonts w:ascii="Garamond" w:hAnsi="Garamond"/>
          <w:sz w:val="22"/>
          <w:szCs w:val="22"/>
        </w:rPr>
        <w:t xml:space="preserve">While within-basin provenance is possible in Western Alaskan watersheds, regional overlap among the three major river systems creates high uncertainty, preventing reliable assignments of marine-caught fish when relying on a single natal </w:t>
      </w:r>
      <w:r w:rsidR="00F52F54" w:rsidRPr="00F52F54">
        <w:rPr>
          <w:rFonts w:ascii="Cambria Math" w:hAnsi="Cambria Math" w:cs="Cambria Math"/>
          <w:sz w:val="22"/>
          <w:szCs w:val="22"/>
        </w:rPr>
        <w:t>⁸⁷</w:t>
      </w:r>
      <w:r w:rsidR="00F52F54" w:rsidRPr="00F52F54">
        <w:rPr>
          <w:rFonts w:ascii="Garamond" w:hAnsi="Garamond"/>
          <w:sz w:val="22"/>
          <w:szCs w:val="22"/>
        </w:rPr>
        <w:t>Sr/</w:t>
      </w:r>
      <w:r w:rsidR="00F52F54" w:rsidRPr="00F52F54">
        <w:rPr>
          <w:rFonts w:ascii="Cambria Math" w:hAnsi="Cambria Math" w:cs="Cambria Math"/>
          <w:sz w:val="22"/>
          <w:szCs w:val="22"/>
        </w:rPr>
        <w:t>⁸⁶</w:t>
      </w:r>
      <w:r w:rsidR="00F52F54" w:rsidRPr="00F52F54">
        <w:rPr>
          <w:rFonts w:ascii="Garamond" w:hAnsi="Garamond"/>
          <w:sz w:val="22"/>
          <w:szCs w:val="22"/>
        </w:rPr>
        <w:t>Sr value (Figure 1).</w:t>
      </w:r>
    </w:p>
    <w:p w14:paraId="6B62FC2C" w14:textId="693D73CA"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257118">
        <w:rPr>
          <w:rFonts w:ascii="Cambria Math" w:hAnsi="Cambria Math" w:cs="Cambria Math"/>
          <w:sz w:val="22"/>
          <w:szCs w:val="22"/>
        </w:rPr>
        <w:t>⁸⁷</w:t>
      </w:r>
      <w:r w:rsidRPr="00257118">
        <w:rPr>
          <w:rFonts w:ascii="Garamond" w:hAnsi="Garamond"/>
          <w:sz w:val="22"/>
          <w:szCs w:val="22"/>
        </w:rPr>
        <w:t>Sr/</w:t>
      </w:r>
      <w:r w:rsidRPr="00257118">
        <w:rPr>
          <w:rFonts w:ascii="Cambria Math" w:hAnsi="Cambria Math" w:cs="Cambria Math"/>
          <w:sz w:val="22"/>
          <w:szCs w:val="22"/>
        </w:rPr>
        <w:t>⁸⁶</w:t>
      </w:r>
      <w:r w:rsidRPr="00257118">
        <w:rPr>
          <w:rFonts w:ascii="Garamond" w:hAnsi="Garamond"/>
          <w:sz w:val="22"/>
          <w:szCs w:val="22"/>
        </w:rPr>
        <w:t>Sr</w:t>
      </w:r>
      <w:r w:rsidRPr="00820C00">
        <w:rPr>
          <w:rFonts w:ascii="Garamond" w:hAnsi="Garamond"/>
          <w:sz w:val="22"/>
          <w:szCs w:val="22"/>
        </w:rPr>
        <w:t xml:space="preserve"> values along the growth axis of the otolith represent an integrated time series </w:t>
      </w:r>
      <w:r w:rsidR="00257118">
        <w:rPr>
          <w:rFonts w:ascii="Garamond" w:hAnsi="Garamond"/>
          <w:sz w:val="22"/>
          <w:szCs w:val="22"/>
        </w:rPr>
        <w:t xml:space="preserve">of experienced </w:t>
      </w:r>
      <w:r w:rsidR="00257118" w:rsidRPr="00257118">
        <w:rPr>
          <w:rFonts w:ascii="Cambria Math" w:hAnsi="Cambria Math" w:cs="Cambria Math"/>
          <w:sz w:val="22"/>
          <w:szCs w:val="22"/>
        </w:rPr>
        <w:t>⁸⁷</w:t>
      </w:r>
      <w:r w:rsidR="00257118" w:rsidRPr="00257118">
        <w:rPr>
          <w:rFonts w:ascii="Garamond" w:hAnsi="Garamond"/>
          <w:sz w:val="22"/>
          <w:szCs w:val="22"/>
        </w:rPr>
        <w:t>Sr/</w:t>
      </w:r>
      <w:r w:rsidR="00257118" w:rsidRPr="00257118">
        <w:rPr>
          <w:rFonts w:ascii="Cambria Math" w:hAnsi="Cambria Math" w:cs="Cambria Math"/>
          <w:sz w:val="22"/>
          <w:szCs w:val="22"/>
        </w:rPr>
        <w:t>⁸⁶</w:t>
      </w:r>
      <w:r w:rsidR="00257118" w:rsidRPr="00257118">
        <w:rPr>
          <w:rFonts w:ascii="Garamond" w:hAnsi="Garamond"/>
          <w:sz w:val="22"/>
          <w:szCs w:val="22"/>
        </w:rPr>
        <w:t>Sr</w:t>
      </w:r>
      <w:r w:rsidR="00257118">
        <w:rPr>
          <w:rFonts w:ascii="Garamond" w:hAnsi="Garamond"/>
          <w:sz w:val="22"/>
          <w:szCs w:val="22"/>
        </w:rPr>
        <w:t xml:space="preserve"> values </w:t>
      </w:r>
      <w:r w:rsidRPr="00820C00">
        <w:rPr>
          <w:rFonts w:ascii="Garamond" w:hAnsi="Garamond"/>
          <w:sz w:val="22"/>
          <w:szCs w:val="22"/>
        </w:rPr>
        <w:t>from early development until capture. These data contain information on sequential habitat use, relative growth among habitats, and even the migration history of the mother</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(Hegg et al., 2019; Reis-Santos et al., 2022)</w:t>
      </w:r>
      <w:r w:rsidR="00257118">
        <w:rPr>
          <w:rFonts w:ascii="Garamond" w:hAnsi="Garamond"/>
          <w:sz w:val="22"/>
          <w:szCs w:val="22"/>
        </w:rPr>
        <w:fldChar w:fldCharType="end"/>
      </w:r>
      <w:r w:rsidRPr="00820C00">
        <w:rPr>
          <w:rFonts w:ascii="Garamond" w:hAnsi="Garamond"/>
          <w:sz w:val="22"/>
          <w:szCs w:val="22"/>
        </w:rPr>
        <w:t>. In some cases, these sequential habitat signatures can be used to reconstruct complete life history characteristics</w:t>
      </w:r>
      <w:r w:rsidR="00257118">
        <w:rPr>
          <w:rFonts w:ascii="Garamond" w:hAnsi="Garamond"/>
          <w:sz w:val="22"/>
          <w:szCs w:val="22"/>
        </w:rPr>
        <w:t xml:space="preserve"> </w:t>
      </w:r>
      <w:r w:rsidR="00257118">
        <w:rPr>
          <w:rFonts w:ascii="Garamond" w:hAnsi="Garamond"/>
          <w:sz w:val="22"/>
          <w:szCs w:val="22"/>
        </w:rPr>
        <w:fldChar w:fldCharType="begin"/>
      </w:r>
      <w:r w:rsidR="00257118">
        <w:rPr>
          <w:rFonts w:ascii="Garamond" w:hAnsi="Garamond"/>
          <w:sz w:val="22"/>
          <w:szCs w:val="22"/>
        </w:rPr>
        <w:instrText xml:space="preserve"> ADDIN ZOTERO_ITEM CSL_CITATION {"citationID":"0shmwRgQ","properties":{"formattedCitation":"(Starrs et al., 2016; Walther &amp; Limburg, 2012)","plainCitation":"(Starrs et al., 2016; Walther &amp; Limburg, 2012)","noteIndex":0},"citationItems":[{"id":2461,"uris":["http://zotero.org/users/8421274/items/XVDC8YTH"],"itemData":{"id":2461,"type":"article-journal","abstract":"Obtaining biological and spatial information of the early life history (ELH) phases of fishes has been problematic, such that larval and juvenile phases are often referred to as the ‘black box’ of fish population biology and ecology. However, a potent source of life-history data has been mined from the earstones (otoliths) of bony fishes. We systematically reviewed 476 empirical papers published between 2005 and 2012 (inclusive) that used otoliths to examine fish ELH phases, which has been an area of increasing attention over this period. We found that otolith-based research during this period could be split into two broad themes according to whether studies examined: (i) biological objectives related to intrinsic processes such as larval and juvenile age, growth and mortality, and/or (ii) spatial objectives, such as habitat use, dispersal and migration. Surprisingly, just 24 studies (5%) explored a combined biological–spatial objective by simultaneously exploiting biological and spatial information from otoliths, suggesting much more scope for such integrated research objectives to be answered via the use of multiple otolith-based techniques in a single study. Mapping otolith analytical techniques across these two approaches revealed that otolith structural analysis was mainly used to investigate biological processes, while otolith chemical analyses were most often applied to spatial questions. Heavy skew in research effort was apparent across biomes, with most (62%) publications specific to marine species, despite comparable levels of species richness and the importance of freshwater taxa (just 15% of papers). Indeed, around 1% (380 species) of a possible 31400+ extant species were examined in our surveyed papers, with a strong emphasis on temperate marine species of commercial value. Potential model species for otolith-based ELH ecology research are arising, with the eel genus Anguilla (24 studies) and the European anchovy Engraulis encrasicolis (14 studies) attracting more research effort than most other taxa. While there is a preponderance of common techniques (e.g. daily otolith increment counts, increment widths), novel techniques such as transgenerational marking and computed X-ray tomography, are increasingly being applied in published studies. The application of an integrative approach based on a combination of emerging techniques and traditional methods holds promise for major advances in our understanding of ELH fish ecology and to shine light into the ‘black box’ of fish ecology.","container-title":"Biological Reviews","DOI":"10.1111/brv.12162","ISSN":"1469-185X","issue":"1","language":"en","note":"_eprint: https://onlinelibrary.wiley.com/doi/pdf/10.1111/brv.12162","page":"86-105","source":"Wiley Online Library","title":"All in the ears: unlocking the early life history biology and spatial ecology of fishes","title-short":"All in the ears","volume":"91","author":[{"family":"Starrs","given":"Danswell"},{"family":"Ebner","given":"Brendan C."},{"family":"Fulton","given":"Christopher J."}],"issued":{"date-parts":[["2016"]]}}},{"id":3787,"uris":["http://zotero.org/users/8421274/items/PWN2TVFG"],"itemData":{"id":3787,"type":"article-journal","abstract":"Chemical constituents in otoliths have become a valuable tool for fish ecologists seeking to reconstruct migratory patterns and life-history diversity in a wide range of species worldwide. This approach has proved particularly effective with fishes that move across substantial salinity gradients over the course of their life, including many diadromous species. Freshwater endmembers of several elemental and isotope ratios (e.g. Sr:Ca, Ba:Ca and 87Sr:86Sr) are typically identifiably distinct from marine values, and often differ among freshwater tributaries at fine spatial scales. Because these chemical tags are generally incorporated in proportion to their ambient dissolved concentrations, they can be effective proxies for quantifying the presence, duration and frequency of movements between freshwater and marine habitats. The development of high precision probe-based analytical techniques, such as laser ablation inductively coupled plasma mass spectrometry (ICP-MS) and microbeam methods, has allowed researchers to glean increasingly detailed life-history profiles of these proxies across otoliths. Researchers are also combining multiple chemical proxies in an attempt to refine interpretations of habitat residence patterns. A thorough understanding of the spatial and temporal variation in water chemistry as well as environmental and physiological controls on incorporation of specific elements into otoliths is required for confident estimation of lifetime salinity experience. First some assumptions, methodological considerations and data processing options that are particularly relevant to diadromous otolith chemistry studies are discussed. Insights into diadromous migrations obtained from decades of otolith chemistry research, highlighting the increasingly recognized importance of contingent behaviour and partial migration are then discussed. Finally, areas for future research and the need to integrate otolith chemistry studies into comprehensive assessments of the effects of global environmental change are identified.","container-title":"Journal of Fish Biology","DOI":"10.1111/j.1095-8649.2012.03371.x","ISSN":"1095-8649","issue":"2","language":"en","note":"_eprint: https://onlinelibrary.wiley.com/doi/pdf/10.1111/j.1095-8649.2012.03371.x","page":"796-825","source":"Wiley Online Library","title":"The use of otolith chemistry to characterize diadromous migrations","volume":"81","author":[{"family":"Walther","given":"B. D."},{"family":"Limburg","given":"K. E."}],"issued":{"date-parts":[["2012"]]}}}],"schema":"https://github.com/citation-style-language/schema/raw/master/csl-citation.json"} </w:instrText>
      </w:r>
      <w:r w:rsidR="00257118">
        <w:rPr>
          <w:rFonts w:ascii="Garamond" w:hAnsi="Garamond"/>
          <w:sz w:val="22"/>
          <w:szCs w:val="22"/>
        </w:rPr>
        <w:fldChar w:fldCharType="separate"/>
      </w:r>
      <w:r w:rsidR="00257118">
        <w:rPr>
          <w:rFonts w:ascii="Garamond" w:hAnsi="Garamond"/>
          <w:noProof/>
          <w:sz w:val="22"/>
          <w:szCs w:val="22"/>
        </w:rPr>
        <w:t>(Starrs et al., 2016; Walther &amp; Limburg, 2012)</w:t>
      </w:r>
      <w:r w:rsidR="00257118">
        <w:rPr>
          <w:rFonts w:ascii="Garamond" w:hAnsi="Garamond"/>
          <w:sz w:val="22"/>
          <w:szCs w:val="22"/>
        </w:rPr>
        <w:fldChar w:fldCharType="end"/>
      </w:r>
      <w:r w:rsidRPr="00820C00">
        <w:rPr>
          <w:rFonts w:ascii="Garamond" w:hAnsi="Garamond"/>
          <w:sz w:val="22"/>
          <w:szCs w:val="22"/>
        </w:rPr>
        <w:t xml:space="preserve">. </w:t>
      </w:r>
      <w:r w:rsidR="00694712" w:rsidRPr="00694712">
        <w:rPr>
          <w:rFonts w:ascii="Garamond" w:hAnsi="Garamond"/>
          <w:sz w:val="22"/>
          <w:szCs w:val="22"/>
        </w:rPr>
        <w:t>However, during rapid movements through multiple environments, as occurs during salmon out-migration, otolith isotope ratios may not fully equilibrate to reflect the water chemistry of each habitat. Consequently, otolith isotope patterns may be difficult to interpret solely by direct comparison to landscape values, even though they may encode stock- or watershed-specific life history information. The subtlety of these patterns, combined with the large number of possible combinations, makes manual interpretation impractical.</w:t>
      </w:r>
    </w:p>
    <w:p w14:paraId="7E53B155" w14:textId="0B0A223C" w:rsidR="004C0AA3" w:rsidRPr="006D218F" w:rsidRDefault="004C0AA3" w:rsidP="00091070">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w:t>
      </w:r>
      <w:r w:rsidR="00694712">
        <w:rPr>
          <w:rFonts w:ascii="Garamond" w:hAnsi="Garamond"/>
          <w:sz w:val="22"/>
          <w:szCs w:val="22"/>
        </w:rPr>
        <w:t xml:space="preserve">methods, which are </w:t>
      </w:r>
      <w:r w:rsidR="00694712" w:rsidRPr="004C0AA3">
        <w:rPr>
          <w:rFonts w:ascii="Garamond" w:hAnsi="Garamond"/>
          <w:sz w:val="22"/>
          <w:szCs w:val="22"/>
        </w:rPr>
        <w:t>particularly</w:t>
      </w:r>
      <w:r w:rsidRPr="004C0AA3">
        <w:rPr>
          <w:rFonts w:ascii="Garamond" w:hAnsi="Garamond"/>
          <w:sz w:val="22"/>
          <w:szCs w:val="22"/>
        </w:rPr>
        <w:t xml:space="preserve"> well-suited to interpreting complex, multidimensional patterns in datasets</w:t>
      </w:r>
      <w:r w:rsidR="00694712">
        <w:rPr>
          <w:rFonts w:ascii="Garamond" w:hAnsi="Garamond"/>
          <w:sz w:val="22"/>
          <w:szCs w:val="22"/>
        </w:rPr>
        <w:t xml:space="preserve">, have only </w:t>
      </w:r>
      <w:r w:rsidRPr="004C0AA3">
        <w:rPr>
          <w:rFonts w:ascii="Garamond" w:hAnsi="Garamond"/>
          <w:sz w:val="22"/>
          <w:szCs w:val="22"/>
        </w:rPr>
        <w:t>recently been applied to otolith chemical analysis</w:t>
      </w:r>
      <w:r w:rsidR="00694712">
        <w:rPr>
          <w:rFonts w:ascii="Garamond" w:hAnsi="Garamond"/>
          <w:sz w:val="22"/>
          <w:szCs w:val="22"/>
        </w:rPr>
        <w:t xml:space="preserve">. However, </w:t>
      </w:r>
      <w:r w:rsidR="00694712">
        <w:rPr>
          <w:rFonts w:ascii="Garamond" w:hAnsi="Garamond"/>
          <w:sz w:val="22"/>
          <w:szCs w:val="22"/>
        </w:rPr>
        <w:lastRenderedPageBreak/>
        <w:t xml:space="preserve">their limited applications have </w:t>
      </w:r>
      <w:r w:rsidRPr="004C0AA3">
        <w:rPr>
          <w:rFonts w:ascii="Garamond" w:hAnsi="Garamond"/>
          <w:sz w:val="22"/>
          <w:szCs w:val="22"/>
        </w:rPr>
        <w:t>shown promising performance relative to traditional techniques</w:t>
      </w:r>
      <w:r w:rsidR="00480252">
        <w:rPr>
          <w:rFonts w:ascii="Garamond" w:hAnsi="Garamond"/>
          <w:sz w:val="22"/>
          <w:szCs w:val="22"/>
        </w:rPr>
        <w:t xml:space="preserve"> </w:t>
      </w:r>
      <w:r w:rsidR="00480252">
        <w:rPr>
          <w:rFonts w:ascii="Garamond" w:hAnsi="Garamond"/>
          <w:sz w:val="22"/>
          <w:szCs w:val="22"/>
        </w:rPr>
        <w:fldChar w:fldCharType="begin"/>
      </w:r>
      <w:r w:rsidR="00480252">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480252">
        <w:rPr>
          <w:rFonts w:ascii="Garamond" w:hAnsi="Garamond"/>
          <w:sz w:val="22"/>
          <w:szCs w:val="22"/>
        </w:rPr>
        <w:fldChar w:fldCharType="separate"/>
      </w:r>
      <w:r w:rsidR="00480252">
        <w:rPr>
          <w:rFonts w:ascii="Garamond" w:hAnsi="Garamond"/>
          <w:noProof/>
          <w:sz w:val="22"/>
          <w:szCs w:val="22"/>
        </w:rPr>
        <w:t>(Arai et al., 2023; Mercier et al., 2011)</w:t>
      </w:r>
      <w:r w:rsidR="00480252">
        <w:rPr>
          <w:rFonts w:ascii="Garamond" w:hAnsi="Garamond"/>
          <w:sz w:val="22"/>
          <w:szCs w:val="22"/>
        </w:rPr>
        <w:fldChar w:fldCharType="end"/>
      </w:r>
      <w:r w:rsidR="00480252">
        <w:rPr>
          <w:rFonts w:ascii="Garamond" w:hAnsi="Garamond"/>
          <w:sz w:val="22"/>
          <w:szCs w:val="22"/>
        </w:rPr>
        <w:t xml:space="preserve">. </w:t>
      </w:r>
      <w:r w:rsidR="00CF0435" w:rsidRPr="00CF0435">
        <w:rPr>
          <w:rFonts w:ascii="Garamond" w:hAnsi="Garamond"/>
          <w:sz w:val="22"/>
          <w:szCs w:val="22"/>
        </w:rPr>
        <w:t xml:space="preserve">At the same time, there is growing recognition that collapsing continuous laser ablation (LA) data into single, discrete values results in the loss of potentially powerful information </w:t>
      </w:r>
      <w:r w:rsidR="00CF0435">
        <w:rPr>
          <w:rFonts w:ascii="Garamond" w:hAnsi="Garamond"/>
          <w:sz w:val="22"/>
          <w:szCs w:val="22"/>
        </w:rPr>
        <w:fldChar w:fldCharType="begin"/>
      </w:r>
      <w:r w:rsidR="00CF0435">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CF0435">
        <w:rPr>
          <w:rFonts w:ascii="Garamond" w:hAnsi="Garamond"/>
          <w:sz w:val="22"/>
          <w:szCs w:val="22"/>
        </w:rPr>
        <w:fldChar w:fldCharType="separate"/>
      </w:r>
      <w:r w:rsidR="00CF0435">
        <w:rPr>
          <w:rFonts w:ascii="Garamond" w:hAnsi="Garamond"/>
          <w:noProof/>
          <w:sz w:val="22"/>
          <w:szCs w:val="22"/>
        </w:rPr>
        <w:t>(Hegg &amp; Kennedy, 2021)</w:t>
      </w:r>
      <w:r w:rsidR="00CF0435">
        <w:rPr>
          <w:rFonts w:ascii="Garamond" w:hAnsi="Garamond"/>
          <w:sz w:val="22"/>
          <w:szCs w:val="22"/>
        </w:rPr>
        <w:fldChar w:fldCharType="end"/>
      </w:r>
      <w:r w:rsidR="00CF0435">
        <w:rPr>
          <w:rFonts w:ascii="Garamond" w:hAnsi="Garamond"/>
          <w:sz w:val="22"/>
          <w:szCs w:val="22"/>
        </w:rPr>
        <w:t xml:space="preserve">. </w:t>
      </w:r>
      <w:r w:rsidR="00941848" w:rsidRPr="00941848">
        <w:rPr>
          <w:rFonts w:ascii="Garamond" w:hAnsi="Garamond"/>
          <w:sz w:val="22"/>
          <w:szCs w:val="22"/>
        </w:rPr>
        <w:t>Leveraging the statistical power of machine learning on sequentially ordered otolith time-series data may enable the detection of otherwise indiscernible patterns within and across LA datasets, potentially revealing key life history traits and providing novel insights into ecological processes across space and time.</w:t>
      </w:r>
      <w:r w:rsidR="006D218F">
        <w:t xml:space="preserve"> </w:t>
      </w:r>
      <w:r w:rsidRPr="004C0AA3">
        <w:rPr>
          <w:rFonts w:ascii="Garamond" w:hAnsi="Garamond"/>
          <w:sz w:val="22"/>
          <w:szCs w:val="22"/>
        </w:rPr>
        <w:t>Here, we apply machine learning classification algorithms to otolith LA data from Chinook salmon in Western Alaska.</w:t>
      </w:r>
      <w:r w:rsidR="00F13113">
        <w:rPr>
          <w:rFonts w:ascii="Garamond" w:hAnsi="Garamond"/>
          <w:sz w:val="22"/>
          <w:szCs w:val="22"/>
        </w:rPr>
        <w:t xml:space="preserve"> In doing so, </w:t>
      </w:r>
      <w:proofErr w:type="gramStart"/>
      <w:r w:rsidR="00F13113">
        <w:rPr>
          <w:rFonts w:ascii="Garamond" w:hAnsi="Garamond"/>
          <w:sz w:val="22"/>
          <w:szCs w:val="22"/>
        </w:rPr>
        <w:t xml:space="preserve">we </w:t>
      </w:r>
      <w:r w:rsidRPr="004C0AA3">
        <w:rPr>
          <w:rFonts w:ascii="Garamond" w:hAnsi="Garamond"/>
          <w:sz w:val="22"/>
          <w:szCs w:val="22"/>
        </w:rPr>
        <w:t>:</w:t>
      </w:r>
      <w:proofErr w:type="gramEnd"/>
      <w:r w:rsidRPr="004C0AA3">
        <w:rPr>
          <w:rFonts w:ascii="Garamond" w:hAnsi="Garamond"/>
          <w:sz w:val="22"/>
          <w:szCs w:val="22"/>
        </w:rPr>
        <w:t xml:space="preserve"> 1) test the potential of machine learning </w:t>
      </w:r>
      <w:r w:rsidR="00091070">
        <w:rPr>
          <w:rFonts w:ascii="Garamond" w:hAnsi="Garamond"/>
          <w:sz w:val="22"/>
          <w:szCs w:val="22"/>
        </w:rPr>
        <w:t xml:space="preserve">methods to uncover watershed specific characteristics to discriminate among watersheds of origin and 2) </w:t>
      </w:r>
      <w:r w:rsidRPr="004C0AA3">
        <w:rPr>
          <w:rFonts w:ascii="Garamond" w:hAnsi="Garamond"/>
          <w:sz w:val="22"/>
          <w:szCs w:val="22"/>
        </w:rPr>
        <w:t>develop a model to reliably estimate river of origin for marine-caught Chinook salmon in western Alaska</w:t>
      </w:r>
      <w:r w:rsidR="00091070">
        <w:rPr>
          <w:rFonts w:ascii="Garamond" w:hAnsi="Garamond"/>
          <w:sz w:val="22"/>
          <w:szCs w:val="22"/>
        </w:rPr>
        <w:t xml:space="preserve">. </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532D18C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DF1513" w:rsidRPr="00CE7F91">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 xml:space="preserve">which were processed at the </w:t>
      </w:r>
      <w:commentRangeStart w:id="0"/>
      <w:r w:rsidR="00DF1513" w:rsidRPr="00CE7F91">
        <w:rPr>
          <w:rFonts w:ascii="Garamond" w:hAnsi="Garamond"/>
          <w:sz w:val="22"/>
          <w:szCs w:val="22"/>
        </w:rPr>
        <w:t xml:space="preserve">Keck Lab </w:t>
      </w:r>
      <w:commentRangeEnd w:id="0"/>
      <w:r w:rsidR="002A47CE">
        <w:rPr>
          <w:rStyle w:val="CommentReference"/>
        </w:rPr>
        <w:commentReference w:id="0"/>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 xml:space="preserve">was preformed from the core to just after the onset of the marine </w:t>
      </w:r>
      <w:r w:rsidR="00CE7F91" w:rsidRPr="00CE7F91">
        <w:rPr>
          <w:rFonts w:ascii="Garamond" w:hAnsi="Garamond"/>
          <w:sz w:val="22"/>
          <w:szCs w:val="22"/>
        </w:rPr>
        <w:lastRenderedPageBreak/>
        <w:t>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 xml:space="preserve">The resulting dataset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Sr8786 and Sr88 along the same transect for all individuals.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4FF4CB36" w14:textId="77777777" w:rsidR="002A47CE" w:rsidRDefault="002A47CE" w:rsidP="00CE7F91">
      <w:pPr>
        <w:spacing w:line="480" w:lineRule="auto"/>
        <w:ind w:firstLine="720"/>
        <w:rPr>
          <w:rFonts w:ascii="Garamond" w:hAnsi="Garamond"/>
          <w:sz w:val="22"/>
          <w:szCs w:val="22"/>
        </w:rPr>
      </w:pPr>
    </w:p>
    <w:p w14:paraId="7EC1B482" w14:textId="694E1327"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LA timeseries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proofErr w:type="spellStart"/>
      <w:r w:rsidRPr="005E7567">
        <w:rPr>
          <w:rFonts w:ascii="Garamond" w:hAnsi="Garamond"/>
          <w:sz w:val="22"/>
          <w:szCs w:val="22"/>
        </w:rPr>
        <w:t>to</w:t>
      </w:r>
      <w:r w:rsidR="002A47CE">
        <w:rPr>
          <w:rFonts w:ascii="Garamond" w:hAnsi="Garamond"/>
          <w:sz w:val="22"/>
          <w:szCs w:val="22"/>
        </w:rPr>
        <w:t>wars</w:t>
      </w:r>
      <w:proofErr w:type="spellEnd"/>
      <w:r w:rsidR="00CE7F91">
        <w:rPr>
          <w:rFonts w:ascii="Garamond" w:hAnsi="Garamond"/>
          <w:sz w:val="22"/>
          <w:szCs w:val="22"/>
        </w:rPr>
        <w:t xml:space="preserve"> global marine value</w:t>
      </w:r>
      <w:r w:rsidR="002A47CE">
        <w:rPr>
          <w:rFonts w:ascii="Garamond" w:hAnsi="Garamond"/>
          <w:sz w:val="22"/>
          <w:szCs w:val="22"/>
        </w:rPr>
        <w:t xml:space="preserve"> at the end of the </w:t>
      </w:r>
      <w:proofErr w:type="spellStart"/>
      <w:r w:rsidR="002A47CE">
        <w:rPr>
          <w:rFonts w:ascii="Garamond" w:hAnsi="Garamond"/>
          <w:sz w:val="22"/>
          <w:szCs w:val="22"/>
        </w:rPr>
        <w:t>timeeries</w:t>
      </w:r>
      <w:proofErr w:type="spellEnd"/>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proofErr w:type="spellStart"/>
      <w:r w:rsidR="006C1496">
        <w:rPr>
          <w:rFonts w:ascii="Garamond" w:hAnsi="Garamond"/>
          <w:sz w:val="22"/>
          <w:szCs w:val="22"/>
        </w:rPr>
        <w:t>biase</w:t>
      </w:r>
      <w:proofErr w:type="spellEnd"/>
      <w:r w:rsidR="006C1496">
        <w:rPr>
          <w:rFonts w:ascii="Garamond" w:hAnsi="Garamond"/>
          <w:sz w:val="22"/>
          <w:szCs w:val="22"/>
        </w:rPr>
        <w:t xml:space="preserve"> </w:t>
      </w:r>
      <w:r w:rsidRPr="005E7567">
        <w:rPr>
          <w:rFonts w:ascii="Garamond" w:hAnsi="Garamond"/>
          <w:sz w:val="22"/>
          <w:szCs w:val="22"/>
        </w:rPr>
        <w:t>by</w:t>
      </w:r>
      <w:r w:rsidR="006C1496">
        <w:rPr>
          <w:rFonts w:ascii="Garamond" w:hAnsi="Garamond"/>
          <w:sz w:val="22"/>
          <w:szCs w:val="22"/>
        </w:rPr>
        <w:t xml:space="preserve"> watershed. </w:t>
      </w:r>
      <w:r w:rsidR="009E23C6">
        <w:rPr>
          <w:rFonts w:ascii="Garamond" w:hAnsi="Garamond"/>
          <w:sz w:val="22"/>
          <w:szCs w:val="22"/>
        </w:rPr>
        <w:t xml:space="preserve"> Samples with significant error from sample prep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w:t>
      </w:r>
      <w:proofErr w:type="gramStart"/>
      <w:r w:rsidR="006C1496">
        <w:rPr>
          <w:rFonts w:ascii="Garamond" w:hAnsi="Garamond"/>
          <w:sz w:val="22"/>
          <w:szCs w:val="22"/>
        </w:rPr>
        <w:t>( 971</w:t>
      </w:r>
      <w:proofErr w:type="gramEnd"/>
      <w:r w:rsidR="006C1496">
        <w:rPr>
          <w:rFonts w:ascii="Garamond" w:hAnsi="Garamond"/>
          <w:sz w:val="22"/>
          <w:szCs w:val="22"/>
        </w:rPr>
        <w:t xml:space="preserve">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6591EEB9" w:rsidR="00701699" w:rsidRDefault="009E23C6" w:rsidP="00B008EE">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 xml:space="preserve">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 full dataset: GAM-smoothed, MA-smoothed, and raw LA data.</w:t>
      </w:r>
      <w:r w:rsidR="00B008EE">
        <w:rPr>
          <w:rFonts w:ascii="Garamond" w:hAnsi="Garamond"/>
          <w:sz w:val="22"/>
          <w:szCs w:val="22"/>
        </w:rPr>
        <w:t xml:space="preserve"> </w:t>
      </w:r>
      <w:r w:rsidR="00B008EE" w:rsidRPr="00B008EE">
        <w:rPr>
          <w:rFonts w:ascii="Garamond" w:hAnsi="Garamond"/>
          <w:sz w:val="22"/>
          <w:szCs w:val="22"/>
        </w:rPr>
        <w:t xml:space="preserve">Finally, variation in size among individuals produces time series of differing lengths. However, many machine learning algorithms require fixed-length vectors. To address </w:t>
      </w:r>
      <w:r w:rsidR="00B008EE" w:rsidRPr="00B008EE">
        <w:rPr>
          <w:rFonts w:ascii="Garamond" w:hAnsi="Garamond"/>
          <w:sz w:val="22"/>
          <w:szCs w:val="22"/>
        </w:rPr>
        <w:lastRenderedPageBreak/>
        <w:t xml:space="preserve">this, all samples were interpolated to a common length, defined as the average length of </w:t>
      </w:r>
      <w:proofErr w:type="spellStart"/>
      <w:r w:rsidR="00B008EE" w:rsidRPr="00B008EE">
        <w:rPr>
          <w:rFonts w:ascii="Garamond" w:hAnsi="Garamond"/>
          <w:sz w:val="22"/>
          <w:szCs w:val="22"/>
        </w:rPr>
        <w:t>all time</w:t>
      </w:r>
      <w:proofErr w:type="spellEnd"/>
      <w:r w:rsidR="00B008EE" w:rsidRPr="00B008EE">
        <w:rPr>
          <w:rFonts w:ascii="Garamond" w:hAnsi="Garamond"/>
          <w:sz w:val="22"/>
          <w:szCs w:val="22"/>
        </w:rPr>
        <w:t xml:space="preserve"> series (700 points for non-MA and 600 points for MA-smoothed samples, respectively) </w:t>
      </w:r>
      <w:r w:rsidR="00701699">
        <w:rPr>
          <w:rFonts w:ascii="Garamond" w:hAnsi="Garamond"/>
          <w:sz w:val="22"/>
          <w:szCs w:val="22"/>
        </w:rPr>
        <w:t>(Hegg and Kennedy, 2021).</w:t>
      </w: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t xml:space="preserve">datasets (non-smoothed (Raw), MA, and GAM). 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p>
    <w:p w14:paraId="1FE5AA83" w14:textId="34612C3B" w:rsidR="00726EC4" w:rsidRPr="00997FB9" w:rsidRDefault="00AF5A80" w:rsidP="00AF5A80">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evaluated on two separate testing datasets.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0.7150 were removed. Only the Yukon watershed contains enriched isotope values above this threshold and can therefore be distinguished using natal origin values alone. This modified dataset tests model classification accuracy on samples that are otherwise indistinguishable using natal origin values. These testing sets are referred to as the 'Total' and 'Overlapping' testing sets.</w:t>
      </w:r>
      <w:r>
        <w:rPr>
          <w:rFonts w:ascii="Garamond" w:hAnsi="Garamond"/>
          <w:sz w:val="22"/>
          <w:szCs w:val="22"/>
        </w:rPr>
        <w:t xml:space="preserve"> </w:t>
      </w:r>
      <w:r w:rsidR="008A52C4" w:rsidRPr="008A52C4">
        <w:rPr>
          <w:rFonts w:ascii="Garamond" w:hAnsi="Garamond"/>
          <w:sz w:val="22"/>
          <w:szCs w:val="22"/>
        </w:rPr>
        <w:t xml:space="preserve">Model performance was assessed using </w:t>
      </w:r>
      <w:r>
        <w:rPr>
          <w:rFonts w:ascii="Garamond" w:hAnsi="Garamond"/>
          <w:sz w:val="22"/>
          <w:szCs w:val="22"/>
        </w:rPr>
        <w:t xml:space="preserve">accuracy and F1-Score (Figure 2). </w:t>
      </w:r>
      <w:r w:rsidR="00497545">
        <w:rPr>
          <w:rFonts w:ascii="Garamond" w:hAnsi="Garamond"/>
          <w:sz w:val="22"/>
          <w:szCs w:val="22"/>
        </w:rPr>
        <w:t>For the highest preforming model, c</w:t>
      </w:r>
      <w:r>
        <w:rPr>
          <w:rFonts w:ascii="Garamond" w:hAnsi="Garamond"/>
          <w:sz w:val="22"/>
          <w:szCs w:val="22"/>
        </w:rPr>
        <w:t xml:space="preserve">onfusing matrices were generated for both testing sets to visualize class-specific classification accuracy and to </w:t>
      </w:r>
      <w:r w:rsidR="004D6CDE">
        <w:rPr>
          <w:rFonts w:ascii="Garamond" w:hAnsi="Garamond"/>
          <w:sz w:val="22"/>
          <w:szCs w:val="22"/>
        </w:rPr>
        <w:t>explore trends in misclassification among classes</w:t>
      </w:r>
      <w:r w:rsidR="00730E96">
        <w:rPr>
          <w:rFonts w:ascii="Garamond" w:hAnsi="Garamond"/>
          <w:sz w:val="22"/>
          <w:szCs w:val="22"/>
        </w:rPr>
        <w:t xml:space="preserve"> (Figure 3).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ABEB5C6"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w:t>
      </w:r>
      <w:r w:rsidRPr="002F10A9">
        <w:rPr>
          <w:rFonts w:ascii="Garamond" w:hAnsi="Garamond"/>
          <w:sz w:val="22"/>
          <w:szCs w:val="22"/>
        </w:rPr>
        <w:lastRenderedPageBreak/>
        <w:t xml:space="preserve">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 assess the degree of separation between populations in reduced dimensional space</w:t>
      </w:r>
      <w:r w:rsidR="00730E96">
        <w:rPr>
          <w:rFonts w:ascii="Garamond" w:hAnsi="Garamond"/>
          <w:sz w:val="22"/>
          <w:szCs w:val="22"/>
        </w:rPr>
        <w:t xml:space="preserve"> (Figure 4). </w:t>
      </w:r>
    </w:p>
    <w:p w14:paraId="33F525AD" w14:textId="7FF9CC09" w:rsidR="002F10A9" w:rsidRDefault="00AF5A80" w:rsidP="00AE24AA">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w:t>
      </w:r>
      <w:proofErr w:type="gramStart"/>
      <w:r w:rsidR="00730E96" w:rsidRPr="00AE24AA">
        <w:rPr>
          <w:rFonts w:ascii="Garamond" w:hAnsi="Garamond"/>
          <w:sz w:val="22"/>
          <w:szCs w:val="22"/>
        </w:rPr>
        <w:t xml:space="preserve">timeseries </w:t>
      </w:r>
      <w:r w:rsidRPr="00AE24AA">
        <w:rPr>
          <w:rFonts w:ascii="Garamond" w:hAnsi="Garamond"/>
          <w:sz w:val="22"/>
          <w:szCs w:val="22"/>
        </w:rPr>
        <w:t xml:space="preserve"> that</w:t>
      </w:r>
      <w:proofErr w:type="gramEnd"/>
      <w:r w:rsidRPr="00AE24AA">
        <w:rPr>
          <w:rFonts w:ascii="Garamond" w:hAnsi="Garamond"/>
          <w:sz w:val="22"/>
          <w:szCs w:val="22"/>
        </w:rPr>
        <w:t xml:space="preserve"> are otherwise indistinguishable using natal origin alone</w:t>
      </w:r>
      <w:r w:rsidR="00730E96" w:rsidRPr="00AE24AA">
        <w:rPr>
          <w:rFonts w:ascii="Garamond" w:hAnsi="Garamond"/>
          <w:sz w:val="22"/>
          <w:szCs w:val="22"/>
        </w:rPr>
        <w:t xml:space="preserve">, PCA analysis is also done on a subset of the GAM smoothed dataset which include only individuals with a natal origin Sr8786 of 0.7075- 0.7080. </w:t>
      </w:r>
      <w:r w:rsidRPr="00AE24AA">
        <w:rPr>
          <w:rFonts w:ascii="Garamond" w:hAnsi="Garamond"/>
          <w:sz w:val="22"/>
          <w:szCs w:val="22"/>
        </w:rPr>
        <w:t xml:space="preserve"> </w:t>
      </w:r>
      <w:r w:rsidR="00730E96" w:rsidRPr="00AE24AA">
        <w:rPr>
          <w:rFonts w:ascii="Garamond" w:hAnsi="Garamond"/>
          <w:sz w:val="22"/>
          <w:szCs w:val="22"/>
        </w:rPr>
        <w:t xml:space="preserve">PCA plots were produced to visualize clustering of both PC1 </w:t>
      </w:r>
      <w:proofErr w:type="gramStart"/>
      <w:r w:rsidR="00730E96" w:rsidRPr="00AE24AA">
        <w:rPr>
          <w:rFonts w:ascii="Garamond" w:hAnsi="Garamond"/>
          <w:sz w:val="22"/>
          <w:szCs w:val="22"/>
        </w:rPr>
        <w:t>( 47.46</w:t>
      </w:r>
      <w:proofErr w:type="gramEnd"/>
      <w:r w:rsidR="00730E96" w:rsidRPr="00AE24AA">
        <w:rPr>
          <w:rFonts w:ascii="Garamond" w:hAnsi="Garamond"/>
          <w:sz w:val="22"/>
          <w:szCs w:val="22"/>
        </w:rPr>
        <w:t xml:space="preserve">% of variance) and PC2 (20.93% of variance) as well as between PC1 and PC3 (10.23% of variance). </w:t>
      </w:r>
      <w:r w:rsidR="005F1D8A" w:rsidRPr="00AE24AA">
        <w:rPr>
          <w:rFonts w:ascii="Garamond" w:hAnsi="Garamond"/>
          <w:sz w:val="22"/>
          <w:szCs w:val="22"/>
        </w:rPr>
        <w:t>To identify the most discriminatory portions of the timeseries, we mapped the absolute values of principal component loadings onto their corresponding timeseries positions (Figure 5b.)</w:t>
      </w:r>
      <w:r w:rsidR="00AE24AA">
        <w:rPr>
          <w:rFonts w:ascii="Garamond" w:hAnsi="Garamond"/>
          <w:sz w:val="22"/>
          <w:szCs w:val="22"/>
        </w:rPr>
        <w:t xml:space="preserve">. One individual from each watershed was chosen to illustrate this variability. </w:t>
      </w:r>
    </w:p>
    <w:p w14:paraId="2A7C5DD0" w14:textId="77777777" w:rsidR="00AE24AA" w:rsidRPr="00AE24AA" w:rsidRDefault="00AE24AA" w:rsidP="00AE24AA">
      <w:pPr>
        <w:spacing w:line="480" w:lineRule="auto"/>
        <w:ind w:firstLine="720"/>
        <w:rPr>
          <w:rFonts w:ascii="Garamond" w:hAnsi="Garamond"/>
          <w:sz w:val="22"/>
          <w:szCs w:val="22"/>
        </w:rPr>
      </w:pPr>
    </w:p>
    <w:p w14:paraId="1E36E3FD" w14:textId="6F58B80B" w:rsidR="004D2BA0" w:rsidRPr="00FB146C" w:rsidRDefault="004D2BA0" w:rsidP="004D2BA0">
      <w:pPr>
        <w:rPr>
          <w:rFonts w:ascii="Garamond" w:hAnsi="Garamond"/>
          <w:b/>
          <w:bCs/>
          <w:sz w:val="22"/>
          <w:szCs w:val="22"/>
          <w:u w:val="single"/>
        </w:rPr>
      </w:pPr>
      <w:r w:rsidRPr="00FB146C">
        <w:rPr>
          <w:rFonts w:ascii="Garamond" w:hAnsi="Garamond"/>
          <w:b/>
          <w:bCs/>
          <w:sz w:val="22"/>
          <w:szCs w:val="22"/>
          <w:u w:val="single"/>
        </w:rPr>
        <w:t xml:space="preserve">Probability </w:t>
      </w:r>
      <w:r w:rsidR="002F10A9" w:rsidRPr="00FB146C">
        <w:rPr>
          <w:rFonts w:ascii="Garamond" w:hAnsi="Garamond"/>
          <w:b/>
          <w:bCs/>
          <w:sz w:val="22"/>
          <w:szCs w:val="22"/>
          <w:u w:val="single"/>
        </w:rPr>
        <w:t xml:space="preserve">calibration </w:t>
      </w:r>
      <w:r w:rsidR="00527EB9" w:rsidRPr="00FB146C">
        <w:rPr>
          <w:rFonts w:ascii="Garamond" w:hAnsi="Garamond"/>
          <w:b/>
          <w:bCs/>
          <w:sz w:val="22"/>
          <w:szCs w:val="22"/>
          <w:u w:val="single"/>
        </w:rPr>
        <w:t xml:space="preserve">and threshold testing </w:t>
      </w:r>
    </w:p>
    <w:p w14:paraId="7F62A546" w14:textId="480290B1" w:rsidR="00FB146C" w:rsidRPr="00E2005E" w:rsidRDefault="00FB146C" w:rsidP="00E2005E">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Pr="00D440B2">
        <w:rPr>
          <w:rStyle w:val="HTMLCode"/>
          <w:rFonts w:ascii="Garamond" w:eastAsiaTheme="majorEastAsia" w:hAnsi="Garamond"/>
          <w:sz w:val="22"/>
          <w:szCs w:val="22"/>
        </w:rPr>
        <w:t>probably</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diagrams that plot predicted probabilities against observed class frequencies across probability bins. Additionally, we quantified calibration improvements using Brier scores and logarithmic loss calculated before and after </w:t>
      </w:r>
      <w:proofErr w:type="spellStart"/>
      <w:proofErr w:type="gramStart"/>
      <w:r w:rsidRPr="00D440B2">
        <w:rPr>
          <w:rFonts w:ascii="Garamond" w:hAnsi="Garamond"/>
          <w:sz w:val="22"/>
          <w:szCs w:val="22"/>
        </w:rPr>
        <w:t>calibration.Calibration</w:t>
      </w:r>
      <w:proofErr w:type="spellEnd"/>
      <w:proofErr w:type="gramEnd"/>
      <w:r w:rsidRPr="00D440B2">
        <w:rPr>
          <w:rFonts w:ascii="Garamond" w:hAnsi="Garamond"/>
          <w:sz w:val="22"/>
          <w:szCs w:val="22"/>
        </w:rPr>
        <w:t xml:space="preserve"> transformations were fitted separately for each model-data </w:t>
      </w:r>
      <w:r w:rsidRPr="00D440B2">
        <w:rPr>
          <w:rFonts w:ascii="Garamond" w:hAnsi="Garamond"/>
          <w:sz w:val="22"/>
          <w:szCs w:val="22"/>
        </w:rPr>
        <w:lastRenderedPageBreak/>
        <w:t>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From calibrated probabilities we tested the accuracy obtained with different confidence thresholds for the highest preforming model. This is defined as the probability of correctly assigned individuals with a</w:t>
      </w:r>
      <w:r w:rsidR="00C51A58">
        <w:rPr>
          <w:rFonts w:ascii="Garamond" w:hAnsi="Garamond"/>
          <w:sz w:val="22"/>
          <w:szCs w:val="22"/>
        </w:rPr>
        <w:t xml:space="preserve">n assignment probability greater than a given threshold. We tested thresholds of 60 – 90 % confidence by 5% increments and recorded both the class specific and overall accuracy at each (Figure 6). </w:t>
      </w:r>
    </w:p>
    <w:p w14:paraId="5DF06983" w14:textId="591DECC8" w:rsidR="00841F42" w:rsidRPr="00D440B2" w:rsidRDefault="008C5FCA" w:rsidP="003E5607">
      <w:pPr>
        <w:tabs>
          <w:tab w:val="left" w:pos="3088"/>
        </w:tabs>
        <w:rPr>
          <w:rFonts w:ascii="Garamond" w:hAnsi="Garamond"/>
          <w:b/>
          <w:bCs/>
          <w:sz w:val="22"/>
          <w:szCs w:val="22"/>
          <w:u w:val="single"/>
        </w:rPr>
      </w:pPr>
      <w:r w:rsidRPr="00D440B2">
        <w:rPr>
          <w:rFonts w:ascii="Garamond" w:hAnsi="Garamond"/>
          <w:b/>
          <w:bCs/>
          <w:sz w:val="22"/>
          <w:szCs w:val="22"/>
          <w:u w:val="single"/>
        </w:rPr>
        <w:t xml:space="preserve">Integration with current otolith-based provenance models </w:t>
      </w:r>
    </w:p>
    <w:p w14:paraId="0E843BCE" w14:textId="3273AB55" w:rsidR="00F6547F" w:rsidRDefault="00D440B2" w:rsidP="003E5607">
      <w:pPr>
        <w:tabs>
          <w:tab w:val="left" w:pos="3088"/>
        </w:tabs>
        <w:rPr>
          <w:rFonts w:ascii="Garamond" w:hAnsi="Garamond"/>
          <w:sz w:val="32"/>
          <w:szCs w:val="32"/>
        </w:rPr>
      </w:pPr>
      <w:r>
        <w:rPr>
          <w:rFonts w:ascii="Garamond" w:hAnsi="Garamond"/>
          <w:sz w:val="32"/>
          <w:szCs w:val="32"/>
        </w:rPr>
        <w:t xml:space="preserve">*** Unsure if this will be in this paper or the next. Basically, now that we have true </w:t>
      </w:r>
      <w:proofErr w:type="gramStart"/>
      <w:r>
        <w:rPr>
          <w:rFonts w:ascii="Garamond" w:hAnsi="Garamond"/>
          <w:sz w:val="32"/>
          <w:szCs w:val="32"/>
        </w:rPr>
        <w:t>probabilities</w:t>
      </w:r>
      <w:proofErr w:type="gramEnd"/>
      <w:r>
        <w:rPr>
          <w:rFonts w:ascii="Garamond" w:hAnsi="Garamond"/>
          <w:sz w:val="32"/>
          <w:szCs w:val="32"/>
        </w:rPr>
        <w:t xml:space="preserve"> we can pass it through to the bayes theorem tributary specific assignment. Ocean -&gt; River -&gt; Tributary. </w:t>
      </w: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Pr="008E7FFA" w:rsidRDefault="003E5607" w:rsidP="003E5607">
      <w:pPr>
        <w:tabs>
          <w:tab w:val="left" w:pos="3088"/>
        </w:tabs>
        <w:rPr>
          <w:rFonts w:ascii="Garamond" w:hAnsi="Garamond"/>
          <w:b/>
          <w:bCs/>
          <w:sz w:val="40"/>
          <w:szCs w:val="40"/>
        </w:rPr>
      </w:pPr>
      <w:r w:rsidRPr="008E7FFA">
        <w:rPr>
          <w:rFonts w:ascii="Garamond" w:hAnsi="Garamond"/>
          <w:b/>
          <w:bCs/>
          <w:sz w:val="40"/>
          <w:szCs w:val="40"/>
        </w:rPr>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0CBBB586" w14:textId="701E3AB5" w:rsidR="003F681E" w:rsidRDefault="008E7FFA" w:rsidP="003F681E">
      <w:pPr>
        <w:spacing w:line="480" w:lineRule="auto"/>
        <w:ind w:firstLine="720"/>
        <w:rPr>
          <w:rFonts w:ascii="Garamond" w:hAnsi="Garamond"/>
          <w:sz w:val="22"/>
          <w:szCs w:val="22"/>
        </w:rPr>
      </w:pPr>
      <w:r>
        <w:rPr>
          <w:rFonts w:ascii="Garamond" w:hAnsi="Garamond"/>
          <w:sz w:val="22"/>
          <w:szCs w:val="22"/>
        </w:rPr>
        <w:t>Accuracy a</w:t>
      </w:r>
      <w:r w:rsidR="003A63D4"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w:t>
      </w:r>
      <w:r w:rsidR="003F681E">
        <w:rPr>
          <w:rFonts w:ascii="Garamond" w:hAnsi="Garamond"/>
          <w:sz w:val="22"/>
          <w:szCs w:val="22"/>
        </w:rPr>
        <w:t xml:space="preserve">92.2%. The </w:t>
      </w:r>
      <w:r w:rsidR="003A63D4"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001E36C2" w:rsidRPr="00841F42">
        <w:rPr>
          <w:rFonts w:ascii="Garamond" w:hAnsi="Garamond"/>
          <w:sz w:val="22"/>
          <w:szCs w:val="22"/>
        </w:rPr>
        <w:t>In general, RF analysis outperformed both KNN and SVM, however, SVM was the highest performer on Raw datasets (89.8% accuracy on total testing set and 87.0% on overlapping testing set)</w:t>
      </w:r>
      <w:r w:rsidR="003F681E">
        <w:rPr>
          <w:rFonts w:ascii="Garamond" w:hAnsi="Garamond"/>
          <w:sz w:val="22"/>
          <w:szCs w:val="22"/>
        </w:rPr>
        <w:t xml:space="preserve">, which may have more dimensionality due to less autocorrelation among points. </w:t>
      </w:r>
      <w:r w:rsidR="001E36C2" w:rsidRPr="00841F42">
        <w:rPr>
          <w:rFonts w:ascii="Garamond" w:hAnsi="Garamond"/>
          <w:sz w:val="22"/>
          <w:szCs w:val="22"/>
        </w:rPr>
        <w:t xml:space="preserve">Unsurprisingly, the overlapping training set performance was slightly lower than that of the total training set, with the highest classification accuracy of </w:t>
      </w:r>
      <w:r w:rsidR="001E36C2" w:rsidRPr="00841F42">
        <w:rPr>
          <w:rFonts w:ascii="Garamond" w:hAnsi="Garamond"/>
          <w:sz w:val="22"/>
          <w:szCs w:val="22"/>
        </w:rPr>
        <w:lastRenderedPageBreak/>
        <w:t>90.</w:t>
      </w:r>
      <w:r w:rsidR="003F681E">
        <w:rPr>
          <w:rFonts w:ascii="Garamond" w:hAnsi="Garamond"/>
          <w:sz w:val="22"/>
          <w:szCs w:val="22"/>
        </w:rPr>
        <w:t>9</w:t>
      </w:r>
      <w:r w:rsidR="001E36C2" w:rsidRPr="00841F42">
        <w:rPr>
          <w:rFonts w:ascii="Garamond" w:hAnsi="Garamond"/>
          <w:sz w:val="22"/>
          <w:szCs w:val="22"/>
        </w:rPr>
        <w:t>% as compared to 92.</w:t>
      </w:r>
      <w:r w:rsidR="003F681E">
        <w:rPr>
          <w:rFonts w:ascii="Garamond" w:hAnsi="Garamond"/>
          <w:sz w:val="22"/>
          <w:szCs w:val="22"/>
        </w:rPr>
        <w:t>2</w:t>
      </w:r>
      <w:r w:rsidR="001E36C2" w:rsidRPr="00841F42">
        <w:rPr>
          <w:rFonts w:ascii="Garamond" w:hAnsi="Garamond"/>
          <w:sz w:val="22"/>
          <w:szCs w:val="22"/>
        </w:rPr>
        <w:t xml:space="preserve">%. </w:t>
      </w:r>
      <w:r w:rsidR="003F681E">
        <w:rPr>
          <w:rFonts w:ascii="Garamond" w:hAnsi="Garamond"/>
          <w:sz w:val="22"/>
          <w:szCs w:val="22"/>
        </w:rPr>
        <w:t xml:space="preserve">These results are expected given the relatively straightforward discrimination of highly enriched Yukon samples which were removed in the overlapping comparison.  </w:t>
      </w:r>
    </w:p>
    <w:p w14:paraId="55EFA72A" w14:textId="55152B49" w:rsidR="003A63D4" w:rsidRPr="00052F65" w:rsidRDefault="003F681E" w:rsidP="00052F65">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w:t>
      </w:r>
      <w:r w:rsidR="00052F65">
        <w:rPr>
          <w:rFonts w:ascii="Garamond" w:hAnsi="Garamond"/>
          <w:sz w:val="22"/>
          <w:szCs w:val="22"/>
        </w:rPr>
        <w:t xml:space="preserve">.7150), Yukon classification accuracy dropped to 86.8%. Classification accuracy for </w:t>
      </w:r>
      <w:proofErr w:type="spellStart"/>
      <w:r w:rsidR="00052F65">
        <w:rPr>
          <w:rFonts w:ascii="Garamond" w:hAnsi="Garamond"/>
          <w:sz w:val="22"/>
          <w:szCs w:val="22"/>
        </w:rPr>
        <w:t>Nushagak</w:t>
      </w:r>
      <w:proofErr w:type="spellEnd"/>
      <w:r w:rsidR="00052F65">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sidR="00052F65">
        <w:rPr>
          <w:rFonts w:ascii="Garamond" w:hAnsi="Garamond"/>
          <w:sz w:val="22"/>
          <w:szCs w:val="22"/>
        </w:rPr>
        <w:t>),</w:t>
      </w:r>
      <w:proofErr w:type="gramEnd"/>
      <w:r w:rsidR="00052F65">
        <w:rPr>
          <w:rFonts w:ascii="Garamond" w:hAnsi="Garamond"/>
          <w:sz w:val="22"/>
          <w:szCs w:val="22"/>
        </w:rPr>
        <w:t xml:space="preserve"> however this represented only one additional individual misclassified (9 in the total analysis vs 8 in the overlapping analysis). </w:t>
      </w: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2655FEA7"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 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likely reflecting the broader range of potential isotope values that create unique timeseries compared to the more constrained ranges observed in the other two watershed classes</w:t>
      </w:r>
    </w:p>
    <w:p w14:paraId="06F8E81E" w14:textId="44A877AB" w:rsidR="00ED3EE6" w:rsidRPr="00D53F6D" w:rsidRDefault="00D53F6D" w:rsidP="00D53F6D">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natal origin regions and secondary rearing locations. The </w:t>
      </w:r>
      <w:r w:rsidRPr="00D53F6D">
        <w:rPr>
          <w:rFonts w:ascii="Garamond" w:hAnsi="Garamond"/>
          <w:sz w:val="22"/>
          <w:szCs w:val="22"/>
        </w:rPr>
        <w:lastRenderedPageBreak/>
        <w:t>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 Principal component 3 appeared to be driven by values at the very beginning of the timeseries, corresponding to the start of the natal origin signature. The minimal discrimination among watersheds along this component was expected, as all individuals in this dataset shared the same natal origin value</w:t>
      </w:r>
      <w:r>
        <w:rPr>
          <w:rFonts w:ascii="Garamond" w:hAnsi="Garamond"/>
          <w:sz w:val="22"/>
          <w:szCs w:val="22"/>
        </w:rPr>
        <w:t xml:space="preserve">s. </w:t>
      </w:r>
    </w:p>
    <w:p w14:paraId="036B5F94" w14:textId="77777777" w:rsidR="00D53F6D" w:rsidRDefault="00D53F6D" w:rsidP="003E5607">
      <w:pPr>
        <w:tabs>
          <w:tab w:val="left" w:pos="3088"/>
        </w:tabs>
        <w:rPr>
          <w:rFonts w:ascii="Garamond" w:hAnsi="Garamond"/>
          <w:b/>
          <w:bCs/>
        </w:rPr>
      </w:pPr>
    </w:p>
    <w:p w14:paraId="10B15B8E" w14:textId="27C47E69" w:rsidR="00A043C9" w:rsidRDefault="00ED3EE6" w:rsidP="003E5607">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689794F5" w14:textId="77777777" w:rsidR="00D53F6D" w:rsidRDefault="00D53F6D" w:rsidP="00D53F6D">
      <w:pPr>
        <w:pStyle w:val="NoSpacing"/>
        <w:spacing w:line="480" w:lineRule="auto"/>
        <w:ind w:firstLine="720"/>
        <w:rPr>
          <w:rFonts w:ascii="Garamond" w:hAnsi="Garamond"/>
          <w:sz w:val="22"/>
          <w:szCs w:val="22"/>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03FB920F"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w:t>
      </w:r>
      <w:proofErr w:type="gramStart"/>
      <w:r>
        <w:rPr>
          <w:rFonts w:ascii="Garamond" w:hAnsi="Garamond"/>
          <w:sz w:val="22"/>
          <w:szCs w:val="22"/>
        </w:rPr>
        <w:t>% ,</w:t>
      </w:r>
      <w:proofErr w:type="gramEnd"/>
      <w:r>
        <w:rPr>
          <w:rFonts w:ascii="Garamond" w:hAnsi="Garamond"/>
          <w:sz w:val="22"/>
          <w:szCs w:val="22"/>
        </w:rPr>
        <w:t xml:space="preserve">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Pr="00E45DBA" w:rsidRDefault="003E5607" w:rsidP="00071CCC">
      <w:pPr>
        <w:rPr>
          <w:rFonts w:ascii="Garamond" w:hAnsi="Garamond"/>
          <w:sz w:val="32"/>
          <w:szCs w:val="32"/>
        </w:rPr>
      </w:pPr>
      <w:r w:rsidRPr="00E45DBA">
        <w:rPr>
          <w:rFonts w:ascii="Garamond" w:hAnsi="Garamond"/>
          <w:sz w:val="32"/>
          <w:szCs w:val="32"/>
        </w:rPr>
        <w:lastRenderedPageBreak/>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632EC397" w14:textId="77777777" w:rsidR="002A47CE" w:rsidRDefault="002A47CE" w:rsidP="002A47CE">
      <w:r>
        <w:rPr>
          <w:rStyle w:val="CommentReference"/>
        </w:rPr>
        <w:annotationRef/>
      </w:r>
      <w:r>
        <w:rPr>
          <w:sz w:val="20"/>
          <w:szCs w:val="20"/>
        </w:rPr>
        <w:t>Note to self: check for the full name</w:t>
      </w:r>
    </w:p>
    <w:p w14:paraId="07B4BA5C" w14:textId="77777777" w:rsidR="002A47CE" w:rsidRDefault="002A47CE" w:rsidP="002A47CE"/>
  </w:comment>
  <w:comment w:id="1"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B4BA5C" w15:done="0"/>
  <w15:commentEx w15:paraId="51CBD6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85456E" w16cex:dateUtc="2025-08-18T18:18:00Z"/>
  <w16cex:commentExtensible w16cex:durableId="6197010A" w16cex:dateUtc="2025-08-18T1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B4BA5C" w16cid:durableId="4A85456E"/>
  <w16cid:commentId w16cid:paraId="51CBD6D1" w16cid:durableId="619701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3"/>
  </w:num>
  <w:num w:numId="2" w16cid:durableId="1398362279">
    <w:abstractNumId w:val="2"/>
  </w:num>
  <w:num w:numId="3" w16cid:durableId="550503404">
    <w:abstractNumId w:val="0"/>
  </w:num>
  <w:num w:numId="4" w16cid:durableId="114696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26A8"/>
    <w:rsid w:val="00043ACE"/>
    <w:rsid w:val="00052F65"/>
    <w:rsid w:val="00071CCC"/>
    <w:rsid w:val="00091070"/>
    <w:rsid w:val="000941AF"/>
    <w:rsid w:val="00096BA7"/>
    <w:rsid w:val="000C2944"/>
    <w:rsid w:val="000D1B34"/>
    <w:rsid w:val="000F0779"/>
    <w:rsid w:val="000F4EE0"/>
    <w:rsid w:val="000F4F29"/>
    <w:rsid w:val="0010010D"/>
    <w:rsid w:val="00103E0E"/>
    <w:rsid w:val="00112ED8"/>
    <w:rsid w:val="00135A3B"/>
    <w:rsid w:val="00154136"/>
    <w:rsid w:val="001844EB"/>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A47CE"/>
    <w:rsid w:val="002F10A9"/>
    <w:rsid w:val="002F5E0E"/>
    <w:rsid w:val="002F666C"/>
    <w:rsid w:val="00302CA2"/>
    <w:rsid w:val="0031165E"/>
    <w:rsid w:val="0032184B"/>
    <w:rsid w:val="00354445"/>
    <w:rsid w:val="003606FC"/>
    <w:rsid w:val="003642FE"/>
    <w:rsid w:val="0038560E"/>
    <w:rsid w:val="00386D82"/>
    <w:rsid w:val="003A63D4"/>
    <w:rsid w:val="003A69C6"/>
    <w:rsid w:val="003A7A96"/>
    <w:rsid w:val="003B0A46"/>
    <w:rsid w:val="003E5607"/>
    <w:rsid w:val="003F681E"/>
    <w:rsid w:val="003F7E9E"/>
    <w:rsid w:val="00401B70"/>
    <w:rsid w:val="00406C9B"/>
    <w:rsid w:val="004139BE"/>
    <w:rsid w:val="004146AA"/>
    <w:rsid w:val="00420300"/>
    <w:rsid w:val="00435068"/>
    <w:rsid w:val="00443259"/>
    <w:rsid w:val="00443445"/>
    <w:rsid w:val="004472CA"/>
    <w:rsid w:val="00464971"/>
    <w:rsid w:val="00477D73"/>
    <w:rsid w:val="00480252"/>
    <w:rsid w:val="004811D8"/>
    <w:rsid w:val="00497545"/>
    <w:rsid w:val="004B1012"/>
    <w:rsid w:val="004C0AA3"/>
    <w:rsid w:val="004C2541"/>
    <w:rsid w:val="004C4DA5"/>
    <w:rsid w:val="004D2BA0"/>
    <w:rsid w:val="004D6CDE"/>
    <w:rsid w:val="00511B5E"/>
    <w:rsid w:val="00525222"/>
    <w:rsid w:val="00526D9D"/>
    <w:rsid w:val="00527EB9"/>
    <w:rsid w:val="00533C00"/>
    <w:rsid w:val="0053609D"/>
    <w:rsid w:val="00542302"/>
    <w:rsid w:val="00563F6D"/>
    <w:rsid w:val="005672B1"/>
    <w:rsid w:val="005A0FE2"/>
    <w:rsid w:val="005B3BF5"/>
    <w:rsid w:val="005C1DE3"/>
    <w:rsid w:val="005E7567"/>
    <w:rsid w:val="005F0F57"/>
    <w:rsid w:val="005F1D8A"/>
    <w:rsid w:val="0063065E"/>
    <w:rsid w:val="00643661"/>
    <w:rsid w:val="006624B2"/>
    <w:rsid w:val="00673B21"/>
    <w:rsid w:val="00683419"/>
    <w:rsid w:val="00694712"/>
    <w:rsid w:val="006A5948"/>
    <w:rsid w:val="006C1496"/>
    <w:rsid w:val="006C63F4"/>
    <w:rsid w:val="006D0CB1"/>
    <w:rsid w:val="006D1DD4"/>
    <w:rsid w:val="006D218F"/>
    <w:rsid w:val="006D3221"/>
    <w:rsid w:val="006E1563"/>
    <w:rsid w:val="006E32E4"/>
    <w:rsid w:val="006F084E"/>
    <w:rsid w:val="006F3408"/>
    <w:rsid w:val="00701699"/>
    <w:rsid w:val="00726EC4"/>
    <w:rsid w:val="00730E96"/>
    <w:rsid w:val="00737BCD"/>
    <w:rsid w:val="0075722E"/>
    <w:rsid w:val="00780305"/>
    <w:rsid w:val="007803F1"/>
    <w:rsid w:val="0078300E"/>
    <w:rsid w:val="00793ED4"/>
    <w:rsid w:val="00795E53"/>
    <w:rsid w:val="00796E6F"/>
    <w:rsid w:val="007F1A2B"/>
    <w:rsid w:val="00813C70"/>
    <w:rsid w:val="00820C00"/>
    <w:rsid w:val="008310CB"/>
    <w:rsid w:val="00841057"/>
    <w:rsid w:val="00841F42"/>
    <w:rsid w:val="008475B7"/>
    <w:rsid w:val="00882F20"/>
    <w:rsid w:val="00884ECC"/>
    <w:rsid w:val="00892DEA"/>
    <w:rsid w:val="00894C0A"/>
    <w:rsid w:val="008A1DA2"/>
    <w:rsid w:val="008A52C4"/>
    <w:rsid w:val="008A53F5"/>
    <w:rsid w:val="008A7985"/>
    <w:rsid w:val="008C5595"/>
    <w:rsid w:val="008C5FCA"/>
    <w:rsid w:val="008C6234"/>
    <w:rsid w:val="008D0D27"/>
    <w:rsid w:val="008E7FFA"/>
    <w:rsid w:val="00907410"/>
    <w:rsid w:val="00911D52"/>
    <w:rsid w:val="009157FF"/>
    <w:rsid w:val="0092735E"/>
    <w:rsid w:val="009326D5"/>
    <w:rsid w:val="00941848"/>
    <w:rsid w:val="0095522F"/>
    <w:rsid w:val="00960D9E"/>
    <w:rsid w:val="00965651"/>
    <w:rsid w:val="00967D0B"/>
    <w:rsid w:val="009743E7"/>
    <w:rsid w:val="0099371C"/>
    <w:rsid w:val="00997FB9"/>
    <w:rsid w:val="009A02DB"/>
    <w:rsid w:val="009A29F5"/>
    <w:rsid w:val="009B0B8C"/>
    <w:rsid w:val="009B4729"/>
    <w:rsid w:val="009B73BD"/>
    <w:rsid w:val="009C5E47"/>
    <w:rsid w:val="009D0CB2"/>
    <w:rsid w:val="009E23C6"/>
    <w:rsid w:val="009F51C3"/>
    <w:rsid w:val="00A0360F"/>
    <w:rsid w:val="00A043C9"/>
    <w:rsid w:val="00A16CAA"/>
    <w:rsid w:val="00A31015"/>
    <w:rsid w:val="00A4709E"/>
    <w:rsid w:val="00A4712A"/>
    <w:rsid w:val="00A60C7C"/>
    <w:rsid w:val="00A83F4D"/>
    <w:rsid w:val="00AA6FED"/>
    <w:rsid w:val="00AB079F"/>
    <w:rsid w:val="00AB4F2C"/>
    <w:rsid w:val="00AE24AA"/>
    <w:rsid w:val="00AF5A80"/>
    <w:rsid w:val="00B008EE"/>
    <w:rsid w:val="00B119FB"/>
    <w:rsid w:val="00B2797F"/>
    <w:rsid w:val="00B30111"/>
    <w:rsid w:val="00B31CD2"/>
    <w:rsid w:val="00B32AF3"/>
    <w:rsid w:val="00B335D4"/>
    <w:rsid w:val="00B936A6"/>
    <w:rsid w:val="00B96193"/>
    <w:rsid w:val="00BD2714"/>
    <w:rsid w:val="00BD3BE0"/>
    <w:rsid w:val="00BD5921"/>
    <w:rsid w:val="00BF2E8A"/>
    <w:rsid w:val="00C02555"/>
    <w:rsid w:val="00C1569E"/>
    <w:rsid w:val="00C265F6"/>
    <w:rsid w:val="00C426E7"/>
    <w:rsid w:val="00C51A58"/>
    <w:rsid w:val="00C73537"/>
    <w:rsid w:val="00C9741A"/>
    <w:rsid w:val="00CA34D3"/>
    <w:rsid w:val="00CD36CA"/>
    <w:rsid w:val="00CE7F91"/>
    <w:rsid w:val="00CF0294"/>
    <w:rsid w:val="00CF0435"/>
    <w:rsid w:val="00CF5C6C"/>
    <w:rsid w:val="00D210C3"/>
    <w:rsid w:val="00D25194"/>
    <w:rsid w:val="00D440B2"/>
    <w:rsid w:val="00D53F6D"/>
    <w:rsid w:val="00D7690A"/>
    <w:rsid w:val="00D848A0"/>
    <w:rsid w:val="00D86BCC"/>
    <w:rsid w:val="00D97F1C"/>
    <w:rsid w:val="00DA7891"/>
    <w:rsid w:val="00DB0B6F"/>
    <w:rsid w:val="00DE389D"/>
    <w:rsid w:val="00DF1513"/>
    <w:rsid w:val="00E06D65"/>
    <w:rsid w:val="00E2005E"/>
    <w:rsid w:val="00E22B3F"/>
    <w:rsid w:val="00E454BB"/>
    <w:rsid w:val="00E45DBA"/>
    <w:rsid w:val="00E46DD7"/>
    <w:rsid w:val="00E50AAB"/>
    <w:rsid w:val="00E51F5E"/>
    <w:rsid w:val="00E673AF"/>
    <w:rsid w:val="00E73D9A"/>
    <w:rsid w:val="00EC7467"/>
    <w:rsid w:val="00ED165F"/>
    <w:rsid w:val="00ED3EE6"/>
    <w:rsid w:val="00EE450C"/>
    <w:rsid w:val="00F044CE"/>
    <w:rsid w:val="00F06C0C"/>
    <w:rsid w:val="00F13113"/>
    <w:rsid w:val="00F52F54"/>
    <w:rsid w:val="00F6547F"/>
    <w:rsid w:val="00F67738"/>
    <w:rsid w:val="00F75B08"/>
    <w:rsid w:val="00F864E5"/>
    <w:rsid w:val="00FA1987"/>
    <w:rsid w:val="00FA6CD2"/>
    <w:rsid w:val="00FB14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2061</TotalTime>
  <Pages>13</Pages>
  <Words>15265</Words>
  <Characters>87014</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73</cp:revision>
  <dcterms:created xsi:type="dcterms:W3CDTF">2025-05-19T03:17:00Z</dcterms:created>
  <dcterms:modified xsi:type="dcterms:W3CDTF">2025-08-28T14:16:00Z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id="SB2VnO4d"/&gt;&lt;style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