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CEF40" w14:textId="77777777" w:rsidR="00E90986" w:rsidRDefault="00E90986" w:rsidP="00E81C64">
      <w:pPr>
        <w:spacing w:line="480" w:lineRule="auto"/>
        <w:jc w:val="center"/>
        <w:rPr>
          <w:rFonts w:ascii="Times New Roman" w:hAnsi="Times New Roman" w:cs="Times New Roman"/>
          <w:b/>
          <w:bCs/>
          <w:sz w:val="36"/>
          <w:szCs w:val="36"/>
        </w:rPr>
      </w:pPr>
      <w:r>
        <w:rPr>
          <w:rFonts w:ascii="Times New Roman" w:hAnsi="Times New Roman" w:cs="Times New Roman"/>
          <w:b/>
          <w:bCs/>
          <w:sz w:val="36"/>
          <w:szCs w:val="36"/>
        </w:rPr>
        <w:t>ICES Journal of Marine Science</w:t>
      </w:r>
    </w:p>
    <w:p w14:paraId="66AE0996" w14:textId="4B8E0413" w:rsidR="00746A23" w:rsidRPr="00D73DD0" w:rsidRDefault="00E90986" w:rsidP="00E81C64">
      <w:pPr>
        <w:spacing w:line="480" w:lineRule="auto"/>
        <w:jc w:val="center"/>
        <w:rPr>
          <w:rFonts w:ascii="Times New Roman" w:hAnsi="Times New Roman" w:cs="Times New Roman"/>
          <w:sz w:val="32"/>
          <w:szCs w:val="32"/>
        </w:rPr>
      </w:pPr>
      <w:r>
        <w:rPr>
          <w:rFonts w:ascii="Times New Roman" w:hAnsi="Times New Roman" w:cs="Times New Roman"/>
          <w:sz w:val="32"/>
          <w:szCs w:val="32"/>
        </w:rPr>
        <w:t>Original article</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Staneva </w:t>
      </w:r>
      <w:r w:rsidR="00D72A5D" w:rsidRPr="003D552A">
        <w:rPr>
          <w:rFonts w:ascii="Times New Roman" w:hAnsi="Times New Roman" w:cs="Times New Roman"/>
          <w:sz w:val="28"/>
          <w:szCs w:val="28"/>
          <w:vertAlign w:val="superscript"/>
        </w:rPr>
        <w:t>2</w:t>
      </w:r>
    </w:p>
    <w:p w14:paraId="533372FD" w14:textId="1D91484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w:t>
      </w:r>
      <w:r w:rsidR="00A76EBE">
        <w:rPr>
          <w:rFonts w:ascii="Times New Roman" w:hAnsi="Times New Roman" w:cs="Times New Roman"/>
          <w:i/>
          <w:iCs/>
          <w:sz w:val="20"/>
          <w:szCs w:val="20"/>
        </w:rPr>
        <w:t>y</w:t>
      </w:r>
      <w:r w:rsidRPr="003D552A">
        <w:rPr>
          <w:rFonts w:ascii="Times New Roman" w:hAnsi="Times New Roman" w:cs="Times New Roman"/>
          <w:i/>
          <w:iCs/>
          <w:sz w:val="20"/>
          <w:szCs w:val="20"/>
        </w:rPr>
        <w:t xml:space="preserve">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4632772F" w14:textId="6F9A0EB4" w:rsidR="00F22A75" w:rsidRPr="00E90986" w:rsidRDefault="00327593" w:rsidP="00DF27C5">
      <w:pPr>
        <w:spacing w:line="480" w:lineRule="auto"/>
        <w:ind w:left="2880" w:firstLine="720"/>
        <w:rPr>
          <w:rFonts w:ascii="Times New Roman" w:hAnsi="Times New Roman" w:cs="Times New Roman"/>
          <w:highlight w:val="yellow"/>
        </w:rPr>
      </w:pPr>
      <w:r w:rsidRPr="00E90986">
        <w:rPr>
          <w:rFonts w:ascii="Times New Roman" w:hAnsi="Times New Roman" w:cs="Times New Roman"/>
          <w:highlight w:val="yellow"/>
        </w:rPr>
        <w:t xml:space="preserve">Open research statement: </w:t>
      </w:r>
    </w:p>
    <w:p w14:paraId="13493C24" w14:textId="6A76FEDC" w:rsidR="00DF27C5" w:rsidRDefault="00DF27C5" w:rsidP="00DF27C5">
      <w:pPr>
        <w:spacing w:line="480" w:lineRule="auto"/>
        <w:jc w:val="center"/>
        <w:rPr>
          <w:rFonts w:ascii="Times New Roman" w:hAnsi="Times New Roman" w:cs="Times New Roman"/>
        </w:rPr>
      </w:pPr>
      <w:r w:rsidRPr="00E90986">
        <w:rPr>
          <w:rFonts w:ascii="Times New Roman" w:hAnsi="Times New Roman" w:cs="Times New Roman"/>
          <w:highlight w:val="yellow"/>
        </w:rPr>
        <w:t xml:space="preserve">Data and code are available as private for peer review in a dryad repository : </w:t>
      </w:r>
      <w:hyperlink r:id="rId6" w:history="1">
        <w:r w:rsidRPr="00E90986">
          <w:rPr>
            <w:rStyle w:val="Hyperlink"/>
            <w:rFonts w:ascii="Times New Roman" w:hAnsi="Times New Roman" w:cs="Times New Roman"/>
            <w:highlight w:val="yellow"/>
          </w:rPr>
          <w:t>https://datadryad.org/dataset/doi:10.5061/dryad.hdr7sqvxs</w:t>
        </w:r>
      </w:hyperlink>
      <w:r w:rsidRPr="00E90986">
        <w:rPr>
          <w:rFonts w:ascii="Times New Roman" w:hAnsi="Times New Roman" w:cs="Times New Roman"/>
          <w:highlight w:val="yellow"/>
        </w:rPr>
        <w:t xml:space="preserve">. Code and data are also available in a </w:t>
      </w:r>
      <w:proofErr w:type="spellStart"/>
      <w:r w:rsidRPr="00E90986">
        <w:rPr>
          <w:rFonts w:ascii="Times New Roman" w:hAnsi="Times New Roman" w:cs="Times New Roman"/>
          <w:highlight w:val="yellow"/>
        </w:rPr>
        <w:t>github</w:t>
      </w:r>
      <w:proofErr w:type="spellEnd"/>
      <w:r w:rsidRPr="00E90986">
        <w:rPr>
          <w:rFonts w:ascii="Times New Roman" w:hAnsi="Times New Roman" w:cs="Times New Roman"/>
          <w:highlight w:val="yellow"/>
        </w:rPr>
        <w:t xml:space="preserve"> repository with a </w:t>
      </w:r>
      <w:proofErr w:type="spellStart"/>
      <w:r w:rsidRPr="00E90986">
        <w:rPr>
          <w:rFonts w:ascii="Times New Roman" w:hAnsi="Times New Roman" w:cs="Times New Roman"/>
          <w:highlight w:val="yellow"/>
        </w:rPr>
        <w:t>zenodo</w:t>
      </w:r>
      <w:proofErr w:type="spellEnd"/>
      <w:r w:rsidRPr="00E90986">
        <w:rPr>
          <w:rFonts w:ascii="Times New Roman" w:hAnsi="Times New Roman" w:cs="Times New Roman"/>
          <w:highlight w:val="yellow"/>
        </w:rPr>
        <w:t xml:space="preserve"> DOI: https://doi.org/10.5281/zenodo.17624850</w:t>
      </w:r>
    </w:p>
    <w:p w14:paraId="76C1C236" w14:textId="77777777" w:rsidR="00DF27C5" w:rsidRPr="00DF27C5" w:rsidRDefault="00DF27C5" w:rsidP="00DF27C5">
      <w:pPr>
        <w:spacing w:line="480" w:lineRule="auto"/>
        <w:ind w:left="2880" w:firstLine="720"/>
        <w:jc w:val="center"/>
        <w:rPr>
          <w:rFonts w:ascii="Times New Roman" w:hAnsi="Times New Roman" w:cs="Times New Roman"/>
        </w:rPr>
      </w:pPr>
    </w:p>
    <w:p w14:paraId="2C9240D5" w14:textId="77777777" w:rsidR="007B278F" w:rsidRDefault="007B278F" w:rsidP="007B278F">
      <w:pPr>
        <w:spacing w:line="480" w:lineRule="auto"/>
        <w:rPr>
          <w:rFonts w:ascii="Times New Roman" w:hAnsi="Times New Roman" w:cs="Times New Roman"/>
          <w:sz w:val="22"/>
          <w:szCs w:val="22"/>
        </w:rPr>
      </w:pPr>
    </w:p>
    <w:p w14:paraId="7C25E2B7" w14:textId="4F97EB11" w:rsidR="00D73DD0" w:rsidRPr="00B70D92" w:rsidRDefault="001B766F" w:rsidP="00B70D92">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069946AA"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w:t>
      </w:r>
      <w:r w:rsidR="0006479B" w:rsidRPr="00293852">
        <w:rPr>
          <w:rFonts w:ascii="Times New Roman" w:hAnsi="Times New Roman" w:cs="Times New Roman"/>
        </w:rPr>
        <w:t xml:space="preserve"> </w:t>
      </w:r>
      <w:r w:rsidR="0006479B" w:rsidRPr="00293852">
        <w:rPr>
          <w:rFonts w:ascii="Times New Roman" w:hAnsi="Times New Roman" w:cs="Times New Roman"/>
        </w:rPr>
        <w:fldChar w:fldCharType="begin"/>
      </w:r>
      <w:r w:rsidR="0006479B" w:rsidRPr="00293852">
        <w:rPr>
          <w:rFonts w:ascii="Times New Roman" w:hAnsi="Times New Roman" w:cs="Times New Roman"/>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sidRPr="00293852">
        <w:rPr>
          <w:rFonts w:ascii="Times New Roman" w:hAnsi="Times New Roman" w:cs="Times New Roman"/>
        </w:rPr>
        <w:fldChar w:fldCharType="separate"/>
      </w:r>
      <w:r w:rsidR="0006479B" w:rsidRPr="00293852">
        <w:rPr>
          <w:rFonts w:ascii="Times New Roman" w:hAnsi="Times New Roman" w:cs="Times New Roman"/>
          <w:noProof/>
        </w:rPr>
        <w:t>(DeFilippo et al., 2025; Stram &amp; Ianelli, 2015)</w:t>
      </w:r>
      <w:r w:rsidR="0006479B" w:rsidRPr="00293852">
        <w:rPr>
          <w:rFonts w:ascii="Times New Roman" w:hAnsi="Times New Roman" w:cs="Times New Roman"/>
        </w:rPr>
        <w:fldChar w:fldCharType="end"/>
      </w:r>
      <w:r w:rsidR="00364F19" w:rsidRPr="00293852">
        <w:rPr>
          <w:rFonts w:ascii="Times New Roman" w:hAnsi="Times New Roman" w:cs="Times New Roman"/>
        </w:rPr>
        <w:t xml:space="preserve">.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74661756"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45CA858C"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E90986">
        <w:rPr>
          <w:rFonts w:ascii="Times New Roman" w:hAnsi="Times New Roman" w:cs="Times New Roman"/>
        </w:rPr>
        <w:t>modelled</w:t>
      </w:r>
      <w:r w:rsidR="00FD2359" w:rsidRPr="00293852">
        <w:rPr>
          <w:rFonts w:ascii="Times New Roman" w:hAnsi="Times New Roman" w:cs="Times New Roman"/>
        </w:rPr>
        <w:t xml:space="preserve">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367ED3B4"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Orutsararmiut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4640C58F"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r w:rsidRPr="00293852">
        <w:rPr>
          <w:rFonts w:ascii="Times New Roman" w:hAnsi="Times New Roman" w:cs="Times New Roman"/>
        </w:rPr>
        <w:t xml:space="preserve">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From these samples, a posterior probability of occupancy for three genetic reporting groups (Lower, Middle, and Upper 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660929F5" w14:textId="77777777" w:rsidR="00BC676D" w:rsidRDefault="00BC676D" w:rsidP="00B229E6">
      <w:pPr>
        <w:rPr>
          <w:rFonts w:ascii="Times New Roman" w:hAnsi="Times New Roman" w:cs="Times New Roman"/>
          <w:b/>
          <w:bCs/>
          <w:u w:val="single"/>
        </w:rPr>
      </w:pPr>
    </w:p>
    <w:p w14:paraId="376A3A99" w14:textId="77777777" w:rsidR="00BC676D" w:rsidRDefault="00BC676D" w:rsidP="00B229E6">
      <w:pPr>
        <w:rPr>
          <w:rFonts w:ascii="Times New Roman" w:hAnsi="Times New Roman" w:cs="Times New Roman"/>
          <w:b/>
          <w:bCs/>
          <w:u w:val="single"/>
        </w:rPr>
      </w:pPr>
    </w:p>
    <w:p w14:paraId="0678BE3E" w14:textId="2731AA97"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lastRenderedPageBreak/>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72851E32"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Sr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 xml:space="preserve">herefore, to </w:t>
      </w:r>
      <w:proofErr w:type="spellStart"/>
      <w:r w:rsidR="00E90986">
        <w:rPr>
          <w:rFonts w:ascii="Times New Roman" w:hAnsi="Times New Roman" w:cs="Times New Roman"/>
        </w:rPr>
        <w:t>maximise</w:t>
      </w:r>
      <w:proofErr w:type="spellEnd"/>
      <w:r w:rsidR="009757C2" w:rsidRPr="00293852">
        <w:rPr>
          <w:rFonts w:ascii="Times New Roman" w:hAnsi="Times New Roman" w:cs="Times New Roman"/>
        </w:rPr>
        <w:t xml:space="preserv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3C28BF89"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w:t>
      </w:r>
      <w:proofErr w:type="spellStart"/>
      <w:r w:rsidR="00E90986">
        <w:rPr>
          <w:rFonts w:ascii="Times New Roman" w:hAnsi="Times New Roman" w:cs="Times New Roman"/>
        </w:rPr>
        <w:t>maximise</w:t>
      </w:r>
      <w:proofErr w:type="spellEnd"/>
      <w:r w:rsidR="00F67738" w:rsidRPr="00293852">
        <w:rPr>
          <w:rFonts w:ascii="Times New Roman" w:hAnsi="Times New Roman" w:cs="Times New Roman"/>
        </w:rPr>
        <w:t xml:space="preserve"> goodness of </w:t>
      </w:r>
      <w:r w:rsidR="00F67738" w:rsidRPr="00293852">
        <w:rPr>
          <w:rFonts w:ascii="Times New Roman" w:hAnsi="Times New Roman" w:cs="Times New Roman"/>
        </w:rPr>
        <w:lastRenderedPageBreak/>
        <w:t xml:space="preserve">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w:t>
      </w:r>
      <w:proofErr w:type="spellStart"/>
      <w:r w:rsidR="00E90986">
        <w:rPr>
          <w:rFonts w:ascii="Times New Roman" w:hAnsi="Times New Roman" w:cs="Times New Roman"/>
        </w:rPr>
        <w:t>minimise</w:t>
      </w:r>
      <w:proofErr w:type="spellEnd"/>
      <w:r w:rsidR="00F67738" w:rsidRPr="00293852">
        <w:rPr>
          <w:rFonts w:ascii="Times New Roman" w:hAnsi="Times New Roman" w:cs="Times New Roman"/>
        </w:rPr>
        <w:t xml:space="preserv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lastRenderedPageBreak/>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lastRenderedPageBreak/>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25153809"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w:t>
      </w:r>
      <w:r w:rsidR="00BC676D">
        <w:t xml:space="preserve">(confidence scores) </w:t>
      </w:r>
      <w:r w:rsidRPr="00293852">
        <w:t xml:space="preserve">that </w:t>
      </w:r>
      <w:r w:rsidR="00F61309" w:rsidRPr="00293852">
        <w:t>correctly identify rank class likelihood but produce estimated probability values that do</w:t>
      </w:r>
      <w:r w:rsidRPr="00293852">
        <w:t xml:space="preserve"> not accurately reflect </w:t>
      </w:r>
      <w:r w:rsidR="00BC676D">
        <w:t xml:space="preserve">the observed probability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r w:rsidR="00BC676D">
        <w:t xml:space="preserve">reliable </w:t>
      </w:r>
      <w:r w:rsidR="00F61309" w:rsidRPr="00293852">
        <w:t>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w:t>
      </w:r>
      <w:r w:rsidRPr="00293852">
        <w:lastRenderedPageBreak/>
        <w:t xml:space="preserve">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w:t>
      </w:r>
      <w:r w:rsidR="00BC676D">
        <w:t xml:space="preserve">observed </w:t>
      </w:r>
      <w:r w:rsidRPr="00293852">
        <w:t xml:space="preserve">classification </w:t>
      </w:r>
      <w:r w:rsidR="00BC676D">
        <w:t xml:space="preserve">probability.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r w:rsidR="00BC676D">
        <w:t xml:space="preserve"> calibrated</w:t>
      </w:r>
      <w:r w:rsidR="00DF33B5">
        <w:t xml:space="preserve"> confidence thresholds ranging from </w:t>
      </w:r>
      <w:r w:rsidR="00C837EC" w:rsidRPr="00293852">
        <w:t>60% to 90%.</w:t>
      </w:r>
      <w:r w:rsidR="00A675C1">
        <w:t xml:space="preserve"> For a given confidence threshold, we calculated the number of individuals assigned to </w:t>
      </w:r>
      <w:proofErr w:type="gramStart"/>
      <w:r w:rsidR="00A675C1">
        <w:t xml:space="preserve">a </w:t>
      </w:r>
      <w:r w:rsidR="00062696">
        <w:t>the</w:t>
      </w:r>
      <w:proofErr w:type="gramEnd"/>
      <w:r w:rsidR="00062696">
        <w:t xml:space="preserve"> correct </w:t>
      </w:r>
      <w:r w:rsidR="00A675C1">
        <w:t>class with a calibrated probability value at or above the given threshold</w:t>
      </w:r>
      <w:r w:rsidR="00062696">
        <w:t xml:space="preserve">. This value was then compared to the total number of individual </w:t>
      </w:r>
      <w:r w:rsidR="00A675C1">
        <w:t xml:space="preserve">mis-identified as another class or assigned to the correct class </w:t>
      </w:r>
      <w:r w:rsidR="00062696">
        <w:t>but with</w:t>
      </w:r>
      <w:r w:rsidR="00A675C1">
        <w:t xml:space="preserve"> a calibrated probability value below the threshold. </w:t>
      </w:r>
      <w:r w:rsidR="00C837EC" w:rsidRPr="00293852">
        <w:t>Class-specific and overall accuracies were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w:t>
      </w:r>
      <w:r w:rsidR="00D53F6D" w:rsidRPr="00293852">
        <w:lastRenderedPageBreak/>
        <w:t xml:space="preserve">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w:t>
      </w:r>
      <w:r w:rsidR="000F5F96" w:rsidRPr="00293852">
        <w:rPr>
          <w:rFonts w:ascii="Times New Roman" w:hAnsi="Times New Roman" w:cs="Times New Roman"/>
        </w:rPr>
        <w:lastRenderedPageBreak/>
        <w:t>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CF66E18"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0C5008B"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w:t>
      </w:r>
      <w:r w:rsidRPr="00293852">
        <w:rPr>
          <w:rFonts w:ascii="Times New Roman" w:hAnsi="Times New Roman" w:cs="Times New Roman"/>
        </w:rPr>
        <w:lastRenderedPageBreak/>
        <w:t xml:space="preserve">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78A0E488" w:rsidR="00A043C9" w:rsidRPr="00293852" w:rsidRDefault="009D6F26" w:rsidP="001673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Supp. Fig 1). </w:t>
      </w:r>
      <w:r w:rsidR="00254031">
        <w:rPr>
          <w:rFonts w:ascii="Times New Roman" w:hAnsi="Times New Roman" w:cs="Times New Roman"/>
        </w:rPr>
        <w:t xml:space="preserve">Notably, many of the predicted probability values from our models appeared to follow this assumption relatively well even before calibration. </w:t>
      </w:r>
      <w:r w:rsidR="00C51A58" w:rsidRPr="00293852">
        <w:rPr>
          <w:rFonts w:ascii="Times New Roman" w:hAnsi="Times New Roman" w:cs="Times New Roman"/>
        </w:rPr>
        <w:t xml:space="preserve">Across the range of tested thresholds, overall </w:t>
      </w:r>
      <w:r w:rsidR="00167331">
        <w:rPr>
          <w:rFonts w:ascii="Times New Roman" w:hAnsi="Times New Roman" w:cs="Times New Roman"/>
        </w:rPr>
        <w:t xml:space="preserve">classification </w:t>
      </w:r>
      <w:r w:rsidR="00C51A58" w:rsidRPr="00293852">
        <w:rPr>
          <w:rFonts w:ascii="Times New Roman" w:hAnsi="Times New Roman" w:cs="Times New Roman"/>
        </w:rPr>
        <w:t xml:space="preserve">accuracy ranged from 91 – 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w:t>
      </w:r>
      <w:r w:rsidR="00167331">
        <w:rPr>
          <w:rFonts w:ascii="Times New Roman" w:hAnsi="Times New Roman" w:cs="Times New Roman"/>
        </w:rPr>
        <w:t xml:space="preserve">This </w:t>
      </w:r>
      <w:r w:rsidR="00167331">
        <w:rPr>
          <w:rFonts w:ascii="Times New Roman" w:hAnsi="Times New Roman" w:cs="Times New Roman"/>
        </w:rPr>
        <w:lastRenderedPageBreak/>
        <w:t xml:space="preserve">reflect the declining number of individuals which can be assigned be correct defined by the model with an added requirement of a high probability value. </w:t>
      </w:r>
      <w:r w:rsidR="00C51A58" w:rsidRPr="00293852">
        <w:rPr>
          <w:rFonts w:ascii="Times New Roman" w:hAnsi="Times New Roman" w:cs="Times New Roman"/>
        </w:rPr>
        <w:t xml:space="preserve">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306ABE3A"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r w:rsidR="00E51F2F" w:rsidRPr="00293852">
        <w:rPr>
          <w:rFonts w:ascii="Times New Roman" w:hAnsi="Times New Roman" w:cs="Times New Roman"/>
        </w:rPr>
        <w:t>using</w:t>
      </w:r>
      <w:r w:rsidR="00097484" w:rsidRPr="00293852">
        <w:rPr>
          <w:rFonts w:ascii="Times New Roman" w:hAnsi="Times New Roman" w:cs="Times New Roman"/>
        </w:rPr>
        <w:t xml:space="preserve"> </w:t>
      </w:r>
      <w:r w:rsidR="00097484" w:rsidRPr="00293852">
        <w:rPr>
          <w:rFonts w:ascii="Times New Roman" w:hAnsi="Times New Roman" w:cs="Times New Roman"/>
        </w:rPr>
        <w:lastRenderedPageBreak/>
        <w:t>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r w:rsidR="00A64855">
        <w:rPr>
          <w:rFonts w:ascii="Times New Roman" w:hAnsi="Times New Roman" w:cs="Times New Roman"/>
        </w:rPr>
        <w:t xml:space="preserve">Given the relatively small sample size in our testing set, we acknowledge that the relatively subtle difference in classification accuracy among methods may not be significant. However, even if the difference is insignificant, all methods presented here provide a high level of classification accuracy. </w:t>
      </w:r>
    </w:p>
    <w:p w14:paraId="0EAB008D" w14:textId="28FC04FE" w:rsidR="00B54D1A" w:rsidRPr="00293852" w:rsidRDefault="00CF4BFF" w:rsidP="00FA4965">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w:t>
      </w:r>
      <w:r w:rsidR="00167331">
        <w:rPr>
          <w:rFonts w:ascii="Times New Roman" w:hAnsi="Times New Roman" w:cs="Times New Roman"/>
        </w:rPr>
        <w:t xml:space="preserve">This limitation is further illustrated in the confidence threshold analysis, in which we imposed the additional requirement that the model must assign to the correct class with a calibrated probability value above a given threshold. Preforming this analysis on the total dataset resulted in a significant decrease in classification accuracy in the Nushagak and Kuskokwim as we increased the threshold probability value. This reflects the fact although the model correctly assigns individuals to these watersheds in most cases, the associated confidence of the model is much </w:t>
      </w:r>
      <w:r w:rsidR="00FA4965">
        <w:rPr>
          <w:rFonts w:ascii="Times New Roman" w:hAnsi="Times New Roman" w:cs="Times New Roman"/>
        </w:rPr>
        <w:t xml:space="preserve">lower for these classes given their similarity in time series shape. </w:t>
      </w:r>
      <w:r w:rsidR="00BE529C" w:rsidRPr="00293852">
        <w:rPr>
          <w:rFonts w:ascii="Times New Roman" w:hAnsi="Times New Roman" w:cs="Times New Roman"/>
        </w:rPr>
        <w:t xml:space="preserve">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7E1DFC" w:rsidRPr="00293852">
        <w:rPr>
          <w:rFonts w:ascii="Times New Roman" w:hAnsi="Times New Roman" w:cs="Times New Roman"/>
        </w:rPr>
        <w:t xml:space="preserve">Figure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 xml:space="preserve">higher </w:t>
      </w:r>
      <w:r w:rsidR="0073705F" w:rsidRPr="00293852">
        <w:rPr>
          <w:rFonts w:ascii="Times New Roman" w:hAnsi="Times New Roman" w:cs="Times New Roman"/>
        </w:rPr>
        <w:lastRenderedPageBreak/>
        <w:t>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b, column 4) are more likely to be misclassified with Kuskokwim or Nushagak fish, resulting in lower overall accuracy.</w:t>
      </w:r>
      <w:r w:rsidR="00167331">
        <w:rPr>
          <w:rFonts w:ascii="Times New Roman" w:hAnsi="Times New Roman" w:cs="Times New Roman"/>
        </w:rPr>
        <w:t xml:space="preserve">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w:t>
      </w:r>
      <w:proofErr w:type="gramStart"/>
      <w:r w:rsidR="00E60751" w:rsidRPr="00E02763">
        <w:rPr>
          <w:rFonts w:ascii="Times New Roman" w:hAnsi="Times New Roman" w:cs="Times New Roman"/>
        </w:rPr>
        <w:t>( 90</w:t>
      </w:r>
      <w:proofErr w:type="gramEnd"/>
      <w:r w:rsidR="00E60751" w:rsidRPr="00E02763">
        <w:rPr>
          <w:rFonts w:ascii="Times New Roman" w:hAnsi="Times New Roman" w:cs="Times New Roman"/>
        </w:rPr>
        <w:t xml:space="preserve">%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r w:rsidR="00A64855">
        <w:rPr>
          <w:rFonts w:ascii="Times New Roman" w:hAnsi="Times New Roman" w:cs="Times New Roman"/>
        </w:rPr>
        <w:t xml:space="preserve"> </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4598BB3E" w:rsidR="00941969" w:rsidRPr="00293852" w:rsidRDefault="00D27C7B" w:rsidP="009E43BD">
      <w:pPr>
        <w:pStyle w:val="NormalWeb"/>
        <w:spacing w:line="480" w:lineRule="auto"/>
        <w:ind w:firstLine="720"/>
      </w:pPr>
      <w:r w:rsidRPr="00293852">
        <w:lastRenderedPageBreak/>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w:t>
      </w:r>
      <w:r w:rsidR="002654E3">
        <w:t xml:space="preserve">During exploratory analyses, we conducted a preliminary cross-year validation in which one year of Yukon data was withheld in each run and used as a validation set. Classification accuracy across years was generally consistent with testing performance, except for 2019, which performed moderately worse, possibly due to differences in sample preparation or data quality. While these preliminary results were not included in the final </w:t>
      </w:r>
      <w:proofErr w:type="gramStart"/>
      <w:r w:rsidR="002654E3">
        <w:t>analysis</w:t>
      </w:r>
      <w:proofErr w:type="gramEnd"/>
      <w:r w:rsidR="002654E3">
        <w:t xml:space="preserve"> they support the potential for this model to generalize to new years of data, </w:t>
      </w:r>
      <w:r w:rsidR="009E43BD">
        <w:t xml:space="preserve">which we plan to further evaluate as additional, currently unprocessed years of otolith data become available. </w:t>
      </w:r>
      <w:r w:rsidR="00941969" w:rsidRPr="00293852">
        <w:t xml:space="preserve">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t>
      </w:r>
      <w:r w:rsidR="00941969" w:rsidRPr="00293852">
        <w:lastRenderedPageBreak/>
        <w:t xml:space="preserve">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0C3313">
        <w:t>(Arai et al., 2025 (</w:t>
      </w:r>
      <w:r w:rsidR="000C3313" w:rsidRPr="00E02763">
        <w:rPr>
          <w:i/>
          <w:iCs/>
        </w:rPr>
        <w:t xml:space="preserve">in </w:t>
      </w:r>
      <w:r w:rsidR="00E02763" w:rsidRPr="00E02763">
        <w:rPr>
          <w:i/>
          <w:iCs/>
        </w:rPr>
        <w:t>review</w:t>
      </w:r>
      <w:r w:rsidR="000C3313">
        <w:t>)</w:t>
      </w:r>
      <w:r w:rsidR="007E1DFC" w:rsidRPr="00293852">
        <w:t>)</w:t>
      </w:r>
      <w:r w:rsidR="00941969" w:rsidRPr="00293852">
        <w:t xml:space="preserve">, or deep learning approaches which can accommodate variation in time-series length and </w:t>
      </w:r>
      <w:proofErr w:type="spellStart"/>
      <w:r w:rsidR="00E90986">
        <w:t>minimise</w:t>
      </w:r>
      <w:proofErr w:type="spellEnd"/>
      <w:r w:rsidR="007E1DFC" w:rsidRPr="00293852">
        <w:t xml:space="preserv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lastRenderedPageBreak/>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58FB914D" w14:textId="3E4EBA29" w:rsidR="00584F13" w:rsidRPr="00293852" w:rsidRDefault="001566FD" w:rsidP="009F0B9D">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6F3DDCC3" w14:textId="681874C2" w:rsidR="00E57732" w:rsidRPr="00293852" w:rsidRDefault="00F050A0" w:rsidP="00E57732">
      <w:pPr>
        <w:spacing w:before="100" w:beforeAutospacing="1" w:after="100" w:afterAutospacing="1" w:line="480" w:lineRule="auto"/>
        <w:ind w:firstLine="720"/>
        <w:outlineLvl w:val="1"/>
        <w:rPr>
          <w:rFonts w:ascii="Times New Roman" w:hAnsi="Times New Roman" w:cs="Times New Roman"/>
        </w:rPr>
      </w:pPr>
      <w:r>
        <w:rPr>
          <w:color w:val="222222"/>
          <w:shd w:val="clear" w:color="auto" w:fill="FFFFFF"/>
        </w:rPr>
        <w:t>This work w</w:t>
      </w:r>
      <w:r>
        <w:rPr>
          <w:rStyle w:val="gmaildefault"/>
          <w:color w:val="222222"/>
          <w:shd w:val="clear" w:color="auto" w:fill="FFFFFF"/>
        </w:rPr>
        <w:t>as </w:t>
      </w:r>
      <w:r>
        <w:rPr>
          <w:color w:val="222222"/>
          <w:shd w:val="clear" w:color="auto" w:fill="FFFFFF"/>
        </w:rPr>
        <w:t>not possible without the efforts of Dr. Sean Brennan, who motivated much of the data collection used in this study, and </w:t>
      </w:r>
      <w:r>
        <w:rPr>
          <w:rStyle w:val="gmaildefault"/>
          <w:color w:val="222222"/>
          <w:shd w:val="clear" w:color="auto" w:fill="FFFFFF"/>
        </w:rPr>
        <w:t>sought </w:t>
      </w:r>
      <w:r>
        <w:rPr>
          <w:color w:val="222222"/>
          <w:shd w:val="clear" w:color="auto" w:fill="FFFFFF"/>
        </w:rPr>
        <w:t>to advance isotope-based methods </w:t>
      </w:r>
      <w:r>
        <w:rPr>
          <w:rStyle w:val="gmaildefault"/>
          <w:color w:val="222222"/>
          <w:shd w:val="clear" w:color="auto" w:fill="FFFFFF"/>
        </w:rPr>
        <w:t>on fish otoliths </w:t>
      </w:r>
      <w:r>
        <w:rPr>
          <w:color w:val="222222"/>
          <w:shd w:val="clear" w:color="auto" w:fill="FFFFFF"/>
        </w:rPr>
        <w:t>for ecological research in Alaska. We thank the University of Washington’s eScience Institute Data Science and AI Accelerator program, which provided significant mentorship and resources to a</w:t>
      </w:r>
      <w:r>
        <w:rPr>
          <w:rStyle w:val="gmaildefault"/>
          <w:color w:val="222222"/>
          <w:shd w:val="clear" w:color="auto" w:fill="FFFFFF"/>
        </w:rPr>
        <w:t>dvance </w:t>
      </w:r>
      <w:r>
        <w:rPr>
          <w:color w:val="222222"/>
          <w:shd w:val="clear" w:color="auto" w:fill="FFFFFF"/>
        </w:rPr>
        <w:t>this project. We thank the efforts of Alaska </w:t>
      </w:r>
      <w:r>
        <w:rPr>
          <w:rStyle w:val="gmaildefault"/>
          <w:color w:val="222222"/>
          <w:shd w:val="clear" w:color="auto" w:fill="FFFFFF"/>
        </w:rPr>
        <w:t>D</w:t>
      </w:r>
      <w:r>
        <w:rPr>
          <w:color w:val="222222"/>
          <w:shd w:val="clear" w:color="auto" w:fill="FFFFFF"/>
        </w:rPr>
        <w:t>epartment of </w:t>
      </w:r>
      <w:r>
        <w:rPr>
          <w:rStyle w:val="gmaildefault"/>
          <w:color w:val="222222"/>
          <w:shd w:val="clear" w:color="auto" w:fill="FFFFFF"/>
        </w:rPr>
        <w:t>F</w:t>
      </w:r>
      <w:r>
        <w:rPr>
          <w:color w:val="222222"/>
          <w:shd w:val="clear" w:color="auto" w:fill="FFFFFF"/>
        </w:rPr>
        <w:t>ish and </w:t>
      </w:r>
      <w:r>
        <w:rPr>
          <w:rStyle w:val="gmaildefault"/>
          <w:color w:val="222222"/>
          <w:shd w:val="clear" w:color="auto" w:fill="FFFFFF"/>
        </w:rPr>
        <w:t>G</w:t>
      </w:r>
      <w:r>
        <w:rPr>
          <w:color w:val="222222"/>
          <w:shd w:val="clear" w:color="auto" w:fill="FFFFFF"/>
        </w:rPr>
        <w:t>ame, </w:t>
      </w:r>
      <w:r>
        <w:rPr>
          <w:rStyle w:val="gmaildefault"/>
          <w:color w:val="222222"/>
          <w:shd w:val="clear" w:color="auto" w:fill="FFFFFF"/>
        </w:rPr>
        <w:t>and the </w:t>
      </w:r>
      <w:proofErr w:type="spellStart"/>
      <w:r>
        <w:rPr>
          <w:color w:val="222222"/>
          <w:shd w:val="clear" w:color="auto" w:fill="FFFFFF"/>
        </w:rPr>
        <w:t>Orutsararmiut</w:t>
      </w:r>
      <w:proofErr w:type="spellEnd"/>
      <w:r>
        <w:rPr>
          <w:color w:val="222222"/>
          <w:shd w:val="clear" w:color="auto" w:fill="FFFFFF"/>
        </w:rPr>
        <w:t xml:space="preserve"> Native Council</w:t>
      </w:r>
      <w:r>
        <w:rPr>
          <w:rStyle w:val="gmaildefault"/>
          <w:color w:val="222222"/>
          <w:shd w:val="clear" w:color="auto" w:fill="FFFFFF"/>
        </w:rPr>
        <w:t> for</w:t>
      </w:r>
      <w:r>
        <w:rPr>
          <w:color w:val="222222"/>
          <w:shd w:val="clear" w:color="auto" w:fill="FFFFFF"/>
        </w:rPr>
        <w:t xml:space="preserve"> sample collection, and for the employees of the Alaska Department of Fish and </w:t>
      </w:r>
      <w:r>
        <w:rPr>
          <w:color w:val="222222"/>
          <w:shd w:val="clear" w:color="auto" w:fill="FFFFFF"/>
        </w:rPr>
        <w:lastRenderedPageBreak/>
        <w:t>Game </w:t>
      </w:r>
      <w:r>
        <w:rPr>
          <w:rStyle w:val="gmaildefault"/>
          <w:color w:val="222222"/>
          <w:shd w:val="clear" w:color="auto" w:fill="FFFFFF"/>
        </w:rPr>
        <w:t>G</w:t>
      </w:r>
      <w:r>
        <w:rPr>
          <w:color w:val="222222"/>
          <w:shd w:val="clear" w:color="auto" w:fill="FFFFFF"/>
        </w:rPr>
        <w:t>ene </w:t>
      </w:r>
      <w:r>
        <w:rPr>
          <w:rStyle w:val="gmaildefault"/>
          <w:color w:val="222222"/>
          <w:shd w:val="clear" w:color="auto" w:fill="FFFFFF"/>
        </w:rPr>
        <w:t>C</w:t>
      </w:r>
      <w:r>
        <w:rPr>
          <w:color w:val="222222"/>
          <w:shd w:val="clear" w:color="auto" w:fill="FFFFFF"/>
        </w:rPr>
        <w:t>onservation </w:t>
      </w:r>
      <w:r>
        <w:rPr>
          <w:rStyle w:val="gmaildefault"/>
          <w:color w:val="222222"/>
          <w:shd w:val="clear" w:color="auto" w:fill="FFFFFF"/>
        </w:rPr>
        <w:t>L</w:t>
      </w:r>
      <w:r>
        <w:rPr>
          <w:color w:val="222222"/>
          <w:shd w:val="clear" w:color="auto" w:fill="FFFFFF"/>
        </w:rPr>
        <w:t>ab who provided the genetics data u</w:t>
      </w:r>
      <w:r>
        <w:rPr>
          <w:rStyle w:val="gmaildefault"/>
          <w:color w:val="222222"/>
          <w:shd w:val="clear" w:color="auto" w:fill="FFFFFF"/>
        </w:rPr>
        <w:t>sed in </w:t>
      </w:r>
      <w:r>
        <w:rPr>
          <w:color w:val="222222"/>
          <w:shd w:val="clear" w:color="auto" w:fill="FFFFFF"/>
        </w:rPr>
        <w:t>this study. This work w</w:t>
      </w:r>
      <w:r>
        <w:rPr>
          <w:rStyle w:val="gmaildefault"/>
          <w:color w:val="222222"/>
          <w:shd w:val="clear" w:color="auto" w:fill="FFFFFF"/>
        </w:rPr>
        <w:t>as </w:t>
      </w:r>
      <w:r>
        <w:rPr>
          <w:color w:val="222222"/>
          <w:shd w:val="clear" w:color="auto" w:fill="FFFFFF"/>
        </w:rPr>
        <w:t>supported by the Kuskokwim River </w:t>
      </w:r>
      <w:r>
        <w:rPr>
          <w:rStyle w:val="gmaildefault"/>
          <w:color w:val="222222"/>
          <w:shd w:val="clear" w:color="auto" w:fill="FFFFFF"/>
        </w:rPr>
        <w:t>I</w:t>
      </w:r>
      <w:r>
        <w:rPr>
          <w:color w:val="222222"/>
          <w:shd w:val="clear" w:color="auto" w:fill="FFFFFF"/>
        </w:rPr>
        <w:t>ntertribal </w:t>
      </w:r>
      <w:r>
        <w:rPr>
          <w:rStyle w:val="gmaildefault"/>
          <w:color w:val="222222"/>
          <w:shd w:val="clear" w:color="auto" w:fill="FFFFFF"/>
        </w:rPr>
        <w:t>F</w:t>
      </w:r>
      <w:r>
        <w:rPr>
          <w:color w:val="222222"/>
          <w:shd w:val="clear" w:color="auto" w:fill="FFFFFF"/>
        </w:rPr>
        <w:t>ish </w:t>
      </w:r>
      <w:r>
        <w:rPr>
          <w:rStyle w:val="gmaildefault"/>
          <w:color w:val="222222"/>
          <w:shd w:val="clear" w:color="auto" w:fill="FFFFFF"/>
        </w:rPr>
        <w:t>C</w:t>
      </w:r>
      <w:r>
        <w:rPr>
          <w:color w:val="222222"/>
          <w:shd w:val="clear" w:color="auto" w:fill="FFFFFF"/>
        </w:rPr>
        <w:t>ommission (KRITFC)</w:t>
      </w:r>
      <w:r>
        <w:rPr>
          <w:rStyle w:val="gmaildefault"/>
          <w:color w:val="222222"/>
          <w:shd w:val="clear" w:color="auto" w:fill="FFFFFF"/>
        </w:rPr>
        <w:t> and the </w:t>
      </w:r>
      <w:r>
        <w:rPr>
          <w:color w:val="222222"/>
          <w:shd w:val="clear" w:color="auto" w:fill="FFFFFF"/>
        </w:rPr>
        <w:t>Arctic</w:t>
      </w:r>
      <w:r>
        <w:rPr>
          <w:rStyle w:val="gmaildefault"/>
          <w:color w:val="222222"/>
          <w:shd w:val="clear" w:color="auto" w:fill="FFFFFF"/>
        </w:rPr>
        <w:t>-</w:t>
      </w:r>
      <w:r>
        <w:rPr>
          <w:color w:val="222222"/>
          <w:shd w:val="clear" w:color="auto" w:fill="FFFFFF"/>
        </w:rPr>
        <w:t>Yukon</w:t>
      </w:r>
      <w:r>
        <w:rPr>
          <w:rStyle w:val="gmaildefault"/>
          <w:color w:val="222222"/>
          <w:shd w:val="clear" w:color="auto" w:fill="FFFFFF"/>
        </w:rPr>
        <w:t>-</w:t>
      </w:r>
      <w:r>
        <w:rPr>
          <w:color w:val="222222"/>
          <w:shd w:val="clear" w:color="auto" w:fill="FFFFFF"/>
        </w:rPr>
        <w:t>Kuskokwim Sustainable Salmon Initiative </w:t>
      </w:r>
      <w:r>
        <w:rPr>
          <w:rStyle w:val="gmaildefault"/>
          <w:color w:val="222222"/>
          <w:shd w:val="clear" w:color="auto" w:fill="FFFFFF"/>
        </w:rPr>
        <w:t>(AYK-SSI)</w:t>
      </w:r>
      <w:r>
        <w:rPr>
          <w:color w:val="222222"/>
          <w:shd w:val="clear" w:color="auto" w:fill="FFFFFF"/>
        </w:rPr>
        <w:t>.</w:t>
      </w:r>
    </w:p>
    <w:p w14:paraId="75B68F86" w14:textId="4A471141"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Author Contributions: </w:t>
      </w:r>
    </w:p>
    <w:p w14:paraId="2CEAC6A9" w14:textId="23B844F2"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Ben Makhlouf p</w:t>
      </w:r>
      <w:r w:rsidR="004C145D">
        <w:rPr>
          <w:rFonts w:ascii="Times New Roman" w:hAnsi="Times New Roman" w:cs="Times New Roman"/>
        </w:rPr>
        <w:t>er</w:t>
      </w:r>
      <w:r>
        <w:rPr>
          <w:rFonts w:ascii="Times New Roman" w:hAnsi="Times New Roman" w:cs="Times New Roman"/>
        </w:rPr>
        <w:t xml:space="preserve">formed data analysis and wrote the manuscript. Valentina Staneva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9F0D1E" w:rsidRDefault="00D74BAF" w:rsidP="00A2150B">
      <w:pPr>
        <w:spacing w:before="100" w:beforeAutospacing="1" w:after="100" w:afterAutospacing="1" w:line="480" w:lineRule="auto"/>
        <w:outlineLvl w:val="1"/>
        <w:rPr>
          <w:rFonts w:ascii="Times New Roman" w:hAnsi="Times New Roman" w:cs="Times New Roman"/>
          <w:b/>
          <w:bCs/>
        </w:rPr>
      </w:pPr>
      <w:r w:rsidRPr="009F0D1E">
        <w:rPr>
          <w:rFonts w:ascii="Times New Roman" w:hAnsi="Times New Roman" w:cs="Times New Roman"/>
          <w:b/>
          <w:bCs/>
        </w:rPr>
        <w:t>References</w:t>
      </w:r>
    </w:p>
    <w:p w14:paraId="6042A74C" w14:textId="77777777" w:rsidR="000C3313" w:rsidRPr="000C3313" w:rsidRDefault="0016071B" w:rsidP="001117E1">
      <w:pPr>
        <w:pStyle w:val="Bibliography"/>
        <w:spacing w:line="480" w:lineRule="auto"/>
        <w:ind w:left="720" w:hanging="720"/>
        <w:rPr>
          <w:rFonts w:ascii="Times New Roman" w:hAnsi="Times New Roman" w:cs="Times New Roman"/>
        </w:rPr>
      </w:pPr>
      <w:r w:rsidRPr="00293852">
        <w:fldChar w:fldCharType="begin"/>
      </w:r>
      <w:r w:rsidR="000C3313">
        <w:instrText xml:space="preserve"> ADDIN ZOTERO_BIBL {"uncited":[],"omitted":[],"custom":[]} CSL_BIBLIOGRAPHY </w:instrText>
      </w:r>
      <w:r w:rsidRPr="00293852">
        <w:fldChar w:fldCharType="separate"/>
      </w:r>
      <w:r w:rsidR="000C3313" w:rsidRPr="000C3313">
        <w:rPr>
          <w:rFonts w:ascii="Times New Roman" w:hAnsi="Times New Roman" w:cs="Times New Roman"/>
        </w:rPr>
        <w:t xml:space="preserve">Arai, K., Castonguay, M., Lyubchich, V., &amp; Secor, D. H. (2023). Integrating machine learning with otolith isoscapes: Reconstructing connectivity of a marine fish over four decades. </w:t>
      </w:r>
      <w:r w:rsidR="000C3313" w:rsidRPr="000C3313">
        <w:rPr>
          <w:rFonts w:ascii="Times New Roman" w:hAnsi="Times New Roman" w:cs="Times New Roman"/>
          <w:i/>
          <w:iCs/>
        </w:rPr>
        <w:t>PLOS ONE</w:t>
      </w:r>
      <w:r w:rsidR="000C3313" w:rsidRPr="000C3313">
        <w:rPr>
          <w:rFonts w:ascii="Times New Roman" w:hAnsi="Times New Roman" w:cs="Times New Roman"/>
        </w:rPr>
        <w:t xml:space="preserve">, </w:t>
      </w:r>
      <w:r w:rsidR="000C3313" w:rsidRPr="000C3313">
        <w:rPr>
          <w:rFonts w:ascii="Times New Roman" w:hAnsi="Times New Roman" w:cs="Times New Roman"/>
          <w:i/>
          <w:iCs/>
        </w:rPr>
        <w:t>18</w:t>
      </w:r>
      <w:r w:rsidR="000C3313" w:rsidRPr="000C3313">
        <w:rPr>
          <w:rFonts w:ascii="Times New Roman" w:hAnsi="Times New Roman" w:cs="Times New Roman"/>
        </w:rPr>
        <w:t>(5), e0285702. https://doi.org/10.1371/journal.pone.0285702</w:t>
      </w:r>
    </w:p>
    <w:p w14:paraId="7818E71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Arai, K., Willmes, M., Johnson, R. C., &amp; Sturrock, A. M. (2025). </w:t>
      </w:r>
      <w:r w:rsidRPr="000C3313">
        <w:rPr>
          <w:rFonts w:ascii="Times New Roman" w:hAnsi="Times New Roman" w:cs="Times New Roman"/>
          <w:i/>
          <w:iCs/>
        </w:rPr>
        <w:t xml:space="preserve">Advancing Provenance Assignment using Machine Learning and Time Series Analysis of Chemical Chronologies </w:t>
      </w:r>
      <w:r w:rsidRPr="000C3313">
        <w:rPr>
          <w:rFonts w:ascii="Times New Roman" w:hAnsi="Times New Roman" w:cs="Times New Roman"/>
          <w:i/>
          <w:iCs/>
        </w:rPr>
        <w:lastRenderedPageBreak/>
        <w:t>in Archival Tissues</w:t>
      </w:r>
      <w:r w:rsidRPr="000C3313">
        <w:rPr>
          <w:rFonts w:ascii="Times New Roman" w:hAnsi="Times New Roman" w:cs="Times New Roman"/>
        </w:rPr>
        <w:t xml:space="preserve"> (p. 2025.08.19.671102). bioRxiv. https://doi.org/10.1101/2025.08.19.671102</w:t>
      </w:r>
    </w:p>
    <w:p w14:paraId="6E6697C6"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Bataille, C. P., &amp; Bowen, G. J. (2012). Mapping 87Sr/86Sr variations in bedrock and water for large scale provenance studies. </w:t>
      </w:r>
      <w:r w:rsidRPr="000C3313">
        <w:rPr>
          <w:rFonts w:ascii="Times New Roman" w:hAnsi="Times New Roman" w:cs="Times New Roman"/>
          <w:i/>
          <w:iCs/>
        </w:rPr>
        <w:t>Chemical Geology</w:t>
      </w:r>
      <w:r w:rsidRPr="000C3313">
        <w:rPr>
          <w:rFonts w:ascii="Times New Roman" w:hAnsi="Times New Roman" w:cs="Times New Roman"/>
        </w:rPr>
        <w:t xml:space="preserve">, </w:t>
      </w:r>
      <w:r w:rsidRPr="000C3313">
        <w:rPr>
          <w:rFonts w:ascii="Times New Roman" w:hAnsi="Times New Roman" w:cs="Times New Roman"/>
          <w:i/>
          <w:iCs/>
        </w:rPr>
        <w:t>304–305</w:t>
      </w:r>
      <w:r w:rsidRPr="000C3313">
        <w:rPr>
          <w:rFonts w:ascii="Times New Roman" w:hAnsi="Times New Roman" w:cs="Times New Roman"/>
        </w:rPr>
        <w:t>, 39–52. https://doi.org/10.1016/j.chemgeo.2012.01.028</w:t>
      </w:r>
    </w:p>
    <w:p w14:paraId="70D98422"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Beacham, T. D., Lapointe, M., Candy, J. R., Miller, K. M., &amp; Withler, R. E. (2004). DNA in Action: Rapid Application of DNA Variation to Sockeye Salmon Fisheries Management. </w:t>
      </w:r>
      <w:r w:rsidRPr="000C3313">
        <w:rPr>
          <w:rFonts w:ascii="Times New Roman" w:hAnsi="Times New Roman" w:cs="Times New Roman"/>
          <w:i/>
          <w:iCs/>
        </w:rPr>
        <w:t>Conservation Genetics</w:t>
      </w:r>
      <w:r w:rsidRPr="000C3313">
        <w:rPr>
          <w:rFonts w:ascii="Times New Roman" w:hAnsi="Times New Roman" w:cs="Times New Roman"/>
        </w:rPr>
        <w:t xml:space="preserve">, </w:t>
      </w:r>
      <w:r w:rsidRPr="000C3313">
        <w:rPr>
          <w:rFonts w:ascii="Times New Roman" w:hAnsi="Times New Roman" w:cs="Times New Roman"/>
          <w:i/>
          <w:iCs/>
        </w:rPr>
        <w:t>5</w:t>
      </w:r>
      <w:r w:rsidRPr="000C3313">
        <w:rPr>
          <w:rFonts w:ascii="Times New Roman" w:hAnsi="Times New Roman" w:cs="Times New Roman"/>
        </w:rPr>
        <w:t>(3), 411–416. https://doi.org/10.1023/B:COGE.0000031140.41379.73</w:t>
      </w:r>
    </w:p>
    <w:p w14:paraId="63AEFA4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Cline, T. J., &amp; Schindler, D. E. (2019). Quantifying habitat use of migratory fish across riverscapes using space-time isotope models. </w:t>
      </w:r>
      <w:r w:rsidRPr="000C3313">
        <w:rPr>
          <w:rFonts w:ascii="Times New Roman" w:hAnsi="Times New Roman" w:cs="Times New Roman"/>
          <w:i/>
          <w:iCs/>
        </w:rPr>
        <w:t>Methods in Ecology and Evolution</w:t>
      </w:r>
      <w:r w:rsidRPr="000C3313">
        <w:rPr>
          <w:rFonts w:ascii="Times New Roman" w:hAnsi="Times New Roman" w:cs="Times New Roman"/>
        </w:rPr>
        <w:t xml:space="preserve">, </w:t>
      </w:r>
      <w:r w:rsidRPr="000C3313">
        <w:rPr>
          <w:rFonts w:ascii="Times New Roman" w:hAnsi="Times New Roman" w:cs="Times New Roman"/>
          <w:i/>
          <w:iCs/>
        </w:rPr>
        <w:t>10</w:t>
      </w:r>
      <w:r w:rsidRPr="000C3313">
        <w:rPr>
          <w:rFonts w:ascii="Times New Roman" w:hAnsi="Times New Roman" w:cs="Times New Roman"/>
        </w:rPr>
        <w:t>(7), 1036–1047. https://doi.org/10.1111/2041-210X.13191</w:t>
      </w:r>
    </w:p>
    <w:p w14:paraId="4AC414E3"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&amp; Schindler, D. E. (2017). Linking otolith microchemistry and dendritic isoscapes to map heterogeneous production of fish across river basins.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27</w:t>
      </w:r>
      <w:r w:rsidRPr="000C3313">
        <w:rPr>
          <w:rFonts w:ascii="Times New Roman" w:hAnsi="Times New Roman" w:cs="Times New Roman"/>
        </w:rPr>
        <w:t>(2), 363–377. https://doi.org/10.1002/eap.1474</w:t>
      </w:r>
    </w:p>
    <w:p w14:paraId="5F6230E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Zimmerman, C. E., Fernandez, D. P., Cerling, T. E., McPhee, M. V., &amp; Wooller, M. J. (2015). Strontium isotopes delineate fine-scale natal origins and migration histories of Pacific salmon. </w:t>
      </w:r>
      <w:r w:rsidRPr="000C3313">
        <w:rPr>
          <w:rFonts w:ascii="Times New Roman" w:hAnsi="Times New Roman" w:cs="Times New Roman"/>
          <w:i/>
          <w:iCs/>
        </w:rPr>
        <w:t>Science Advances</w:t>
      </w:r>
      <w:r w:rsidRPr="000C3313">
        <w:rPr>
          <w:rFonts w:ascii="Times New Roman" w:hAnsi="Times New Roman" w:cs="Times New Roman"/>
        </w:rPr>
        <w:t xml:space="preserve">, </w:t>
      </w:r>
      <w:r w:rsidRPr="000C3313">
        <w:rPr>
          <w:rFonts w:ascii="Times New Roman" w:hAnsi="Times New Roman" w:cs="Times New Roman"/>
          <w:i/>
          <w:iCs/>
        </w:rPr>
        <w:t>1</w:t>
      </w:r>
      <w:r w:rsidRPr="000C3313">
        <w:rPr>
          <w:rFonts w:ascii="Times New Roman" w:hAnsi="Times New Roman" w:cs="Times New Roman"/>
        </w:rPr>
        <w:t>(4), e1400124. https://doi.org/10.1126/sciadv.1400124</w:t>
      </w:r>
    </w:p>
    <w:p w14:paraId="54FB62C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Campana, S. (1999). Chemistry and composition of fish otoliths:pathways, mechanisms and applications. </w:t>
      </w:r>
      <w:r w:rsidRPr="000C3313">
        <w:rPr>
          <w:rFonts w:ascii="Times New Roman" w:hAnsi="Times New Roman" w:cs="Times New Roman"/>
          <w:i/>
          <w:iCs/>
        </w:rPr>
        <w:t>Marine Ecology Progress Series</w:t>
      </w:r>
      <w:r w:rsidRPr="000C3313">
        <w:rPr>
          <w:rFonts w:ascii="Times New Roman" w:hAnsi="Times New Roman" w:cs="Times New Roman"/>
        </w:rPr>
        <w:t xml:space="preserve">, </w:t>
      </w:r>
      <w:r w:rsidRPr="000C3313">
        <w:rPr>
          <w:rFonts w:ascii="Times New Roman" w:hAnsi="Times New Roman" w:cs="Times New Roman"/>
          <w:i/>
          <w:iCs/>
        </w:rPr>
        <w:t>188</w:t>
      </w:r>
      <w:r w:rsidRPr="000C3313">
        <w:rPr>
          <w:rFonts w:ascii="Times New Roman" w:hAnsi="Times New Roman" w:cs="Times New Roman"/>
        </w:rPr>
        <w:t>, 263–297. https://doi.org/10.3354/meps188263</w:t>
      </w:r>
    </w:p>
    <w:p w14:paraId="4B09BACC"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Capo, R. C., Stewart, B. W., &amp; Chadwick, O. A. (1998). Strontium isotopes as tracers of ecosystem processes: Theory and methods. </w:t>
      </w:r>
      <w:r w:rsidRPr="000C3313">
        <w:rPr>
          <w:rFonts w:ascii="Times New Roman" w:hAnsi="Times New Roman" w:cs="Times New Roman"/>
          <w:i/>
          <w:iCs/>
        </w:rPr>
        <w:t>Geoderma</w:t>
      </w:r>
      <w:r w:rsidRPr="000C3313">
        <w:rPr>
          <w:rFonts w:ascii="Times New Roman" w:hAnsi="Times New Roman" w:cs="Times New Roman"/>
        </w:rPr>
        <w:t xml:space="preserve">, </w:t>
      </w:r>
      <w:r w:rsidRPr="000C3313">
        <w:rPr>
          <w:rFonts w:ascii="Times New Roman" w:hAnsi="Times New Roman" w:cs="Times New Roman"/>
          <w:i/>
          <w:iCs/>
        </w:rPr>
        <w:t>82</w:t>
      </w:r>
      <w:r w:rsidRPr="000C3313">
        <w:rPr>
          <w:rFonts w:ascii="Times New Roman" w:hAnsi="Times New Roman" w:cs="Times New Roman"/>
        </w:rPr>
        <w:t>(1), 197–225. https://doi.org/10.1016/S0016-7061(97)00102-X</w:t>
      </w:r>
    </w:p>
    <w:p w14:paraId="4F4FEEA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DeFilippo, L. B., Larson, W. A., Barry, P. D., Cunningham, C. J., Langan, J. A., Garcia, S., Howard, K. G., Ianelli, J. N., &amp; Stram, D. L. (2025). Drivers and Dynamics of Salmon Bycatch in the Eastern Bering Sea Pollock Fishery.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26</w:t>
      </w:r>
      <w:r w:rsidRPr="000C3313">
        <w:rPr>
          <w:rFonts w:ascii="Times New Roman" w:hAnsi="Times New Roman" w:cs="Times New Roman"/>
        </w:rPr>
        <w:t>(6), 1107–1121. https://doi.org/10.1111/faf.70020</w:t>
      </w:r>
    </w:p>
    <w:p w14:paraId="4883BF5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0C3313">
        <w:rPr>
          <w:rFonts w:ascii="Times New Roman" w:hAnsi="Times New Roman" w:cs="Times New Roman"/>
          <w:i/>
          <w:iCs/>
        </w:rPr>
        <w:t>Arctic, Antarctic, and Alpine Research</w:t>
      </w:r>
      <w:r w:rsidRPr="000C3313">
        <w:rPr>
          <w:rFonts w:ascii="Times New Roman" w:hAnsi="Times New Roman" w:cs="Times New Roman"/>
        </w:rPr>
        <w:t xml:space="preserve">, </w:t>
      </w:r>
      <w:r w:rsidRPr="000C3313">
        <w:rPr>
          <w:rFonts w:ascii="Times New Roman" w:hAnsi="Times New Roman" w:cs="Times New Roman"/>
          <w:i/>
          <w:iCs/>
        </w:rPr>
        <w:t>57</w:t>
      </w:r>
      <w:r w:rsidRPr="000C3313">
        <w:rPr>
          <w:rFonts w:ascii="Times New Roman" w:hAnsi="Times New Roman" w:cs="Times New Roman"/>
        </w:rPr>
        <w:t>(1), 2510793. https://doi.org/10.1080/15230430.2025.2510793</w:t>
      </w:r>
    </w:p>
    <w:p w14:paraId="014FF5F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Donohoe, C. J., &amp; Zimmerman, C. E. (2010). A method of mounting multiple otoliths for beam-based microchemical analyses. </w:t>
      </w:r>
      <w:r w:rsidRPr="000C3313">
        <w:rPr>
          <w:rFonts w:ascii="Times New Roman" w:hAnsi="Times New Roman" w:cs="Times New Roman"/>
          <w:i/>
          <w:iCs/>
        </w:rPr>
        <w:t>Environmental Biology of Fishes</w:t>
      </w:r>
      <w:r w:rsidRPr="000C3313">
        <w:rPr>
          <w:rFonts w:ascii="Times New Roman" w:hAnsi="Times New Roman" w:cs="Times New Roman"/>
        </w:rPr>
        <w:t xml:space="preserve">, </w:t>
      </w:r>
      <w:r w:rsidRPr="000C3313">
        <w:rPr>
          <w:rFonts w:ascii="Times New Roman" w:hAnsi="Times New Roman" w:cs="Times New Roman"/>
          <w:i/>
          <w:iCs/>
        </w:rPr>
        <w:t>89</w:t>
      </w:r>
      <w:r w:rsidRPr="000C3313">
        <w:rPr>
          <w:rFonts w:ascii="Times New Roman" w:hAnsi="Times New Roman" w:cs="Times New Roman"/>
        </w:rPr>
        <w:t>(3), 473–477. https://doi.org/10.1007/s10641-010-9680-3</w:t>
      </w:r>
    </w:p>
    <w:p w14:paraId="739C1FF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Dormann, C. F. (2020). Calibration of probability predictions from machine-learning and statistical models. </w:t>
      </w:r>
      <w:r w:rsidRPr="000C3313">
        <w:rPr>
          <w:rFonts w:ascii="Times New Roman" w:hAnsi="Times New Roman" w:cs="Times New Roman"/>
          <w:i/>
          <w:iCs/>
        </w:rPr>
        <w:t>Global Ecology and Biogeography</w:t>
      </w:r>
      <w:r w:rsidRPr="000C3313">
        <w:rPr>
          <w:rFonts w:ascii="Times New Roman" w:hAnsi="Times New Roman" w:cs="Times New Roman"/>
        </w:rPr>
        <w:t xml:space="preserve">, </w:t>
      </w:r>
      <w:r w:rsidRPr="000C3313">
        <w:rPr>
          <w:rFonts w:ascii="Times New Roman" w:hAnsi="Times New Roman" w:cs="Times New Roman"/>
          <w:i/>
          <w:iCs/>
        </w:rPr>
        <w:t>29</w:t>
      </w:r>
      <w:r w:rsidRPr="000C3313">
        <w:rPr>
          <w:rFonts w:ascii="Times New Roman" w:hAnsi="Times New Roman" w:cs="Times New Roman"/>
        </w:rPr>
        <w:t>(4), 760–765. https://doi.org/10.1111/geb.13070</w:t>
      </w:r>
    </w:p>
    <w:p w14:paraId="4783C7C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Feddern, M. L., Schoen, E. R., Shaftel, R., Cunningham, C. J., Chythlook, C., Connors, B. M., Murdoch, A. D., von Biela, V. R., &amp; Woods, B. (2023). Kings of the North: Bridging Disciplines to Understand the Effects of Changing Climate on Chinook Salmon in the Arctic-Yukon-Kuskokwim Region. </w:t>
      </w:r>
      <w:r w:rsidRPr="000C3313">
        <w:rPr>
          <w:rFonts w:ascii="Times New Roman" w:hAnsi="Times New Roman" w:cs="Times New Roman"/>
          <w:i/>
          <w:iCs/>
        </w:rPr>
        <w:t>FISHERIES</w:t>
      </w:r>
      <w:r w:rsidRPr="000C3313">
        <w:rPr>
          <w:rFonts w:ascii="Times New Roman" w:hAnsi="Times New Roman" w:cs="Times New Roman"/>
        </w:rPr>
        <w:t xml:space="preserve">, </w:t>
      </w:r>
      <w:r w:rsidRPr="000C3313">
        <w:rPr>
          <w:rFonts w:ascii="Times New Roman" w:hAnsi="Times New Roman" w:cs="Times New Roman"/>
          <w:i/>
          <w:iCs/>
        </w:rPr>
        <w:t>48</w:t>
      </w:r>
      <w:r w:rsidRPr="000C3313">
        <w:rPr>
          <w:rFonts w:ascii="Times New Roman" w:hAnsi="Times New Roman" w:cs="Times New Roman"/>
        </w:rPr>
        <w:t>(8), 331–343. https://doi.org/10.1002/fsh.10923</w:t>
      </w:r>
    </w:p>
    <w:p w14:paraId="25953D86"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Hegg, J. C., &amp; Kennedy, B. P. (2021). Let’s do the time warp again: Non-linear time series matching as a tool for sequentially structured data in ecology. </w:t>
      </w:r>
      <w:r w:rsidRPr="000C3313">
        <w:rPr>
          <w:rFonts w:ascii="Times New Roman" w:hAnsi="Times New Roman" w:cs="Times New Roman"/>
          <w:i/>
          <w:iCs/>
        </w:rPr>
        <w:t>Ecosphere</w:t>
      </w:r>
      <w:r w:rsidRPr="000C3313">
        <w:rPr>
          <w:rFonts w:ascii="Times New Roman" w:hAnsi="Times New Roman" w:cs="Times New Roman"/>
        </w:rPr>
        <w:t xml:space="preserve">, </w:t>
      </w:r>
      <w:r w:rsidRPr="000C3313">
        <w:rPr>
          <w:rFonts w:ascii="Times New Roman" w:hAnsi="Times New Roman" w:cs="Times New Roman"/>
          <w:i/>
          <w:iCs/>
        </w:rPr>
        <w:t>12</w:t>
      </w:r>
      <w:r w:rsidRPr="000C3313">
        <w:rPr>
          <w:rFonts w:ascii="Times New Roman" w:hAnsi="Times New Roman" w:cs="Times New Roman"/>
        </w:rPr>
        <w:t>(9), e03742. https://doi.org/10.1002/ecs2.3742</w:t>
      </w:r>
    </w:p>
    <w:p w14:paraId="6965F1A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Hegg, J. C., Kennedy, B. P., &amp; Chittaro, P. (2019). What did you say about my mother? The complexities of maternally derived chemical signatures in otoliths.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76</w:t>
      </w:r>
      <w:r w:rsidRPr="000C3313">
        <w:rPr>
          <w:rFonts w:ascii="Times New Roman" w:hAnsi="Times New Roman" w:cs="Times New Roman"/>
        </w:rPr>
        <w:t>(1), 81–94. https://doi.org/10.1139/cjfas-2017-0341</w:t>
      </w:r>
    </w:p>
    <w:p w14:paraId="06F57C4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34</w:t>
      </w:r>
      <w:r w:rsidRPr="000C3313">
        <w:rPr>
          <w:rFonts w:ascii="Times New Roman" w:hAnsi="Times New Roman" w:cs="Times New Roman"/>
        </w:rPr>
        <w:t>(1), 184–201. https://doi.org/10.1080/02755947.2013.862192</w:t>
      </w:r>
    </w:p>
    <w:p w14:paraId="12AE528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Kennedy, B. P., Folt, C. L., Blum, J. D., &amp; Chamberlain, C. P. (1997). Natural isotope markers in salmon. </w:t>
      </w:r>
      <w:r w:rsidRPr="000C3313">
        <w:rPr>
          <w:rFonts w:ascii="Times New Roman" w:hAnsi="Times New Roman" w:cs="Times New Roman"/>
          <w:i/>
          <w:iCs/>
        </w:rPr>
        <w:t>Nature</w:t>
      </w:r>
      <w:r w:rsidRPr="000C3313">
        <w:rPr>
          <w:rFonts w:ascii="Times New Roman" w:hAnsi="Times New Roman" w:cs="Times New Roman"/>
        </w:rPr>
        <w:t xml:space="preserve">, </w:t>
      </w:r>
      <w:r w:rsidRPr="000C3313">
        <w:rPr>
          <w:rFonts w:ascii="Times New Roman" w:hAnsi="Times New Roman" w:cs="Times New Roman"/>
          <w:i/>
          <w:iCs/>
        </w:rPr>
        <w:t>387</w:t>
      </w:r>
      <w:r w:rsidRPr="000C3313">
        <w:rPr>
          <w:rFonts w:ascii="Times New Roman" w:hAnsi="Times New Roman" w:cs="Times New Roman"/>
        </w:rPr>
        <w:t>(6635), Article 6635. https://doi.org/10.1038/42835</w:t>
      </w:r>
    </w:p>
    <w:p w14:paraId="44A062C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Kuhn, M., Vaughn, D., &amp; Ruiz, E. (2025). </w:t>
      </w:r>
      <w:r w:rsidRPr="000C3313">
        <w:rPr>
          <w:rFonts w:ascii="Times New Roman" w:hAnsi="Times New Roman" w:cs="Times New Roman"/>
          <w:i/>
          <w:iCs/>
        </w:rPr>
        <w:t>probably: Tools for Post-Processing Predicted Values</w:t>
      </w:r>
      <w:r w:rsidRPr="000C3313">
        <w:rPr>
          <w:rFonts w:ascii="Times New Roman" w:hAnsi="Times New Roman" w:cs="Times New Roman"/>
        </w:rPr>
        <w:t xml:space="preserve"> [Computer software]. https://github.com/tidymodels/probably</w:t>
      </w:r>
    </w:p>
    <w:p w14:paraId="57FB2BF0"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Kuhn, M., &amp; Wickam, H. (2020). </w:t>
      </w:r>
      <w:r w:rsidRPr="000C3313">
        <w:rPr>
          <w:rFonts w:ascii="Times New Roman" w:hAnsi="Times New Roman" w:cs="Times New Roman"/>
          <w:i/>
          <w:iCs/>
        </w:rPr>
        <w:t>Tidymodels: A collection of packages for modeling and machine learning using tidyverse principles.</w:t>
      </w:r>
      <w:r w:rsidRPr="000C3313">
        <w:rPr>
          <w:rFonts w:ascii="Times New Roman" w:hAnsi="Times New Roman" w:cs="Times New Roman"/>
        </w:rPr>
        <w:t xml:space="preserve"> [Computer software]. https://www.tidymodels.org</w:t>
      </w:r>
    </w:p>
    <w:p w14:paraId="59D16B61"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https://doi.org/10.1111/faf.12895</w:t>
      </w:r>
    </w:p>
    <w:p w14:paraId="5211563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Larson, W. A., Seeb, J. E., Pascal, C. E., Templin, W. D., &amp; Seeb, L. W. (2014). Single-nucleotide polymorphisms (SNPs) identified through genotyping-by-sequencing improve genetic stock identification of Chinook salmon (Oncorhynchus tshawytscha) from western Alaska.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71</w:t>
      </w:r>
      <w:r w:rsidRPr="000C3313">
        <w:rPr>
          <w:rFonts w:ascii="Times New Roman" w:hAnsi="Times New Roman" w:cs="Times New Roman"/>
        </w:rPr>
        <w:t>(5), 698–708. https://doi.org/10.1139/cjfas-2013-0502</w:t>
      </w:r>
    </w:p>
    <w:p w14:paraId="7E26082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Makhlouf, B., Cline, T. J., Fernandez, D., Seeb, L., Lee, E., Gilk-Baumer, S., Whited, D., Zimmerman, C. E., &amp; Schindler, D. E. (2025). Combining genetic and isotope frameworks improves reconstruction of fish provenance across riverscapes. </w:t>
      </w:r>
      <w:r w:rsidRPr="000C3313">
        <w:rPr>
          <w:rFonts w:ascii="Times New Roman" w:hAnsi="Times New Roman" w:cs="Times New Roman"/>
          <w:i/>
          <w:iCs/>
        </w:rPr>
        <w:t>Limnology and Oceanography Letters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https://doi.org/10.1002/lol2.70025</w:t>
      </w:r>
    </w:p>
    <w:p w14:paraId="1413772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Mercier, L., Darnaude, A. M., Bruguier, O., Vasconcelos, R. P., Cabral, H. N., Costa, M. J., Lara, M., Jones, D. L., &amp; Mouillot, D. (2011). Selecting statistical models and variable combinations for optimal classification using otolith microchemistry.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21</w:t>
      </w:r>
      <w:r w:rsidRPr="000C3313">
        <w:rPr>
          <w:rFonts w:ascii="Times New Roman" w:hAnsi="Times New Roman" w:cs="Times New Roman"/>
        </w:rPr>
        <w:t>(4), 1352–1364. https://doi.org/10.1890/09-1887.1</w:t>
      </w:r>
    </w:p>
    <w:p w14:paraId="49CF6C8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Reis-Santos, P., Gillanders, B. M., Sturrock, A. M., Izzo, C., Oxman, D. S., Lueders-Dumont, J. A., Hüssy,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0C3313">
        <w:rPr>
          <w:rFonts w:ascii="Times New Roman" w:hAnsi="Times New Roman" w:cs="Times New Roman"/>
          <w:i/>
          <w:iCs/>
        </w:rPr>
        <w:t>Reviews in Fish Biology and Fisheries</w:t>
      </w:r>
      <w:r w:rsidRPr="000C3313">
        <w:rPr>
          <w:rFonts w:ascii="Times New Roman" w:hAnsi="Times New Roman" w:cs="Times New Roman"/>
        </w:rPr>
        <w:t>. https://doi.org/10.1007/s11160-022-09720-z</w:t>
      </w:r>
    </w:p>
    <w:p w14:paraId="35839B4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Silva Filho, T., Song, H., Perello-Nieto, M., Santos-Rodriguez, R., Kull, M., &amp; Flach, P. (2023). Classifier calibration: A survey on how to assess and improve predicted class </w:t>
      </w:r>
      <w:r w:rsidRPr="000C3313">
        <w:rPr>
          <w:rFonts w:ascii="Times New Roman" w:hAnsi="Times New Roman" w:cs="Times New Roman"/>
        </w:rPr>
        <w:lastRenderedPageBreak/>
        <w:t xml:space="preserve">probabilities. </w:t>
      </w:r>
      <w:r w:rsidRPr="000C3313">
        <w:rPr>
          <w:rFonts w:ascii="Times New Roman" w:hAnsi="Times New Roman" w:cs="Times New Roman"/>
          <w:i/>
          <w:iCs/>
        </w:rPr>
        <w:t>Machine Learning</w:t>
      </w:r>
      <w:r w:rsidRPr="000C3313">
        <w:rPr>
          <w:rFonts w:ascii="Times New Roman" w:hAnsi="Times New Roman" w:cs="Times New Roman"/>
        </w:rPr>
        <w:t xml:space="preserve">, </w:t>
      </w:r>
      <w:r w:rsidRPr="000C3313">
        <w:rPr>
          <w:rFonts w:ascii="Times New Roman" w:hAnsi="Times New Roman" w:cs="Times New Roman"/>
          <w:i/>
          <w:iCs/>
        </w:rPr>
        <w:t>112</w:t>
      </w:r>
      <w:r w:rsidRPr="000C3313">
        <w:rPr>
          <w:rFonts w:ascii="Times New Roman" w:hAnsi="Times New Roman" w:cs="Times New Roman"/>
        </w:rPr>
        <w:t>(9), 3211–3260. https://doi.org/10.1007/s10994-023-06336-7</w:t>
      </w:r>
    </w:p>
    <w:p w14:paraId="14E91F5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Stram, D. L., &amp; Ianelli, J. N. (2015). Evaluating the efficacy of salmon bycatch measures using fishery-dependent data. </w:t>
      </w:r>
      <w:r w:rsidRPr="000C3313">
        <w:rPr>
          <w:rFonts w:ascii="Times New Roman" w:hAnsi="Times New Roman" w:cs="Times New Roman"/>
          <w:i/>
          <w:iCs/>
        </w:rPr>
        <w:t>ICES Journal of Marine Science</w:t>
      </w:r>
      <w:r w:rsidRPr="000C3313">
        <w:rPr>
          <w:rFonts w:ascii="Times New Roman" w:hAnsi="Times New Roman" w:cs="Times New Roman"/>
        </w:rPr>
        <w:t xml:space="preserve">, </w:t>
      </w:r>
      <w:r w:rsidRPr="000C3313">
        <w:rPr>
          <w:rFonts w:ascii="Times New Roman" w:hAnsi="Times New Roman" w:cs="Times New Roman"/>
          <w:i/>
          <w:iCs/>
        </w:rPr>
        <w:t>72</w:t>
      </w:r>
      <w:r w:rsidRPr="000C3313">
        <w:rPr>
          <w:rFonts w:ascii="Times New Roman" w:hAnsi="Times New Roman" w:cs="Times New Roman"/>
        </w:rPr>
        <w:t>(4), 1173–1180. https://doi.org/10.1093/icesjms/fsu168</w:t>
      </w:r>
    </w:p>
    <w:p w14:paraId="4E64A5B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Templin, W. D., Seeb, J. E., Jasper, J. R., Barclay, A. W., &amp; Seeb, L. W. (2011). Genetic differentiation of Alaska Chinook salmon: The missing link for migratory studies. </w:t>
      </w:r>
      <w:r w:rsidRPr="000C3313">
        <w:rPr>
          <w:rFonts w:ascii="Times New Roman" w:hAnsi="Times New Roman" w:cs="Times New Roman"/>
          <w:i/>
          <w:iCs/>
        </w:rPr>
        <w:t>Molecular Ecology Resources</w:t>
      </w:r>
      <w:r w:rsidRPr="000C3313">
        <w:rPr>
          <w:rFonts w:ascii="Times New Roman" w:hAnsi="Times New Roman" w:cs="Times New Roman"/>
        </w:rPr>
        <w:t xml:space="preserve">, </w:t>
      </w:r>
      <w:r w:rsidRPr="000C3313">
        <w:rPr>
          <w:rFonts w:ascii="Times New Roman" w:hAnsi="Times New Roman" w:cs="Times New Roman"/>
          <w:i/>
          <w:iCs/>
        </w:rPr>
        <w:t>11</w:t>
      </w:r>
      <w:r w:rsidRPr="000C3313">
        <w:rPr>
          <w:rFonts w:ascii="Times New Roman" w:hAnsi="Times New Roman" w:cs="Times New Roman"/>
        </w:rPr>
        <w:t>(s1), 226–246. https://doi.org/10.1111/j.1755-0998.2010.02968.x</w:t>
      </w:r>
    </w:p>
    <w:p w14:paraId="0637795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44</w:t>
      </w:r>
      <w:r w:rsidRPr="000C3313">
        <w:rPr>
          <w:rFonts w:ascii="Times New Roman" w:hAnsi="Times New Roman" w:cs="Times New Roman"/>
        </w:rPr>
        <w:t>(4), 857–869. https://doi.org/10.1002/nafm.11019</w:t>
      </w:r>
    </w:p>
    <w:p w14:paraId="1937AA9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Van Rijsbergen, C. J. (1975). </w:t>
      </w:r>
      <w:r w:rsidRPr="000C3313">
        <w:rPr>
          <w:rFonts w:ascii="Times New Roman" w:hAnsi="Times New Roman" w:cs="Times New Roman"/>
          <w:i/>
          <w:iCs/>
        </w:rPr>
        <w:t>Information retrieval</w:t>
      </w:r>
      <w:r w:rsidRPr="000C3313">
        <w:rPr>
          <w:rFonts w:ascii="Times New Roman" w:hAnsi="Times New Roman" w:cs="Times New Roman"/>
        </w:rPr>
        <w:t>. Butterworths. https://cir.nii.ac.jp/crid/1970023484860037059</w:t>
      </w:r>
    </w:p>
    <w:p w14:paraId="0799545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West, F., &amp; Dann, T. (2019). </w:t>
      </w:r>
      <w:r w:rsidRPr="000C3313">
        <w:rPr>
          <w:rFonts w:ascii="Times New Roman" w:hAnsi="Times New Roman" w:cs="Times New Roman"/>
          <w:i/>
          <w:iCs/>
        </w:rPr>
        <w:t>Genetic stock identification of Pilot Station Chinook salmon, 2017.</w:t>
      </w:r>
      <w:r w:rsidRPr="000C3313">
        <w:rPr>
          <w:rFonts w:ascii="Times New Roman" w:hAnsi="Times New Roman" w:cs="Times New Roman"/>
        </w:rPr>
        <w:t xml:space="preserve"> (Alaska Department of Fish and Game, Division of Commercial Fisheries, Regional Information Report 3A19-08, Anchorage.). https://www.adfg.alaska.gov/FedAidPDFs/RIR.3A.2019.08.pdf.</w:t>
      </w:r>
    </w:p>
    <w:p w14:paraId="2044E7B2"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0C3313">
        <w:rPr>
          <w:rFonts w:ascii="Times New Roman" w:hAnsi="Times New Roman" w:cs="Times New Roman"/>
          <w:i/>
          <w:iCs/>
        </w:rPr>
        <w:lastRenderedPageBreak/>
        <w:t>Transactions of the American Fisheries Society</w:t>
      </w:r>
      <w:r w:rsidRPr="000C3313">
        <w:rPr>
          <w:rFonts w:ascii="Times New Roman" w:hAnsi="Times New Roman" w:cs="Times New Roman"/>
        </w:rPr>
        <w:t xml:space="preserve">, </w:t>
      </w:r>
      <w:r w:rsidRPr="000C3313">
        <w:rPr>
          <w:rFonts w:ascii="Times New Roman" w:hAnsi="Times New Roman" w:cs="Times New Roman"/>
          <w:i/>
          <w:iCs/>
        </w:rPr>
        <w:t>131</w:t>
      </w:r>
      <w:r w:rsidRPr="000C3313">
        <w:rPr>
          <w:rFonts w:ascii="Times New Roman" w:hAnsi="Times New Roman" w:cs="Times New Roman"/>
        </w:rPr>
        <w:t>(5), 986–993. https://doi.org/10.1577/1548-8659(2002)131&lt;0986:IOSARR&gt;2.0.CO;2</w:t>
      </w:r>
    </w:p>
    <w:p w14:paraId="5953FF4E" w14:textId="124727D8" w:rsidR="00BE6105" w:rsidRDefault="0016071B" w:rsidP="00BE6105">
      <w:pPr>
        <w:spacing w:before="100" w:beforeAutospacing="1" w:after="100" w:afterAutospacing="1" w:line="480" w:lineRule="auto"/>
        <w:ind w:left="720" w:hanging="720"/>
        <w:outlineLvl w:val="1"/>
        <w:rPr>
          <w:rFonts w:ascii="Times New Roman" w:hAnsi="Times New Roman" w:cs="Times New Roman"/>
        </w:rPr>
      </w:pPr>
      <w:r w:rsidRPr="00293852">
        <w:rPr>
          <w:rFonts w:ascii="Times New Roman" w:hAnsi="Times New Roman" w:cs="Times New Roman"/>
        </w:rPr>
        <w:fldChar w:fldCharType="end"/>
      </w:r>
    </w:p>
    <w:p w14:paraId="76D7B4C1"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B8FB768"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C1C0E9F"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4C3F085"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ED7512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6913B7F0"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98AF45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14B41A5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2A9E4C85"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6983AF1D"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C620D34"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0973F819" w14:textId="615B66D7" w:rsidR="00BE6105" w:rsidRPr="00BE6105" w:rsidRDefault="00BE6105" w:rsidP="00BA19AC">
      <w:pPr>
        <w:spacing w:before="100" w:beforeAutospacing="1" w:after="100" w:afterAutospacing="1" w:line="480" w:lineRule="auto"/>
        <w:outlineLvl w:val="1"/>
        <w:rPr>
          <w:rFonts w:ascii="Times New Roman" w:hAnsi="Times New Roman" w:cs="Times New Roman"/>
          <w:b/>
          <w:bCs/>
          <w:sz w:val="40"/>
          <w:szCs w:val="40"/>
        </w:rPr>
      </w:pPr>
    </w:p>
    <w:p w14:paraId="329841E5" w14:textId="77777777" w:rsidR="00BE6105" w:rsidRDefault="00BE6105" w:rsidP="00BE6105">
      <w:pPr>
        <w:rPr>
          <w:rStyle w:val="CommentReference"/>
        </w:rPr>
      </w:pPr>
      <w:r>
        <w:rPr>
          <w:noProof/>
          <w:sz w:val="16"/>
          <w:szCs w:val="16"/>
        </w:rPr>
        <w:lastRenderedPageBreak/>
        <w:drawing>
          <wp:inline distT="0" distB="0" distL="0" distR="0" wp14:anchorId="7F87A340" wp14:editId="118ED75F">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1624AE42" w14:textId="77777777" w:rsidR="00BE6105" w:rsidRPr="00AB607D" w:rsidRDefault="00BE6105" w:rsidP="00BE6105">
      <w:pPr>
        <w:rPr>
          <w:rFonts w:ascii="Times New Roman" w:hAnsi="Times New Roman" w:cs="Times New Roman"/>
          <w:b/>
          <w:bCs/>
        </w:rPr>
      </w:pPr>
      <w:r w:rsidRPr="00AB607D">
        <w:rPr>
          <w:rFonts w:ascii="Times New Roman" w:hAnsi="Times New Roman" w:cs="Times New Roman"/>
          <w:b/>
          <w:bCs/>
        </w:rPr>
        <w:t xml:space="preserve">Figure 1: </w:t>
      </w:r>
    </w:p>
    <w:p w14:paraId="183DD912"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 watersheds. Black circles indicate sampling locations for otolith collection (and genetic collection in the Yukon) on each river. </w:t>
      </w:r>
    </w:p>
    <w:p w14:paraId="17BD38C5" w14:textId="0B6AF5D9" w:rsidR="00BE6105" w:rsidRPr="00AB607D" w:rsidRDefault="00BE6105" w:rsidP="00BE6105">
      <w:pPr>
        <w:rPr>
          <w:rFonts w:ascii="Times New Roman" w:hAnsi="Times New Roman" w:cs="Times New Roman"/>
        </w:rPr>
      </w:pPr>
      <w:r w:rsidRPr="00AB607D">
        <w:rPr>
          <w:rFonts w:ascii="Times New Roman" w:hAnsi="Times New Roman" w:cs="Times New Roman"/>
          <w:b/>
          <w:bCs/>
        </w:rPr>
        <w:t>B)</w:t>
      </w:r>
      <w:r w:rsidRPr="00AB607D">
        <w:rPr>
          <w:rFonts w:ascii="Times New Roman" w:hAnsi="Times New Roman" w:cs="Times New Roman"/>
        </w:rPr>
        <w:t xml:space="preserve"> ⁸⁷Sr/⁸⁶Sr </w:t>
      </w:r>
      <w:proofErr w:type="spellStart"/>
      <w:r>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Values range from 0.702 to 0.740, with darker </w:t>
      </w:r>
      <w:proofErr w:type="spellStart"/>
      <w:r w:rsidR="00E90986">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more enriched values whereas lighter </w:t>
      </w:r>
      <w:proofErr w:type="spellStart"/>
      <w:r w:rsidR="00E90986">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less enriched.  </w:t>
      </w:r>
    </w:p>
    <w:p w14:paraId="51379E01" w14:textId="77777777" w:rsidR="00BE6105" w:rsidRDefault="00BE6105" w:rsidP="00BE6105">
      <w:pPr>
        <w:rPr>
          <w:rFonts w:ascii="Garamond" w:hAnsi="Garamond"/>
          <w:b/>
          <w:bCs/>
          <w:sz w:val="16"/>
          <w:szCs w:val="16"/>
        </w:rPr>
      </w:pPr>
    </w:p>
    <w:p w14:paraId="5DB56E4B" w14:textId="77777777" w:rsidR="00BE6105" w:rsidRPr="00AB607D" w:rsidRDefault="00BE6105" w:rsidP="00BE6105">
      <w:pPr>
        <w:rPr>
          <w:rFonts w:ascii="Times New Roman" w:hAnsi="Times New Roman" w:cs="Times New Roman"/>
          <w:b/>
          <w:bCs/>
          <w:sz w:val="16"/>
          <w:szCs w:val="16"/>
        </w:rPr>
      </w:pPr>
      <w:r>
        <w:rPr>
          <w:rFonts w:ascii="Garamond" w:hAnsi="Garamond"/>
          <w:noProof/>
          <w:sz w:val="16"/>
          <w:szCs w:val="16"/>
        </w:rPr>
        <w:lastRenderedPageBreak/>
        <w:drawing>
          <wp:anchor distT="0" distB="0" distL="114300" distR="114300" simplePos="0" relativeHeight="251659264" behindDoc="0" locked="0" layoutInCell="1" allowOverlap="1" wp14:anchorId="2FE91A6D" wp14:editId="1CA782F1">
            <wp:simplePos x="0" y="0"/>
            <wp:positionH relativeFrom="column">
              <wp:posOffset>-195580</wp:posOffset>
            </wp:positionH>
            <wp:positionV relativeFrom="paragraph">
              <wp:posOffset>0</wp:posOffset>
            </wp:positionV>
            <wp:extent cx="6076950" cy="5064125"/>
            <wp:effectExtent l="0" t="0" r="6350" b="317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76950" cy="5064125"/>
                    </a:xfrm>
                    <a:prstGeom prst="rect">
                      <a:avLst/>
                    </a:prstGeom>
                  </pic:spPr>
                </pic:pic>
              </a:graphicData>
            </a:graphic>
            <wp14:sizeRelH relativeFrom="page">
              <wp14:pctWidth>0</wp14:pctWidth>
            </wp14:sizeRelH>
            <wp14:sizeRelV relativeFrom="page">
              <wp14:pctHeight>0</wp14:pctHeight>
            </wp14:sizeRelV>
          </wp:anchor>
        </w:drawing>
      </w:r>
    </w:p>
    <w:p w14:paraId="14551C99"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Significant clustering is evident, but with overlap between all watersheds. Yukon (Blue points) contain a much larger range of values, indicative of the large range in natal ⁸⁷Sr/⁸⁶Sr values in the basin. Kuskokwim (Red points) overlap between both Nushagak and Yukon fish, likely due to its position in the region between both watersheds. </w:t>
      </w:r>
    </w:p>
    <w:p w14:paraId="2036DBE5" w14:textId="77777777" w:rsidR="00BE6105" w:rsidRDefault="00BE6105" w:rsidP="00BE6105">
      <w:pPr>
        <w:rPr>
          <w:rFonts w:ascii="Garamond" w:hAnsi="Garamond"/>
          <w:b/>
          <w:bCs/>
          <w:sz w:val="16"/>
          <w:szCs w:val="16"/>
        </w:rPr>
      </w:pPr>
    </w:p>
    <w:p w14:paraId="739EB083"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61572BFE" wp14:editId="683FA44F">
            <wp:extent cx="5943600" cy="2931160"/>
            <wp:effectExtent l="0" t="0" r="0" b="2540"/>
            <wp:docPr id="1216485611"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85611" name="Picture 3" descr="A graph of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29E68701" w14:textId="7345A93D" w:rsidR="00BE6105" w:rsidRPr="00AB607D" w:rsidRDefault="00BE6105" w:rsidP="00BE6105">
      <w:pPr>
        <w:rPr>
          <w:rFonts w:ascii="Times New Roman" w:hAnsi="Times New Roman" w:cs="Times New Roman"/>
        </w:rPr>
      </w:pPr>
      <w:r w:rsidRPr="00AB607D">
        <w:rPr>
          <w:rFonts w:ascii="Times New Roman" w:hAnsi="Times New Roman" w:cs="Times New Roman"/>
          <w:b/>
          <w:bCs/>
        </w:rPr>
        <w:t xml:space="preserve">Figure 3: </w:t>
      </w:r>
      <w:r w:rsidRPr="00AB607D">
        <w:rPr>
          <w:rFonts w:ascii="Times New Roman" w:hAnsi="Times New Roman" w:cs="Times New Roman"/>
        </w:rPr>
        <w:t xml:space="preserve">A) Principal component analysis of all samples with a natal origin ⁸⁷Sr/⁸⁶Sr of 0.7080 - 0.7085. Clustering among watersheds is evident between principal components 1 and 2 (68.39% of variance), as well as between principal components 2 and 3 (31.16% of variance). There is some overlap between all three watersheds in both cases. B) Sample otolith LA timeseries </w:t>
      </w:r>
      <w:r w:rsidR="00E90986">
        <w:rPr>
          <w:rFonts w:ascii="Times New Roman" w:hAnsi="Times New Roman" w:cs="Times New Roman"/>
        </w:rPr>
        <w:t>colore</w:t>
      </w:r>
      <w:r w:rsidR="00E90986" w:rsidRPr="00AB607D">
        <w:rPr>
          <w:rFonts w:ascii="Times New Roman" w:hAnsi="Times New Roman" w:cs="Times New Roman"/>
        </w:rPr>
        <w:t>d</w:t>
      </w:r>
      <w:r w:rsidRPr="00AB607D">
        <w:rPr>
          <w:rFonts w:ascii="Times New Roman" w:hAnsi="Times New Roman" w:cs="Times New Roman"/>
        </w:rPr>
        <w:t xml:space="preserve">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0BD5FD1F" w14:textId="77777777" w:rsidR="00BE6105" w:rsidRDefault="00BE6105" w:rsidP="00BE6105">
      <w:pPr>
        <w:rPr>
          <w:rFonts w:ascii="Garamond" w:hAnsi="Garamond"/>
          <w:b/>
          <w:bCs/>
          <w:sz w:val="16"/>
          <w:szCs w:val="16"/>
        </w:rPr>
      </w:pPr>
    </w:p>
    <w:p w14:paraId="28FD61BC" w14:textId="77777777" w:rsidR="00BE6105" w:rsidRDefault="00BE6105" w:rsidP="00BE6105">
      <w:pPr>
        <w:rPr>
          <w:rFonts w:ascii="Garamond" w:hAnsi="Garamond"/>
          <w:b/>
          <w:bCs/>
          <w:sz w:val="16"/>
          <w:szCs w:val="16"/>
        </w:rPr>
      </w:pPr>
    </w:p>
    <w:p w14:paraId="60B40338" w14:textId="77777777" w:rsidR="00BA19AC" w:rsidRDefault="00BA19AC" w:rsidP="00BE6105">
      <w:pPr>
        <w:rPr>
          <w:rFonts w:ascii="Garamond" w:hAnsi="Garamond"/>
          <w:b/>
          <w:bCs/>
          <w:sz w:val="16"/>
          <w:szCs w:val="16"/>
        </w:rPr>
      </w:pPr>
    </w:p>
    <w:p w14:paraId="0BB414D5" w14:textId="77777777" w:rsidR="00BA19AC" w:rsidRDefault="00BA19AC" w:rsidP="00BE6105">
      <w:pPr>
        <w:rPr>
          <w:rFonts w:ascii="Garamond" w:hAnsi="Garamond"/>
          <w:b/>
          <w:bCs/>
          <w:sz w:val="16"/>
          <w:szCs w:val="16"/>
        </w:rPr>
      </w:pPr>
    </w:p>
    <w:p w14:paraId="66AD3754" w14:textId="77777777" w:rsidR="00BA19AC" w:rsidRDefault="00BA19AC" w:rsidP="00BE6105">
      <w:pPr>
        <w:rPr>
          <w:rFonts w:ascii="Garamond" w:hAnsi="Garamond"/>
          <w:b/>
          <w:bCs/>
          <w:sz w:val="16"/>
          <w:szCs w:val="16"/>
        </w:rPr>
      </w:pPr>
    </w:p>
    <w:p w14:paraId="1F95FD30" w14:textId="77777777" w:rsidR="00BA19AC" w:rsidRDefault="00BA19AC" w:rsidP="00BE6105">
      <w:pPr>
        <w:rPr>
          <w:rFonts w:ascii="Garamond" w:hAnsi="Garamond"/>
          <w:b/>
          <w:bCs/>
          <w:sz w:val="16"/>
          <w:szCs w:val="16"/>
        </w:rPr>
      </w:pPr>
    </w:p>
    <w:p w14:paraId="1B9B434A"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6C8F6042" wp14:editId="536CC3F4">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10"/>
                    <a:stretch>
                      <a:fillRect/>
                    </a:stretch>
                  </pic:blipFill>
                  <pic:spPr>
                    <a:xfrm>
                      <a:off x="0" y="0"/>
                      <a:ext cx="5780272" cy="1734081"/>
                    </a:xfrm>
                    <a:prstGeom prst="rect">
                      <a:avLst/>
                    </a:prstGeom>
                  </pic:spPr>
                </pic:pic>
              </a:graphicData>
            </a:graphic>
          </wp:inline>
        </w:drawing>
      </w:r>
    </w:p>
    <w:p w14:paraId="2E712721" w14:textId="52F094D6" w:rsidR="00BE6105" w:rsidRPr="00AB607D" w:rsidRDefault="00BE6105" w:rsidP="00BE6105">
      <w:pPr>
        <w:rPr>
          <w:rFonts w:ascii="Times New Roman" w:hAnsi="Times New Roman" w:cs="Times New Roman"/>
        </w:rPr>
      </w:pPr>
      <w:r w:rsidRPr="00AB607D">
        <w:rPr>
          <w:rFonts w:ascii="Times New Roman" w:hAnsi="Times New Roman" w:cs="Times New Roman"/>
          <w:b/>
          <w:bCs/>
        </w:rPr>
        <w:t>Figure 4:</w:t>
      </w:r>
      <w:r w:rsidRPr="00AB607D">
        <w:rPr>
          <w:rFonts w:ascii="Times New Roman" w:hAnsi="Times New Roman" w:cs="Times New Roman"/>
        </w:rPr>
        <w:t xml:space="preserve"> Model Performance comparison among data preprocessing steps and model types. Accuracy indicates the proportion of each class correctly classified. F1-Score is the harmonic mean of precision and recall, providing a balanced performance measure across all watershed classes. Results compare two ⁸⁷Sr/⁸⁶Sr timeseries smoothing methods (GAM, MA) and three machine learning algorithms (Random Forest, SVM, KNN) using either all test data (Total) or only overlapping isotope ranges </w:t>
      </w:r>
      <w:r>
        <w:rPr>
          <w:rFonts w:ascii="Times New Roman" w:hAnsi="Times New Roman" w:cs="Times New Roman"/>
        </w:rPr>
        <w:t>(Restricted</w:t>
      </w:r>
      <w:r w:rsidRPr="00AB607D">
        <w:rPr>
          <w:rFonts w:ascii="Times New Roman" w:hAnsi="Times New Roman" w:cs="Times New Roman"/>
        </w:rPr>
        <w:t xml:space="preserve">). Darker green </w:t>
      </w:r>
      <w:proofErr w:type="spellStart"/>
      <w:r w:rsidR="00E90986">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higher scores.</w:t>
      </w:r>
    </w:p>
    <w:p w14:paraId="45F6EE23" w14:textId="77777777" w:rsidR="00BE6105" w:rsidRDefault="00BE6105" w:rsidP="00BE6105">
      <w:pPr>
        <w:rPr>
          <w:rFonts w:ascii="Garamond" w:hAnsi="Garamond"/>
          <w:sz w:val="16"/>
          <w:szCs w:val="16"/>
        </w:rPr>
      </w:pPr>
    </w:p>
    <w:p w14:paraId="2D1A83B1" w14:textId="77777777" w:rsidR="00BE6105" w:rsidRDefault="00BE6105" w:rsidP="00BE6105">
      <w:pPr>
        <w:rPr>
          <w:rFonts w:ascii="Garamond" w:hAnsi="Garamond"/>
          <w:sz w:val="16"/>
          <w:szCs w:val="16"/>
        </w:rPr>
      </w:pPr>
    </w:p>
    <w:p w14:paraId="6D3AE202" w14:textId="77777777" w:rsidR="00BE6105" w:rsidRDefault="00BE6105" w:rsidP="00BE6105">
      <w:pPr>
        <w:rPr>
          <w:rFonts w:ascii="Garamond" w:hAnsi="Garamond"/>
          <w:sz w:val="16"/>
          <w:szCs w:val="16"/>
        </w:rPr>
      </w:pPr>
    </w:p>
    <w:p w14:paraId="06FD5639" w14:textId="77777777" w:rsidR="00BE6105" w:rsidRDefault="00BE6105" w:rsidP="00BE6105">
      <w:pPr>
        <w:rPr>
          <w:rFonts w:ascii="Garamond" w:hAnsi="Garamond"/>
          <w:sz w:val="16"/>
          <w:szCs w:val="16"/>
        </w:rPr>
      </w:pPr>
    </w:p>
    <w:p w14:paraId="3FE186F9" w14:textId="77777777" w:rsidR="00BE6105" w:rsidRDefault="00BE6105" w:rsidP="00BE6105">
      <w:pPr>
        <w:rPr>
          <w:rFonts w:ascii="Garamond" w:hAnsi="Garamond"/>
          <w:sz w:val="16"/>
          <w:szCs w:val="16"/>
        </w:rPr>
      </w:pPr>
    </w:p>
    <w:p w14:paraId="4A03D61F" w14:textId="77777777" w:rsidR="00BE6105" w:rsidRDefault="00BE6105" w:rsidP="00BE6105">
      <w:pPr>
        <w:rPr>
          <w:rFonts w:ascii="Garamond" w:hAnsi="Garamond"/>
          <w:sz w:val="16"/>
          <w:szCs w:val="16"/>
        </w:rPr>
      </w:pPr>
    </w:p>
    <w:p w14:paraId="103A5109" w14:textId="77777777" w:rsidR="00BE6105" w:rsidRDefault="00BE6105" w:rsidP="00BE6105">
      <w:pPr>
        <w:rPr>
          <w:rFonts w:ascii="Garamond" w:hAnsi="Garamond"/>
          <w:sz w:val="16"/>
          <w:szCs w:val="16"/>
        </w:rPr>
      </w:pPr>
    </w:p>
    <w:p w14:paraId="28437DB8" w14:textId="77777777" w:rsidR="00BE6105" w:rsidRDefault="00BE6105" w:rsidP="00BE6105">
      <w:pPr>
        <w:rPr>
          <w:rFonts w:ascii="Garamond" w:hAnsi="Garamond"/>
          <w:sz w:val="16"/>
          <w:szCs w:val="16"/>
        </w:rPr>
      </w:pPr>
    </w:p>
    <w:p w14:paraId="403ABF34" w14:textId="77777777" w:rsidR="00BE6105" w:rsidRDefault="00BE6105" w:rsidP="00BE6105">
      <w:pPr>
        <w:rPr>
          <w:rFonts w:ascii="Garamond" w:hAnsi="Garamond"/>
          <w:sz w:val="16"/>
          <w:szCs w:val="16"/>
        </w:rPr>
      </w:pPr>
    </w:p>
    <w:p w14:paraId="28C6130C" w14:textId="77777777" w:rsidR="00BE6105" w:rsidRDefault="00BE6105" w:rsidP="00BE6105">
      <w:pPr>
        <w:rPr>
          <w:rFonts w:ascii="Garamond" w:hAnsi="Garamond"/>
          <w:sz w:val="16"/>
          <w:szCs w:val="16"/>
        </w:rPr>
      </w:pPr>
    </w:p>
    <w:p w14:paraId="51D56F14" w14:textId="77777777" w:rsidR="00BE6105" w:rsidRDefault="00BE6105" w:rsidP="00BE6105">
      <w:pPr>
        <w:rPr>
          <w:rFonts w:ascii="Garamond" w:hAnsi="Garamond"/>
          <w:sz w:val="16"/>
          <w:szCs w:val="16"/>
        </w:rPr>
      </w:pPr>
    </w:p>
    <w:p w14:paraId="04132331" w14:textId="77777777" w:rsidR="00BE6105" w:rsidRDefault="00BE6105" w:rsidP="00BE6105">
      <w:pPr>
        <w:rPr>
          <w:rFonts w:ascii="Garamond" w:hAnsi="Garamond"/>
          <w:sz w:val="16"/>
          <w:szCs w:val="16"/>
        </w:rPr>
      </w:pPr>
    </w:p>
    <w:p w14:paraId="6D39C8DE" w14:textId="77777777" w:rsidR="00BE6105" w:rsidRDefault="00BE6105" w:rsidP="00BE6105">
      <w:pPr>
        <w:rPr>
          <w:rFonts w:ascii="Garamond" w:hAnsi="Garamond"/>
          <w:sz w:val="16"/>
          <w:szCs w:val="16"/>
        </w:rPr>
      </w:pPr>
      <w:r>
        <w:rPr>
          <w:rFonts w:ascii="Garamond" w:hAnsi="Garamond"/>
          <w:noProof/>
          <w:sz w:val="16"/>
          <w:szCs w:val="16"/>
        </w:rPr>
        <w:lastRenderedPageBreak/>
        <w:drawing>
          <wp:inline distT="0" distB="0" distL="0" distR="0" wp14:anchorId="0EA64AC6" wp14:editId="1C8F4D52">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1"/>
                    <a:stretch>
                      <a:fillRect/>
                    </a:stretch>
                  </pic:blipFill>
                  <pic:spPr>
                    <a:xfrm>
                      <a:off x="0" y="0"/>
                      <a:ext cx="5943600" cy="2971800"/>
                    </a:xfrm>
                    <a:prstGeom prst="rect">
                      <a:avLst/>
                    </a:prstGeom>
                  </pic:spPr>
                </pic:pic>
              </a:graphicData>
            </a:graphic>
          </wp:inline>
        </w:drawing>
      </w:r>
      <w:r>
        <w:rPr>
          <w:rFonts w:ascii="Garamond" w:hAnsi="Garamond"/>
          <w:sz w:val="16"/>
          <w:szCs w:val="16"/>
        </w:rPr>
        <w:t xml:space="preserve"> </w:t>
      </w:r>
    </w:p>
    <w:p w14:paraId="5CDBE415" w14:textId="77777777" w:rsidR="00BE6105" w:rsidRPr="008C5870" w:rsidRDefault="00BE6105" w:rsidP="00BE6105">
      <w:pPr>
        <w:rPr>
          <w:rFonts w:ascii="Times New Roman" w:hAnsi="Times New Roman" w:cs="Times New Roman"/>
        </w:rPr>
      </w:pPr>
      <w:r w:rsidRPr="008C5870">
        <w:rPr>
          <w:rFonts w:ascii="Times New Roman" w:hAnsi="Times New Roman" w:cs="Times New Roman"/>
          <w:b/>
          <w:bCs/>
        </w:rPr>
        <w:t>Figure 5:</w:t>
      </w:r>
      <w:r w:rsidRPr="008C5870">
        <w:rPr>
          <w:rFonts w:ascii="Times New Roman" w:hAnsi="Times New Roman" w:cs="Times New Roman"/>
        </w:rPr>
        <w:t xml:space="preserve"> Confusion matrix from the highest performing model (Random Forest on GAM Smoothed data) for both total test set and overlapping subset. Boxes along the horizontal axis indicate correctly classified individuals (red). Vertical axis labels are the actual watershed labels whereas horizontal labels are the predicted class from the model. Percentages indicate the percent of the actual class identified as the predicted class and numbers indicate the number of the actual class assigned to the predicted class. </w:t>
      </w:r>
    </w:p>
    <w:p w14:paraId="7AC9E7FF" w14:textId="77777777" w:rsidR="00BE6105" w:rsidRDefault="00BE6105" w:rsidP="00BE6105">
      <w:pPr>
        <w:rPr>
          <w:rFonts w:ascii="Garamond" w:hAnsi="Garamond"/>
          <w:b/>
          <w:bCs/>
          <w:sz w:val="16"/>
          <w:szCs w:val="16"/>
        </w:rPr>
      </w:pPr>
    </w:p>
    <w:p w14:paraId="2ED610D5" w14:textId="77777777" w:rsidR="00BE6105" w:rsidRDefault="00BE6105" w:rsidP="00BE6105">
      <w:pPr>
        <w:rPr>
          <w:rFonts w:ascii="Garamond" w:hAnsi="Garamond"/>
          <w:b/>
          <w:bCs/>
          <w:sz w:val="16"/>
          <w:szCs w:val="16"/>
        </w:rPr>
      </w:pPr>
    </w:p>
    <w:p w14:paraId="65508422" w14:textId="77777777" w:rsidR="00BE6105" w:rsidRDefault="00BE6105" w:rsidP="00BE6105">
      <w:pPr>
        <w:rPr>
          <w:rFonts w:ascii="Garamond" w:hAnsi="Garamond"/>
          <w:b/>
          <w:bCs/>
          <w:sz w:val="16"/>
          <w:szCs w:val="16"/>
        </w:rPr>
      </w:pPr>
    </w:p>
    <w:p w14:paraId="5CE9F480" w14:textId="77777777" w:rsidR="00BE6105" w:rsidRDefault="00BE6105" w:rsidP="00BE6105">
      <w:pPr>
        <w:rPr>
          <w:rFonts w:ascii="Garamond" w:hAnsi="Garamond"/>
          <w:b/>
          <w:bCs/>
          <w:sz w:val="16"/>
          <w:szCs w:val="16"/>
        </w:rPr>
      </w:pPr>
    </w:p>
    <w:p w14:paraId="1655BEC6" w14:textId="77777777" w:rsidR="00BE6105" w:rsidRDefault="00BE6105" w:rsidP="00BE6105">
      <w:pPr>
        <w:rPr>
          <w:rFonts w:ascii="Garamond" w:hAnsi="Garamond"/>
          <w:b/>
          <w:bCs/>
          <w:sz w:val="16"/>
          <w:szCs w:val="16"/>
        </w:rPr>
      </w:pPr>
    </w:p>
    <w:p w14:paraId="72847776"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40960FE4" wp14:editId="57EC7425">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5EE7D949" w14:textId="252BB950" w:rsidR="00BE6105" w:rsidRPr="008C5870" w:rsidRDefault="00BE6105" w:rsidP="00BE6105">
      <w:pPr>
        <w:rPr>
          <w:rFonts w:ascii="Times New Roman" w:hAnsi="Times New Roman" w:cs="Times New Roman"/>
        </w:rPr>
      </w:pPr>
      <w:r w:rsidRPr="008C5870">
        <w:rPr>
          <w:rFonts w:ascii="Times New Roman" w:hAnsi="Times New Roman" w:cs="Times New Roman"/>
          <w:b/>
          <w:bCs/>
        </w:rPr>
        <w:t xml:space="preserve">Figure 6: </w:t>
      </w:r>
      <w:r w:rsidRPr="008C5870">
        <w:rPr>
          <w:rFonts w:ascii="Times New Roman" w:hAnsi="Times New Roman" w:cs="Times New Roman"/>
        </w:rPr>
        <w:t xml:space="preserve">Classification accuracy with different probability thresholds (60-90%). Points indicate the percentage of correctly classified individuals with a calibrated probability value above the given threshold value. Grey dashed lines represent the overall accuracy, whereas </w:t>
      </w:r>
      <w:r w:rsidR="00E90986">
        <w:rPr>
          <w:rFonts w:ascii="Times New Roman" w:hAnsi="Times New Roman" w:cs="Times New Roman"/>
        </w:rPr>
        <w:t>colore</w:t>
      </w:r>
      <w:r w:rsidR="00E90986" w:rsidRPr="008C5870">
        <w:rPr>
          <w:rFonts w:ascii="Times New Roman" w:hAnsi="Times New Roman" w:cs="Times New Roman"/>
        </w:rPr>
        <w:t>d</w:t>
      </w:r>
      <w:r w:rsidRPr="008C5870">
        <w:rPr>
          <w:rFonts w:ascii="Times New Roman" w:hAnsi="Times New Roman" w:cs="Times New Roman"/>
        </w:rPr>
        <w:t xml:space="preserve"> lines illustrate the class-specific probability at that threshold </w:t>
      </w:r>
    </w:p>
    <w:p w14:paraId="4804BFBC" w14:textId="77777777" w:rsidR="00BE6105" w:rsidRPr="001566FD" w:rsidRDefault="00BE6105" w:rsidP="001117E1">
      <w:pPr>
        <w:spacing w:before="100" w:beforeAutospacing="1" w:after="100" w:afterAutospacing="1" w:line="480" w:lineRule="auto"/>
        <w:ind w:left="720" w:hanging="720"/>
        <w:outlineLvl w:val="1"/>
        <w:rPr>
          <w:rFonts w:ascii="Garamond" w:hAnsi="Garamond"/>
          <w:sz w:val="22"/>
          <w:szCs w:val="22"/>
        </w:rPr>
      </w:pPr>
    </w:p>
    <w:sectPr w:rsidR="00BE6105" w:rsidRPr="001566FD" w:rsidSect="00E81C64">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2696"/>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0F4C"/>
    <w:rsid w:val="000E5763"/>
    <w:rsid w:val="000F0779"/>
    <w:rsid w:val="000F4EE0"/>
    <w:rsid w:val="000F4F29"/>
    <w:rsid w:val="000F5F96"/>
    <w:rsid w:val="0010010D"/>
    <w:rsid w:val="001010FF"/>
    <w:rsid w:val="00103E0E"/>
    <w:rsid w:val="0010405B"/>
    <w:rsid w:val="001117E1"/>
    <w:rsid w:val="00112ED8"/>
    <w:rsid w:val="00135A3B"/>
    <w:rsid w:val="00151B72"/>
    <w:rsid w:val="00154136"/>
    <w:rsid w:val="001566FD"/>
    <w:rsid w:val="0016071B"/>
    <w:rsid w:val="001659EA"/>
    <w:rsid w:val="00167331"/>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4031"/>
    <w:rsid w:val="00257118"/>
    <w:rsid w:val="002654E3"/>
    <w:rsid w:val="00286D15"/>
    <w:rsid w:val="00292609"/>
    <w:rsid w:val="00293852"/>
    <w:rsid w:val="002948A2"/>
    <w:rsid w:val="00296107"/>
    <w:rsid w:val="002A1171"/>
    <w:rsid w:val="002A47CE"/>
    <w:rsid w:val="002C12CC"/>
    <w:rsid w:val="002C5CFB"/>
    <w:rsid w:val="002D16B7"/>
    <w:rsid w:val="002D29B3"/>
    <w:rsid w:val="002D51B3"/>
    <w:rsid w:val="002D6657"/>
    <w:rsid w:val="002E41F6"/>
    <w:rsid w:val="002F10A9"/>
    <w:rsid w:val="002F3B7A"/>
    <w:rsid w:val="002F4F4E"/>
    <w:rsid w:val="002F5E0E"/>
    <w:rsid w:val="002F666C"/>
    <w:rsid w:val="002F6934"/>
    <w:rsid w:val="003000DD"/>
    <w:rsid w:val="00302CA2"/>
    <w:rsid w:val="00306EB0"/>
    <w:rsid w:val="0031165E"/>
    <w:rsid w:val="00311BF2"/>
    <w:rsid w:val="00320F01"/>
    <w:rsid w:val="0032184B"/>
    <w:rsid w:val="00327593"/>
    <w:rsid w:val="0034572F"/>
    <w:rsid w:val="00354445"/>
    <w:rsid w:val="0036018A"/>
    <w:rsid w:val="003606FC"/>
    <w:rsid w:val="00360E5F"/>
    <w:rsid w:val="00363DDE"/>
    <w:rsid w:val="00364186"/>
    <w:rsid w:val="003642FE"/>
    <w:rsid w:val="00364F19"/>
    <w:rsid w:val="00366AC5"/>
    <w:rsid w:val="003678F1"/>
    <w:rsid w:val="0038052F"/>
    <w:rsid w:val="00380D5D"/>
    <w:rsid w:val="003852CE"/>
    <w:rsid w:val="0038560E"/>
    <w:rsid w:val="00386D82"/>
    <w:rsid w:val="003A0BEA"/>
    <w:rsid w:val="003A300D"/>
    <w:rsid w:val="003A4B5F"/>
    <w:rsid w:val="003A63D4"/>
    <w:rsid w:val="003A69C6"/>
    <w:rsid w:val="003A7A96"/>
    <w:rsid w:val="003B0A46"/>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52D9"/>
    <w:rsid w:val="004472CA"/>
    <w:rsid w:val="004478E3"/>
    <w:rsid w:val="00464971"/>
    <w:rsid w:val="00465839"/>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145D"/>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5EFC"/>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72C4"/>
    <w:rsid w:val="0070764A"/>
    <w:rsid w:val="00711B8E"/>
    <w:rsid w:val="00711FA7"/>
    <w:rsid w:val="007162D9"/>
    <w:rsid w:val="00721D27"/>
    <w:rsid w:val="00722BC4"/>
    <w:rsid w:val="007249FA"/>
    <w:rsid w:val="00726EC4"/>
    <w:rsid w:val="00730E96"/>
    <w:rsid w:val="00733CEF"/>
    <w:rsid w:val="0073705F"/>
    <w:rsid w:val="00737BCD"/>
    <w:rsid w:val="00746012"/>
    <w:rsid w:val="00746A23"/>
    <w:rsid w:val="0075722E"/>
    <w:rsid w:val="00776FB6"/>
    <w:rsid w:val="00780305"/>
    <w:rsid w:val="007803F1"/>
    <w:rsid w:val="0078300E"/>
    <w:rsid w:val="007833A8"/>
    <w:rsid w:val="00791D47"/>
    <w:rsid w:val="00793ED4"/>
    <w:rsid w:val="00795E53"/>
    <w:rsid w:val="00796E6F"/>
    <w:rsid w:val="007B278F"/>
    <w:rsid w:val="007B7DFC"/>
    <w:rsid w:val="007C6AED"/>
    <w:rsid w:val="007D5270"/>
    <w:rsid w:val="007E1DFC"/>
    <w:rsid w:val="007E45B1"/>
    <w:rsid w:val="007F08A6"/>
    <w:rsid w:val="007F1A2B"/>
    <w:rsid w:val="007F4041"/>
    <w:rsid w:val="007F7563"/>
    <w:rsid w:val="00802938"/>
    <w:rsid w:val="008031E2"/>
    <w:rsid w:val="00806096"/>
    <w:rsid w:val="00813C70"/>
    <w:rsid w:val="0081488C"/>
    <w:rsid w:val="008200BB"/>
    <w:rsid w:val="00820C00"/>
    <w:rsid w:val="008310CB"/>
    <w:rsid w:val="008373D4"/>
    <w:rsid w:val="00841057"/>
    <w:rsid w:val="00841F42"/>
    <w:rsid w:val="00843D3D"/>
    <w:rsid w:val="008475B7"/>
    <w:rsid w:val="00874C03"/>
    <w:rsid w:val="00874E9C"/>
    <w:rsid w:val="00882F20"/>
    <w:rsid w:val="00884ECC"/>
    <w:rsid w:val="00886C18"/>
    <w:rsid w:val="00886F47"/>
    <w:rsid w:val="00892DEA"/>
    <w:rsid w:val="00893A0F"/>
    <w:rsid w:val="00894C0A"/>
    <w:rsid w:val="008A1DA2"/>
    <w:rsid w:val="008A4242"/>
    <w:rsid w:val="008A52C4"/>
    <w:rsid w:val="008A53F5"/>
    <w:rsid w:val="008A545E"/>
    <w:rsid w:val="008A7985"/>
    <w:rsid w:val="008C15E4"/>
    <w:rsid w:val="008C5595"/>
    <w:rsid w:val="008C5870"/>
    <w:rsid w:val="008C5FCA"/>
    <w:rsid w:val="008C6234"/>
    <w:rsid w:val="008C7400"/>
    <w:rsid w:val="008D0D27"/>
    <w:rsid w:val="008D72B1"/>
    <w:rsid w:val="008E7FFA"/>
    <w:rsid w:val="008F541C"/>
    <w:rsid w:val="00900618"/>
    <w:rsid w:val="00907410"/>
    <w:rsid w:val="00911D52"/>
    <w:rsid w:val="009157FF"/>
    <w:rsid w:val="009168C8"/>
    <w:rsid w:val="0092735E"/>
    <w:rsid w:val="0093175F"/>
    <w:rsid w:val="009326D5"/>
    <w:rsid w:val="0093470B"/>
    <w:rsid w:val="00941848"/>
    <w:rsid w:val="00941969"/>
    <w:rsid w:val="00945E61"/>
    <w:rsid w:val="00947315"/>
    <w:rsid w:val="00952A48"/>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E43BD"/>
    <w:rsid w:val="009F0B9D"/>
    <w:rsid w:val="009F0D1E"/>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64855"/>
    <w:rsid w:val="00A675C1"/>
    <w:rsid w:val="00A76EBE"/>
    <w:rsid w:val="00A77620"/>
    <w:rsid w:val="00A83F4D"/>
    <w:rsid w:val="00A8560F"/>
    <w:rsid w:val="00A8751C"/>
    <w:rsid w:val="00A935B4"/>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0D92"/>
    <w:rsid w:val="00B72E2E"/>
    <w:rsid w:val="00B753DE"/>
    <w:rsid w:val="00B84DE8"/>
    <w:rsid w:val="00B936A6"/>
    <w:rsid w:val="00B95E95"/>
    <w:rsid w:val="00B96193"/>
    <w:rsid w:val="00BA19AC"/>
    <w:rsid w:val="00BB0C28"/>
    <w:rsid w:val="00BB5BBB"/>
    <w:rsid w:val="00BC658A"/>
    <w:rsid w:val="00BC676D"/>
    <w:rsid w:val="00BD2714"/>
    <w:rsid w:val="00BD3BE0"/>
    <w:rsid w:val="00BD5921"/>
    <w:rsid w:val="00BE529C"/>
    <w:rsid w:val="00BE6105"/>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47F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DF27C5"/>
    <w:rsid w:val="00DF33B5"/>
    <w:rsid w:val="00E002D1"/>
    <w:rsid w:val="00E00E12"/>
    <w:rsid w:val="00E02763"/>
    <w:rsid w:val="00E06D65"/>
    <w:rsid w:val="00E13ED8"/>
    <w:rsid w:val="00E2005E"/>
    <w:rsid w:val="00E22B3F"/>
    <w:rsid w:val="00E2482E"/>
    <w:rsid w:val="00E4153D"/>
    <w:rsid w:val="00E454BB"/>
    <w:rsid w:val="00E45DBA"/>
    <w:rsid w:val="00E46DD7"/>
    <w:rsid w:val="00E50AAB"/>
    <w:rsid w:val="00E50CF7"/>
    <w:rsid w:val="00E51F2F"/>
    <w:rsid w:val="00E51F5E"/>
    <w:rsid w:val="00E5472C"/>
    <w:rsid w:val="00E57182"/>
    <w:rsid w:val="00E57732"/>
    <w:rsid w:val="00E60751"/>
    <w:rsid w:val="00E673AF"/>
    <w:rsid w:val="00E71422"/>
    <w:rsid w:val="00E73D9A"/>
    <w:rsid w:val="00E8133F"/>
    <w:rsid w:val="00E8171A"/>
    <w:rsid w:val="00E81C64"/>
    <w:rsid w:val="00E835C4"/>
    <w:rsid w:val="00E84B9A"/>
    <w:rsid w:val="00E90986"/>
    <w:rsid w:val="00EA3DDE"/>
    <w:rsid w:val="00EC7467"/>
    <w:rsid w:val="00ED165F"/>
    <w:rsid w:val="00ED3EE6"/>
    <w:rsid w:val="00EE450C"/>
    <w:rsid w:val="00EF7FC1"/>
    <w:rsid w:val="00F001C8"/>
    <w:rsid w:val="00F03EFA"/>
    <w:rsid w:val="00F044CE"/>
    <w:rsid w:val="00F050A0"/>
    <w:rsid w:val="00F06C0C"/>
    <w:rsid w:val="00F13113"/>
    <w:rsid w:val="00F15670"/>
    <w:rsid w:val="00F226BA"/>
    <w:rsid w:val="00F22A75"/>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496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 w:type="character" w:customStyle="1" w:styleId="gmaildefault">
    <w:name w:val="gmail_default"/>
    <w:basedOn w:val="DefaultParagraphFont"/>
    <w:rsid w:val="00F050A0"/>
  </w:style>
  <w:style w:type="character" w:styleId="FollowedHyperlink">
    <w:name w:val="FollowedHyperlink"/>
    <w:basedOn w:val="DefaultParagraphFont"/>
    <w:uiPriority w:val="99"/>
    <w:semiHidden/>
    <w:unhideWhenUsed/>
    <w:rsid w:val="00525E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tadryad.org/dataset/doi:10.5061/dryad.hdr7sqvxs" TargetMode="External"/><Relationship Id="rId11" Type="http://schemas.openxmlformats.org/officeDocument/2006/relationships/image" Target="media/image5.emf"/><Relationship Id="rId5" Type="http://schemas.openxmlformats.org/officeDocument/2006/relationships/hyperlink" Target="mailto:bmak29@uw.edu" TargetMode="Externa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34</Pages>
  <Words>19555</Words>
  <Characters>116554</Characters>
  <Application>Microsoft Office Word</Application>
  <DocSecurity>0</DocSecurity>
  <Lines>1793</Lines>
  <Paragraphs>307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35</cp:revision>
  <dcterms:created xsi:type="dcterms:W3CDTF">2025-11-12T14:53:00Z</dcterms:created>
  <dcterms:modified xsi:type="dcterms:W3CDTF">2025-12-30T21:26:00Z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id="4OFFoy1g"/&gt;&lt;style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