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C4C19" w14:textId="74B66078" w:rsidR="00103E0E" w:rsidRPr="00A0360F" w:rsidRDefault="00071CCC" w:rsidP="00A0360F">
      <w:pPr>
        <w:jc w:val="center"/>
        <w:rPr>
          <w:rFonts w:ascii="Garamond" w:hAnsi="Garamond"/>
          <w:b/>
          <w:bCs/>
          <w:sz w:val="32"/>
          <w:szCs w:val="32"/>
        </w:rPr>
      </w:pPr>
      <w:r w:rsidRPr="00A0360F">
        <w:rPr>
          <w:rFonts w:ascii="Garamond" w:hAnsi="Garamond"/>
          <w:b/>
          <w:bCs/>
          <w:sz w:val="32"/>
          <w:szCs w:val="32"/>
        </w:rPr>
        <w:t xml:space="preserve">Machine learning applied to otolith timeseries data to discriminate river of origin </w:t>
      </w:r>
      <w:r w:rsidR="00103E0E" w:rsidRPr="00A0360F">
        <w:rPr>
          <w:rFonts w:ascii="Garamond" w:hAnsi="Garamond"/>
          <w:b/>
          <w:bCs/>
          <w:sz w:val="32"/>
          <w:szCs w:val="32"/>
        </w:rPr>
        <w:t xml:space="preserve">for </w:t>
      </w:r>
      <w:r w:rsidRPr="00A0360F">
        <w:rPr>
          <w:rFonts w:ascii="Garamond" w:hAnsi="Garamond"/>
          <w:b/>
          <w:bCs/>
          <w:sz w:val="32"/>
          <w:szCs w:val="32"/>
        </w:rPr>
        <w:t>Western Alaska</w:t>
      </w:r>
      <w:r w:rsidR="00103E0E" w:rsidRPr="00A0360F">
        <w:rPr>
          <w:rFonts w:ascii="Garamond" w:hAnsi="Garamond"/>
          <w:b/>
          <w:bCs/>
          <w:sz w:val="32"/>
          <w:szCs w:val="32"/>
        </w:rPr>
        <w:t xml:space="preserve"> Salmon</w:t>
      </w:r>
      <w:r w:rsidRPr="00A0360F">
        <w:rPr>
          <w:rFonts w:ascii="Garamond" w:hAnsi="Garamond"/>
          <w:b/>
          <w:bCs/>
          <w:sz w:val="32"/>
          <w:szCs w:val="32"/>
        </w:rPr>
        <w:t>.</w:t>
      </w:r>
    </w:p>
    <w:p w14:paraId="466CDD8A" w14:textId="14424DE8" w:rsidR="00043ACE" w:rsidRDefault="00071CCC" w:rsidP="00043ACE">
      <w:pPr>
        <w:jc w:val="center"/>
        <w:rPr>
          <w:rFonts w:ascii="Garamond" w:hAnsi="Garamond"/>
          <w:sz w:val="21"/>
          <w:szCs w:val="21"/>
        </w:rPr>
      </w:pPr>
      <w:r w:rsidRPr="00A0360F">
        <w:rPr>
          <w:rFonts w:ascii="Garamond" w:hAnsi="Garamond"/>
          <w:sz w:val="21"/>
          <w:szCs w:val="21"/>
        </w:rPr>
        <w:t xml:space="preserve">Ben Makhlouf, Daniel Schindler, Valentina </w:t>
      </w:r>
      <w:proofErr w:type="spellStart"/>
      <w:r w:rsidRPr="00A0360F">
        <w:rPr>
          <w:rFonts w:ascii="Garamond" w:hAnsi="Garamond"/>
          <w:sz w:val="21"/>
          <w:szCs w:val="21"/>
        </w:rPr>
        <w:t>Staneva</w:t>
      </w:r>
      <w:proofErr w:type="spellEnd"/>
      <w:r w:rsidRPr="00A0360F">
        <w:rPr>
          <w:rFonts w:ascii="Garamond" w:hAnsi="Garamond"/>
          <w:sz w:val="21"/>
          <w:szCs w:val="21"/>
        </w:rPr>
        <w:t xml:space="preserve"> </w:t>
      </w:r>
    </w:p>
    <w:p w14:paraId="5FCA1CD8" w14:textId="7FAC063D" w:rsidR="00CA63D8" w:rsidRDefault="00CA63D8" w:rsidP="00CA63D8">
      <w:pPr>
        <w:spacing w:line="480" w:lineRule="auto"/>
        <w:rPr>
          <w:rFonts w:ascii="Garamond" w:hAnsi="Garamond"/>
        </w:rPr>
      </w:pPr>
    </w:p>
    <w:p w14:paraId="2A93C8C7" w14:textId="66AC2A42" w:rsidR="00CA63D8" w:rsidRDefault="00CA63D8" w:rsidP="00CA63D8">
      <w:pPr>
        <w:spacing w:line="480" w:lineRule="auto"/>
        <w:rPr>
          <w:rFonts w:ascii="Garamond" w:hAnsi="Garamond"/>
        </w:rPr>
      </w:pPr>
      <w:r>
        <w:rPr>
          <w:rFonts w:ascii="Garamond" w:hAnsi="Garamond"/>
        </w:rPr>
        <w:t xml:space="preserve">Abstract: </w:t>
      </w:r>
    </w:p>
    <w:p w14:paraId="617ABD49" w14:textId="77777777" w:rsidR="00CA63D8" w:rsidRDefault="00CA63D8" w:rsidP="00CA63D8">
      <w:pPr>
        <w:spacing w:line="480" w:lineRule="auto"/>
        <w:rPr>
          <w:rFonts w:ascii="Garamond" w:hAnsi="Garamond"/>
        </w:rPr>
      </w:pPr>
    </w:p>
    <w:p w14:paraId="26181149" w14:textId="77777777" w:rsidR="00CA63D8" w:rsidRDefault="00CA63D8" w:rsidP="00CA63D8">
      <w:pPr>
        <w:spacing w:line="480" w:lineRule="auto"/>
        <w:rPr>
          <w:rFonts w:ascii="Garamond" w:hAnsi="Garamond"/>
        </w:rPr>
      </w:pPr>
    </w:p>
    <w:p w14:paraId="519016C2" w14:textId="77777777" w:rsidR="00CA63D8" w:rsidRDefault="00CA63D8" w:rsidP="00CA63D8">
      <w:pPr>
        <w:spacing w:line="480" w:lineRule="auto"/>
        <w:rPr>
          <w:rFonts w:ascii="Garamond" w:hAnsi="Garamond"/>
        </w:rPr>
      </w:pPr>
    </w:p>
    <w:p w14:paraId="05004B05" w14:textId="77777777" w:rsidR="00CA63D8" w:rsidRDefault="00CA63D8" w:rsidP="00CA63D8">
      <w:pPr>
        <w:spacing w:line="480" w:lineRule="auto"/>
        <w:rPr>
          <w:rFonts w:ascii="Garamond" w:hAnsi="Garamond"/>
        </w:rPr>
      </w:pPr>
    </w:p>
    <w:p w14:paraId="04F4D7F6" w14:textId="77777777" w:rsidR="00CA63D8" w:rsidRDefault="00CA63D8" w:rsidP="00CA63D8">
      <w:pPr>
        <w:spacing w:line="480" w:lineRule="auto"/>
        <w:rPr>
          <w:rFonts w:ascii="Garamond" w:hAnsi="Garamond"/>
        </w:rPr>
      </w:pPr>
    </w:p>
    <w:p w14:paraId="66331E66" w14:textId="77777777" w:rsidR="00CA63D8" w:rsidRDefault="00CA63D8" w:rsidP="00CA63D8">
      <w:pPr>
        <w:spacing w:line="480" w:lineRule="auto"/>
        <w:rPr>
          <w:rFonts w:ascii="Garamond" w:hAnsi="Garamond"/>
        </w:rPr>
      </w:pPr>
    </w:p>
    <w:p w14:paraId="028D5EE6" w14:textId="77777777" w:rsidR="00CA63D8" w:rsidRDefault="00CA63D8" w:rsidP="00CA63D8">
      <w:pPr>
        <w:spacing w:line="480" w:lineRule="auto"/>
        <w:rPr>
          <w:rFonts w:ascii="Garamond" w:hAnsi="Garamond"/>
        </w:rPr>
      </w:pPr>
    </w:p>
    <w:p w14:paraId="79E3D503" w14:textId="77777777" w:rsidR="00CA63D8" w:rsidRDefault="00CA63D8" w:rsidP="00CA63D8">
      <w:pPr>
        <w:spacing w:line="480" w:lineRule="auto"/>
        <w:rPr>
          <w:rFonts w:ascii="Garamond" w:hAnsi="Garamond"/>
        </w:rPr>
      </w:pPr>
    </w:p>
    <w:p w14:paraId="414F837D" w14:textId="77777777" w:rsidR="00CA63D8" w:rsidRDefault="00CA63D8" w:rsidP="00CA63D8">
      <w:pPr>
        <w:spacing w:line="480" w:lineRule="auto"/>
        <w:rPr>
          <w:rFonts w:ascii="Garamond" w:hAnsi="Garamond"/>
        </w:rPr>
      </w:pPr>
    </w:p>
    <w:p w14:paraId="5F6D726D" w14:textId="77777777" w:rsidR="00CA63D8" w:rsidRDefault="00CA63D8" w:rsidP="00CA63D8">
      <w:pPr>
        <w:spacing w:line="480" w:lineRule="auto"/>
        <w:rPr>
          <w:rFonts w:ascii="Garamond" w:hAnsi="Garamond"/>
        </w:rPr>
      </w:pPr>
    </w:p>
    <w:p w14:paraId="1564E5D9" w14:textId="77777777" w:rsidR="00CA63D8" w:rsidRDefault="00CA63D8" w:rsidP="00CA63D8">
      <w:pPr>
        <w:spacing w:line="480" w:lineRule="auto"/>
        <w:rPr>
          <w:rFonts w:ascii="Garamond" w:hAnsi="Garamond"/>
        </w:rPr>
      </w:pPr>
    </w:p>
    <w:p w14:paraId="58074BE0" w14:textId="77777777" w:rsidR="00CA63D8" w:rsidRDefault="00CA63D8" w:rsidP="00CA63D8">
      <w:pPr>
        <w:spacing w:line="480" w:lineRule="auto"/>
        <w:rPr>
          <w:rFonts w:ascii="Garamond" w:hAnsi="Garamond"/>
        </w:rPr>
      </w:pPr>
    </w:p>
    <w:p w14:paraId="54E126A9" w14:textId="77777777" w:rsidR="00CA63D8" w:rsidRDefault="00CA63D8" w:rsidP="00CA63D8">
      <w:pPr>
        <w:spacing w:line="480" w:lineRule="auto"/>
        <w:rPr>
          <w:rFonts w:ascii="Garamond" w:hAnsi="Garamond"/>
        </w:rPr>
      </w:pPr>
    </w:p>
    <w:p w14:paraId="59A527E9" w14:textId="77777777" w:rsidR="00CA63D8" w:rsidRDefault="00CA63D8" w:rsidP="00CA63D8">
      <w:pPr>
        <w:spacing w:line="480" w:lineRule="auto"/>
        <w:rPr>
          <w:rFonts w:ascii="Garamond" w:hAnsi="Garamond"/>
        </w:rPr>
      </w:pPr>
    </w:p>
    <w:p w14:paraId="7B0E24F7" w14:textId="77777777" w:rsidR="00CA63D8" w:rsidRDefault="00CA63D8" w:rsidP="00CA63D8">
      <w:pPr>
        <w:spacing w:line="480" w:lineRule="auto"/>
        <w:rPr>
          <w:rFonts w:ascii="Garamond" w:hAnsi="Garamond"/>
        </w:rPr>
      </w:pPr>
    </w:p>
    <w:p w14:paraId="6B851A90" w14:textId="5C656F53" w:rsidR="00CA63D8" w:rsidRPr="00CA63D8" w:rsidRDefault="00CA63D8" w:rsidP="00CA63D8">
      <w:pPr>
        <w:spacing w:line="480" w:lineRule="auto"/>
        <w:rPr>
          <w:rFonts w:ascii="Garamond" w:hAnsi="Garamond"/>
          <w:b/>
          <w:bCs/>
          <w:sz w:val="32"/>
          <w:szCs w:val="32"/>
        </w:rPr>
      </w:pPr>
      <w:r w:rsidRPr="00CA63D8">
        <w:rPr>
          <w:rFonts w:ascii="Garamond" w:hAnsi="Garamond"/>
          <w:b/>
          <w:bCs/>
          <w:sz w:val="32"/>
          <w:szCs w:val="32"/>
        </w:rPr>
        <w:lastRenderedPageBreak/>
        <w:t xml:space="preserve">Introduction: </w:t>
      </w:r>
    </w:p>
    <w:p w14:paraId="7BFCA7EC" w14:textId="79988722" w:rsidR="00F436E6" w:rsidRPr="00A42A3A" w:rsidRDefault="00F436E6" w:rsidP="00F15670">
      <w:pPr>
        <w:spacing w:line="480" w:lineRule="auto"/>
        <w:ind w:firstLine="720"/>
        <w:rPr>
          <w:rFonts w:ascii="Garamond" w:hAnsi="Garamond"/>
          <w:sz w:val="22"/>
          <w:szCs w:val="22"/>
        </w:rPr>
      </w:pPr>
      <w:r w:rsidRPr="00A42A3A">
        <w:rPr>
          <w:rFonts w:ascii="Garamond" w:hAnsi="Garamond"/>
        </w:rPr>
        <w:t>Understanding how environmental stressors affect ecosystems across spatial and temporal scales is essential for monitoring and managing ecological responses to global change. This task is especially difficult in remote, complex systems, where conventional monitoring may be impractical or inadequate for capturing fine-scale processes.</w:t>
      </w:r>
      <w:r w:rsidRPr="00A42A3A">
        <w:rPr>
          <w:rFonts w:ascii="Garamond" w:hAnsi="Garamond"/>
        </w:rPr>
        <w:t xml:space="preserve"> </w:t>
      </w:r>
      <w:r w:rsidRPr="00A42A3A">
        <w:rPr>
          <w:rFonts w:ascii="Garamond" w:hAnsi="Garamond"/>
        </w:rPr>
        <w:t>While population-level assessments offer broad-scale perspectives, they can mask threats to ecosystem health at finer spatial scales or within subpopulations. Without adequate spatial resolution, assessments may fail to detect local disturbances or to evaluate how impacts are distributed across ecosystem services.</w:t>
      </w:r>
    </w:p>
    <w:p w14:paraId="48C0066C" w14:textId="77777777" w:rsidR="006F600C" w:rsidRPr="00CA63D8" w:rsidRDefault="006F600C" w:rsidP="007C6AED">
      <w:pPr>
        <w:spacing w:line="480" w:lineRule="auto"/>
        <w:ind w:firstLine="720"/>
        <w:rPr>
          <w:rFonts w:ascii="Garamond" w:hAnsi="Garamond"/>
          <w:sz w:val="22"/>
          <w:szCs w:val="22"/>
        </w:rPr>
      </w:pPr>
      <w:r w:rsidRPr="00CA63D8">
        <w:rPr>
          <w:rFonts w:ascii="Garamond" w:hAnsi="Garamond"/>
          <w:sz w:val="22"/>
          <w:szCs w:val="22"/>
        </w:rPr>
        <w:t xml:space="preserve">Management of Pacific salmon populations in Western Alaska exemplifies these challenges. Returning adults display diverse life histories, run timings, and habitat use across the Yukon, Kuskokwim, and </w:t>
      </w:r>
      <w:proofErr w:type="spellStart"/>
      <w:r w:rsidRPr="00CA63D8">
        <w:rPr>
          <w:rFonts w:ascii="Garamond" w:hAnsi="Garamond"/>
          <w:sz w:val="22"/>
          <w:szCs w:val="22"/>
        </w:rPr>
        <w:t>Nushagak</w:t>
      </w:r>
      <w:proofErr w:type="spellEnd"/>
      <w:r w:rsidRPr="00CA63D8">
        <w:rPr>
          <w:rFonts w:ascii="Garamond" w:hAnsi="Garamond"/>
          <w:sz w:val="22"/>
          <w:szCs w:val="22"/>
        </w:rPr>
        <w:t xml:space="preserve"> rivers, the three major basins in the region. They also migrate vast distances through remote ecosystems, making direct monitoring logistically prohibitive. Salmon in this region support valuable commercial fisheries and serve as a critical subsistence resource for upstream communities. Understanding river- or stock-specific population health over space and time is essential for management that balances harvest opportunities, basin-wide escapement goals, and efforts to build population resilience.</w:t>
      </w:r>
    </w:p>
    <w:p w14:paraId="117F9D6F" w14:textId="77777777" w:rsidR="00FD2359" w:rsidRDefault="006F600C" w:rsidP="00FD2359">
      <w:pPr>
        <w:spacing w:line="480" w:lineRule="auto"/>
        <w:ind w:firstLine="720"/>
        <w:rPr>
          <w:rFonts w:ascii="Garamond" w:hAnsi="Garamond"/>
          <w:sz w:val="22"/>
          <w:szCs w:val="22"/>
        </w:rPr>
      </w:pPr>
      <w:r w:rsidRPr="00FD2359">
        <w:rPr>
          <w:rFonts w:ascii="Garamond" w:hAnsi="Garamond"/>
          <w:sz w:val="22"/>
          <w:szCs w:val="22"/>
        </w:rPr>
        <w:t>R</w:t>
      </w:r>
      <w:r w:rsidR="00F15670" w:rsidRPr="00FD2359">
        <w:rPr>
          <w:rFonts w:ascii="Garamond" w:hAnsi="Garamond"/>
          <w:sz w:val="22"/>
          <w:szCs w:val="22"/>
        </w:rPr>
        <w:t>ecent sustained declines in the number of Chinook salmon (</w:t>
      </w:r>
      <w:r w:rsidR="00F15670" w:rsidRPr="00FD2359">
        <w:rPr>
          <w:rStyle w:val="Emphasis"/>
          <w:rFonts w:ascii="Garamond" w:hAnsi="Garamond"/>
          <w:sz w:val="22"/>
          <w:szCs w:val="22"/>
        </w:rPr>
        <w:t>Oncorhynchus tshawytscha</w:t>
      </w:r>
      <w:r w:rsidR="00F15670" w:rsidRPr="00FD2359">
        <w:rPr>
          <w:rFonts w:ascii="Garamond" w:hAnsi="Garamond"/>
          <w:sz w:val="22"/>
          <w:szCs w:val="22"/>
        </w:rPr>
        <w:t xml:space="preserve">) returning to </w:t>
      </w:r>
      <w:r w:rsidR="00FD2359" w:rsidRPr="00FD2359">
        <w:rPr>
          <w:rFonts w:ascii="Garamond" w:hAnsi="Garamond"/>
          <w:sz w:val="22"/>
          <w:szCs w:val="22"/>
        </w:rPr>
        <w:t>Western Alaska watersheds</w:t>
      </w:r>
      <w:r w:rsidR="00F15670" w:rsidRPr="00FD2359">
        <w:rPr>
          <w:rFonts w:ascii="Garamond" w:hAnsi="Garamond"/>
          <w:sz w:val="22"/>
          <w:szCs w:val="22"/>
        </w:rPr>
        <w:t xml:space="preserve"> have led to fishery restrictions and contributed to a crisis of food insecurity and cultural loss. </w:t>
      </w:r>
      <w:r w:rsidR="00FD2359" w:rsidRPr="00FD2359">
        <w:rPr>
          <w:rFonts w:ascii="Garamond" w:hAnsi="Garamond"/>
          <w:sz w:val="22"/>
          <w:szCs w:val="22"/>
        </w:rPr>
        <w:t>Consequently, there is a pressing need to evaluate the mechanisms of population decline</w:t>
      </w:r>
      <w:r w:rsidR="00F15670" w:rsidRPr="00FD2359">
        <w:rPr>
          <w:rFonts w:ascii="Garamond" w:hAnsi="Garamond"/>
          <w:sz w:val="22"/>
          <w:szCs w:val="22"/>
        </w:rPr>
        <w:t xml:space="preserve"> and to assess the spatial distribution of impacts across</w:t>
      </w:r>
      <w:r w:rsidR="00FD2359" w:rsidRPr="00FD2359">
        <w:rPr>
          <w:rFonts w:ascii="Garamond" w:hAnsi="Garamond"/>
          <w:sz w:val="22"/>
          <w:szCs w:val="22"/>
        </w:rPr>
        <w:t xml:space="preserve"> the region. </w:t>
      </w:r>
      <w:r w:rsidR="00FD2359" w:rsidRPr="00CA63D8">
        <w:rPr>
          <w:rFonts w:ascii="Garamond" w:hAnsi="Garamond"/>
          <w:sz w:val="22"/>
          <w:szCs w:val="22"/>
        </w:rPr>
        <w:t>Several plausible hypotheses have been proposed, many involving mortality during the marine life stage, including effects of changing habitat conditions, bycatch in federal trawl fisheries, and harvest in targeted intercept fisheries on migrating stocks</w:t>
      </w:r>
      <w:r w:rsidR="00FD2359" w:rsidRPr="00CA63D8">
        <w:rPr>
          <w:rFonts w:ascii="Garamond" w:hAnsi="Garamond"/>
          <w:sz w:val="22"/>
          <w:szCs w:val="22"/>
        </w:rPr>
        <w:t>. P</w:t>
      </w:r>
      <w:r w:rsidR="00FD2359" w:rsidRPr="00CA63D8">
        <w:rPr>
          <w:rFonts w:ascii="Garamond" w:hAnsi="Garamond"/>
          <w:sz w:val="22"/>
          <w:szCs w:val="22"/>
        </w:rPr>
        <w:t>rogress in testing these hypotheses has been hindered by the limited ability to determine the river of origin for marine-caught fish, preventing assessment of marine mortality in the context of river- or sub-basin-specific population health.</w:t>
      </w:r>
    </w:p>
    <w:p w14:paraId="541CC541" w14:textId="58D936DC" w:rsidR="0010010D" w:rsidRPr="00CA63D8" w:rsidRDefault="00FD2359" w:rsidP="00FD2359">
      <w:pPr>
        <w:spacing w:line="480" w:lineRule="auto"/>
        <w:ind w:firstLine="720"/>
        <w:rPr>
          <w:rFonts w:ascii="Garamond" w:hAnsi="Garamond"/>
          <w:sz w:val="22"/>
          <w:szCs w:val="22"/>
        </w:rPr>
      </w:pPr>
      <w:r w:rsidRPr="00CA63D8">
        <w:rPr>
          <w:rFonts w:ascii="Garamond" w:hAnsi="Garamond"/>
          <w:sz w:val="22"/>
          <w:szCs w:val="22"/>
        </w:rPr>
        <w:lastRenderedPageBreak/>
        <w:t>Genetic stock identification (GSI) has become a powerful and widely used tool for estimating the provenance of many Chinook salmon stocks in Alaska and for supporting in-season management.</w:t>
      </w:r>
      <w:r w:rsidRPr="00CA63D8">
        <w:rPr>
          <w:rFonts w:ascii="Garamond" w:hAnsi="Garamond"/>
          <w:sz w:val="22"/>
          <w:szCs w:val="22"/>
        </w:rPr>
        <w:t xml:space="preserve"> </w:t>
      </w:r>
      <w:r w:rsidR="00F15670" w:rsidRPr="00CA63D8">
        <w:rPr>
          <w:rFonts w:ascii="Garamond" w:hAnsi="Garamond"/>
          <w:sz w:val="22"/>
          <w:szCs w:val="22"/>
        </w:rPr>
        <w:t xml:space="preserve">However, </w:t>
      </w:r>
      <w:r w:rsidR="007F08A6" w:rsidRPr="00CA63D8">
        <w:rPr>
          <w:rFonts w:ascii="Garamond" w:hAnsi="Garamond"/>
          <w:sz w:val="22"/>
          <w:szCs w:val="22"/>
        </w:rPr>
        <w:t xml:space="preserve">Chinook salmon in Western Alaska lack sufficient genetic structure </w:t>
      </w:r>
      <w:proofErr w:type="gramStart"/>
      <w:r w:rsidR="007F08A6" w:rsidRPr="00CA63D8">
        <w:rPr>
          <w:rFonts w:ascii="Garamond" w:hAnsi="Garamond"/>
          <w:sz w:val="22"/>
          <w:szCs w:val="22"/>
        </w:rPr>
        <w:t xml:space="preserve">to  </w:t>
      </w:r>
      <w:r w:rsidR="007C6AED" w:rsidRPr="00CA63D8">
        <w:rPr>
          <w:rFonts w:ascii="Garamond" w:hAnsi="Garamond"/>
          <w:sz w:val="22"/>
          <w:szCs w:val="22"/>
        </w:rPr>
        <w:t>within</w:t>
      </w:r>
      <w:proofErr w:type="gramEnd"/>
      <w:r w:rsidR="007C6AED" w:rsidRPr="00CA63D8">
        <w:rPr>
          <w:rFonts w:ascii="Garamond" w:hAnsi="Garamond"/>
          <w:sz w:val="22"/>
          <w:szCs w:val="22"/>
        </w:rPr>
        <w:t xml:space="preserve"> the </w:t>
      </w:r>
      <w:r w:rsidR="007F08A6" w:rsidRPr="00CA63D8">
        <w:rPr>
          <w:rFonts w:ascii="Garamond" w:hAnsi="Garamond"/>
          <w:sz w:val="22"/>
          <w:szCs w:val="22"/>
        </w:rPr>
        <w:t xml:space="preserve">Coastal Western Alaska (CWAK) </w:t>
      </w:r>
      <w:r w:rsidRPr="00CA63D8">
        <w:rPr>
          <w:rFonts w:ascii="Garamond" w:hAnsi="Garamond"/>
          <w:sz w:val="22"/>
          <w:szCs w:val="22"/>
        </w:rPr>
        <w:t>genetic reporting</w:t>
      </w:r>
      <w:r w:rsidR="007F08A6" w:rsidRPr="00CA63D8">
        <w:rPr>
          <w:rFonts w:ascii="Garamond" w:hAnsi="Garamond"/>
          <w:sz w:val="22"/>
          <w:szCs w:val="22"/>
        </w:rPr>
        <w:t xml:space="preserve"> group, which </w:t>
      </w:r>
      <w:r w:rsidR="007C6AED" w:rsidRPr="00CA63D8">
        <w:rPr>
          <w:rFonts w:ascii="Garamond" w:hAnsi="Garamond"/>
          <w:sz w:val="22"/>
          <w:szCs w:val="22"/>
        </w:rPr>
        <w:t>cannot discriminate among river systems</w:t>
      </w:r>
      <w:r w:rsidRPr="00CA63D8">
        <w:rPr>
          <w:rFonts w:ascii="Garamond" w:hAnsi="Garamond"/>
          <w:sz w:val="22"/>
          <w:szCs w:val="22"/>
        </w:rPr>
        <w:t xml:space="preserve"> (Figure 1). </w:t>
      </w:r>
      <w:r w:rsidR="007C6AED" w:rsidRPr="00CA63D8">
        <w:rPr>
          <w:rFonts w:ascii="Garamond" w:hAnsi="Garamond"/>
          <w:sz w:val="22"/>
          <w:szCs w:val="22"/>
        </w:rPr>
        <w:t xml:space="preserve"> </w:t>
      </w:r>
      <w:r w:rsidRPr="00CA63D8">
        <w:rPr>
          <w:rFonts w:ascii="Garamond" w:hAnsi="Garamond"/>
          <w:sz w:val="22"/>
          <w:szCs w:val="22"/>
        </w:rPr>
        <w:t>In parallel, isotope-based methods using fish ear stones (otoliths) have emerged as an alternative approach, offering potentially finer spatial resolution than genetics in some cases</w:t>
      </w:r>
      <w:r w:rsidR="0010010D" w:rsidRPr="00CA63D8">
        <w:rPr>
          <w:rFonts w:ascii="Garamond" w:hAnsi="Garamond"/>
          <w:sz w:val="22"/>
          <w:szCs w:val="22"/>
        </w:rPr>
        <w:fldChar w:fldCharType="begin"/>
      </w:r>
      <w:r w:rsidR="0010010D" w:rsidRPr="00CA63D8">
        <w:rPr>
          <w:rFonts w:ascii="Garamond" w:hAnsi="Garamond"/>
          <w:sz w:val="22"/>
          <w:szCs w:val="22"/>
        </w:rPr>
        <w:instrText xml:space="preserve"> ADDIN ZOTERO_ITEM CSL_CITATION {"citationID":"Pqigyra2","properties":{"formattedCitation":"(Brennan et al., 2015; Brennan &amp; Schindler, 2017; Kennedy et al., 1997)","plainCitation":"(Brennan et al., 2015; Brennan &amp; Schindler, 2017; Kennedy et al., 1997)","noteIndex":0},"citationItems":[{"id":2313,"uris":["http://zotero.org/users/8421274/items/AJFVQJVT"],"itemData":{"id":2313,"type":"article-journal","abstract":"Highly migratory organisms present major challenges to conservation efforts. This is especially true for exploited anadromous fish species, which exhibit long-range dispersals from natal sites, complex population structures, and extensive mixing of distinct populations during exploitation. By tracing the migratory histories of individual Chinook salmon caught in fisheries using strontium isotopes, we determined the relative production of natal habitats at fine spatial scales and different life histories. Although strontium isotopes have been widely used in provenance research, we present a new robust framework to simultaneously assess natal sources and migrations of individuals within fishery harvests through time. Our results pave the way for investigating how fine-scale habitat production and life histories of salmon respond to perturbations—providing crucial insights for conservation.","container-title":"Science Advances","DOI":"10.1126/sciadv.1400124","issue":"4","note":"publisher: American Association for the Advancement of Science","page":"e1400124","source":"science.org (Atypon)","title":"Strontium isotopes delineate fine-scale natal origins and migration histories of Pacific salmon","volume":"1","author":[{"family":"Brennan","given":"Sean R."},{"family":"Zimmerman","given":"Christian E."},{"family":"Fernandez","given":"Diego P."},{"family":"Cerling","given":"Thure E."},{"family":"McPhee","given":"Megan V."},{"family":"Wooller","given":"Matthew J."}],"issued":{"date-parts":[["2015",5,15]]}}},{"id":1694,"uris":["http://zotero.org/users/8421274/items/NSWL6YPN"],"itemData":{"id":1694,"type":"article-journal","abstract":"Production patterns of highly mobile species, such as anadromous fish, often exhibit high spatial and temporal heterogeneity across landscapes. Such variability is often asynchronous in time among habitats, which stabilizes production at aggregate scales of complexity. Reconstructing production patterns explicitly in space and time across multiple scales, however, remains difficult but is important for prioritizing habitat conservation. This is especially true for fishes inhabiting river basins due to long-range dispersal, high mortality at early life stages, complex population structure and elusive life history variation. We develop a new approach for mapping production patterns of Pacific salmon across a large river basin by integrating otolith microchemistry and dendritic isoscape models. The geographically continuous Bayesian assignment framework presented here yielded high accuracies (&gt;90%) and relatively high precisions (precisions &lt;4%; i.e., assignment areas of &lt;530 river km of the 13 100 km total river length) when used to determine the natal source of known-origin juvenile Chinook salmon captured throughout the study region. Integrating these methods enabled us to base estimates of provenance and habitat use of individuals on a per location basis using strontium isotopic data throughout the continuous spatial domain of a river network. Such a framework provides substantial advantages over the more common nominal approach to employing otolith microchemistry to reconstruct movement patterns of fish. In doing so, we reconstructed the spatial production patterns of adult Chinook salmon returning to a large watershed in Bristol Bay, Alaska and illustrate the power of such an approach to conservation efforts.","container-title":"Ecological Applications","DOI":"10.1002/eap.1474","ISSN":"1939-5582","issue":"2","language":"en","note":"_eprint: https://esajournals.onlinelibrary.wiley.com/doi/pdf/10.1002/eap.1474","page":"363-377","source":"Wiley Online Library","title":"Linking otolith microchemistry and dendritic isoscapes to map heterogeneous production of fish across river basins","volume":"27","author":[{"family":"Brennan","given":"Sean R."},{"family":"Schindler","given":"Daniel E."}],"issued":{"date-parts":[["2017"]]}}},{"id":1561,"uris":["http://zotero.org/users/8421274/items/UCQYZW9Z"],"itemData":{"id":1561,"type":"article-journal","abstract":"To optimize conservation and restoration strategies for fish stocks it is important to identify the rearing habitats that produce the most successful individuals. However, tracking millions of migratory fish through multiple life stages seems to be impossible using conventional techniques. Using differences in the ratio of stable isotopes of strontium (Sr), found naturally in stream water, we have been able to distinguish juvenile Atlantic salmon (Salmo salar) from eight of ten rearing sites studied in Vermont streams. This demonstrates the potential for using environmental signals to determine the rearing stream from which salmon originate, and should help to guide restoration activities.","container-title":"Nature","DOI":"10.1038/42835","ISSN":"1476-4687","issue":"6635","language":"en","license":"1997 Macmillan Magazines Ltd.","note":"number: 6635\npublisher: Nature Publishing Group","page":"766-767","source":"www-nature-com.offcampus.lib.washington.edu","title":"Natural isotope markers in salmon","volume":"387","author":[{"family":"Kennedy","given":"Brian P."},{"family":"Folt","given":"Carol L."},{"family":"Blum","given":"Joel D."},{"family":"Chamberlain","given":"C. Page"}],"issued":{"date-parts":[["1997",6]]}}}],"schema":"https://github.com/citation-style-language/schema/raw/master/csl-citation.json"} </w:instrText>
      </w:r>
      <w:r w:rsidR="0010010D" w:rsidRPr="00CA63D8">
        <w:rPr>
          <w:rFonts w:ascii="Garamond" w:hAnsi="Garamond"/>
          <w:sz w:val="22"/>
          <w:szCs w:val="22"/>
        </w:rPr>
        <w:fldChar w:fldCharType="separate"/>
      </w:r>
      <w:r w:rsidR="0010010D" w:rsidRPr="00CA63D8">
        <w:rPr>
          <w:rFonts w:ascii="Garamond" w:hAnsi="Garamond"/>
          <w:noProof/>
          <w:sz w:val="22"/>
          <w:szCs w:val="22"/>
        </w:rPr>
        <w:t>(Brennan et al., 2015; Brennan &amp; Schindler, 2017; Kennedy et al., 1997)</w:t>
      </w:r>
      <w:r w:rsidR="0010010D" w:rsidRPr="00CA63D8">
        <w:rPr>
          <w:rFonts w:ascii="Garamond" w:hAnsi="Garamond"/>
          <w:sz w:val="22"/>
          <w:szCs w:val="22"/>
        </w:rPr>
        <w:fldChar w:fldCharType="end"/>
      </w:r>
      <w:r w:rsidR="0010010D" w:rsidRPr="00CA63D8">
        <w:rPr>
          <w:rFonts w:ascii="Garamond" w:hAnsi="Garamond"/>
          <w:sz w:val="22"/>
          <w:szCs w:val="22"/>
        </w:rPr>
        <w:t>. The relative ratio of strontium-87 to strontium-86 (</w:t>
      </w:r>
      <w:r w:rsidR="0010010D" w:rsidRPr="00CA63D8">
        <w:rPr>
          <w:rFonts w:ascii="Cambria Math" w:hAnsi="Cambria Math" w:cs="Cambria Math"/>
          <w:sz w:val="22"/>
          <w:szCs w:val="22"/>
        </w:rPr>
        <w:t>⁸⁷</w:t>
      </w:r>
      <w:r w:rsidR="0010010D" w:rsidRPr="00CA63D8">
        <w:rPr>
          <w:rFonts w:ascii="Garamond" w:hAnsi="Garamond"/>
          <w:sz w:val="22"/>
          <w:szCs w:val="22"/>
        </w:rPr>
        <w:t>Sr/</w:t>
      </w:r>
      <w:r w:rsidR="0010010D" w:rsidRPr="00CA63D8">
        <w:rPr>
          <w:rFonts w:ascii="Cambria Math" w:hAnsi="Cambria Math" w:cs="Cambria Math"/>
          <w:sz w:val="22"/>
          <w:szCs w:val="22"/>
        </w:rPr>
        <w:t>⁸⁶</w:t>
      </w:r>
      <w:r w:rsidR="0010010D" w:rsidRPr="00CA63D8">
        <w:rPr>
          <w:rFonts w:ascii="Garamond" w:hAnsi="Garamond"/>
          <w:sz w:val="22"/>
          <w:szCs w:val="22"/>
        </w:rPr>
        <w:t xml:space="preserve">Sr) is heterogeneously distributed across geologically diverse landscapes, faithfully incorporated </w:t>
      </w:r>
      <w:r w:rsidRPr="00CA63D8">
        <w:rPr>
          <w:rFonts w:ascii="Garamond" w:hAnsi="Garamond"/>
          <w:sz w:val="22"/>
          <w:szCs w:val="22"/>
        </w:rPr>
        <w:t xml:space="preserve">the </w:t>
      </w:r>
      <w:r w:rsidR="0010010D" w:rsidRPr="00CA63D8">
        <w:rPr>
          <w:rFonts w:ascii="Garamond" w:hAnsi="Garamond"/>
          <w:sz w:val="22"/>
          <w:szCs w:val="22"/>
        </w:rPr>
        <w:t>otolith</w:t>
      </w:r>
      <w:r w:rsidRPr="00CA63D8">
        <w:rPr>
          <w:rFonts w:ascii="Garamond" w:hAnsi="Garamond"/>
          <w:sz w:val="22"/>
          <w:szCs w:val="22"/>
        </w:rPr>
        <w:t xml:space="preserve"> structure</w:t>
      </w:r>
      <w:r w:rsidR="0010010D" w:rsidRPr="00CA63D8">
        <w:rPr>
          <w:rFonts w:ascii="Garamond" w:hAnsi="Garamond"/>
          <w:sz w:val="22"/>
          <w:szCs w:val="22"/>
        </w:rPr>
        <w:t xml:space="preserve">, and </w:t>
      </w:r>
      <w:r w:rsidRPr="00CA63D8">
        <w:rPr>
          <w:rFonts w:ascii="Garamond" w:hAnsi="Garamond"/>
          <w:sz w:val="22"/>
          <w:szCs w:val="22"/>
        </w:rPr>
        <w:t xml:space="preserve">is </w:t>
      </w:r>
      <w:r w:rsidR="0010010D" w:rsidRPr="00CA63D8">
        <w:rPr>
          <w:rFonts w:ascii="Garamond" w:hAnsi="Garamond"/>
          <w:sz w:val="22"/>
          <w:szCs w:val="22"/>
        </w:rPr>
        <w:t xml:space="preserve">temporally stable in Alaskan watersheds </w:t>
      </w:r>
      <w:r w:rsidR="0010010D" w:rsidRPr="00CA63D8">
        <w:rPr>
          <w:rFonts w:ascii="Garamond" w:hAnsi="Garamond"/>
          <w:sz w:val="22"/>
          <w:szCs w:val="22"/>
        </w:rPr>
        <w:fldChar w:fldCharType="begin"/>
      </w:r>
      <w:r w:rsidR="0010010D" w:rsidRPr="00CA63D8">
        <w:rPr>
          <w:rFonts w:ascii="Garamond" w:hAnsi="Garamond"/>
          <w:sz w:val="22"/>
          <w:szCs w:val="22"/>
        </w:rPr>
        <w:instrText xml:space="preserve"> ADDIN ZOTERO_ITEM CSL_CITATION {"citationID":"gCPseI7r","properties":{"formattedCitation":"(Bataille &amp; Bowen, 2012; Brennan et al., 2015; Campana, 1999; Capo et al., 1998)","plainCitation":"(Bataille &amp; Bowen, 2012; Brennan et al., 2015; Campana, 1999; Capo et al., 1998)","noteIndex":0},"citationItems":[{"id":1939,"uris":["http://zotero.org/users/8421274/items/S8GE9LUD"],"itemData":{"id":1939,"type":"article-journal","abstract":"Although variation in 87Sr/86Sr has been widely pursued as a tracer of provenance in environmental studies, forensics, archeology and food traceability, accurate methods for mapping variations in environmental 87Sr/ 86Sr at regional scale are not available. In this paper, we build upon earlier efforts to model 87Sr/86Sr in bedrock by developing GIS-based models for Sr isotopes in rock and water that include the combined effects of lithology and time. Using published data, we ﬁt lithology-speciﬁc model parameters for generalized equations describing the concentration of radiogenic Sr in silicate and carbonate rocks. The new model explained more than 50% of the observed variance in measured Sr isotope values from independent global databases of igneous, metaigneous, and carbonate rocks, but performed more poorly (explaining 33% of the variance) for sedimentary and metasedimentary rocks. In comparison, a previously applied model formulation that did not include lithology-speciﬁc parameters explained only 20% and 8% of the observed variance for igneous and sedimentary rocks, respectively, and exhibited an inverse relationship with measured carbonate rock values. Building upon the bedrock model, we also developed and applied equations to predict the contribution of different rock types to 87Sr/86Sr variations in water as a function of their weathering rates and strontium content. The resulting water model was compared to data from 68 catchments and shown to give more accurate predictions of stream water 87Sr/86Sr (R2 = 0.70) than models that did not include lithological weathering parameters. We applied these models to produce maps (“isoscapes”) predicting 87Sr/86Sr in bedrock and water across the contiguous USA, and compared the mapped Sr isotope distributions to data on Sr isotope ratios of US marijuana crops. Although the maps produced here are demonstrably imperfect and leave signiﬁcant scope for further reﬁnement, they provide an enhanced framework for lithology-based Sr isotope modeling and offer a baseline for provenance studies by constraining the 87Sr/86Sr in strontium sources at regional scales.","container-title":"Chemical Geology","DOI":"10.1016/j.chemgeo.2012.01.028","ISSN":"00092541","journalAbbreviation":"Chemical Geology","language":"en","page":"39-52","source":"DOI.org (Crossref)","title":"Mapping 87Sr/86Sr variations in bedrock and water for large scale provenance studies","volume":"304-305","author":[{"family":"Bataille","given":"Clément P."},{"family":"Bowen","given":"Gabriel J."}],"issued":{"date-parts":[["2012",4]]}}},{"id":2313,"uris":["http://zotero.org/users/8421274/items/AJFVQJVT"],"itemData":{"id":2313,"type":"article-journal","abstract":"Highly migratory organisms present major challenges to conservation efforts. This is especially true for exploited anadromous fish species, which exhibit long-range dispersals from natal sites, complex population structures, and extensive mixing of distinct populations during exploitation. By tracing the migratory histories of individual Chinook salmon caught in fisheries using strontium isotopes, we determined the relative production of natal habitats at fine spatial scales and different life histories. Although strontium isotopes have been widely used in provenance research, we present a new robust framework to simultaneously assess natal sources and migrations of individuals within fishery harvests through time. Our results pave the way for investigating how fine-scale habitat production and life histories of salmon respond to perturbations—providing crucial insights for conservation.","container-title":"Science Advances","DOI":"10.1126/sciadv.1400124","issue":"4","note":"publisher: American Association for the Advancement of Science","page":"e1400124","source":"science.org (Atypon)","title":"Strontium isotopes delineate fine-scale natal origins and migration histories of Pacific salmon","volume":"1","author":[{"family":"Brennan","given":"Sean R."},{"family":"Zimmerman","given":"Christian E."},{"family":"Fernandez","given":"Diego P."},{"family":"Cerling","given":"Thure E."},{"family":"McPhee","given":"Megan V."},{"family":"Wooller","given":"Matthew J."}],"issued":{"date-parts":[["2015",5,15]]}}},{"id":1441,"uris":["http://zotero.org/users/8421274/items/PHNAKZ8D"],"itemData":{"id":1441,"type":"article-journal","abstract":"The fish otolith (earstone) has long been known as a timekeeper, but interest in its use as a metabolically inert environmental recorder has accelerated in recent years. In part due to technological advances, applications such as stock identification, determination of rnigralon pathways, reconstruction of temperature and salinity history, age validation, detection of anadromy, use as a natural tag and chemical mass marking have been developed, some of which are difficult or impossible to implement using alternative techniques. Microsamphg and the latest advances in beam-based probes allow many elemental assays to be coupled with daily or annual growth increments, thus providing a detailed chronologcal record of the environment. However, few workers have critically assessed the assumptions upon which the environmental reconstructions are based, or considered the possibility that elemental incorporation into the otolith may proceed differently than that into other calcified structures. This paper reviews current applications and their assumptions and suggests future directions. Particular attention is given to the premises that the elemental and isotopic composition of the otolith reflects that of the environment, and the effect of physiological filters on the resulting composition. The roles of temperature, elemental uptake into the fish and the process of otolith crystahzation are also assessed. Drawing upon recent advances in geochemistry and paleoclirnate research as points of contrast, it appears that not all applications of otolith chemistry are firmly based, although others are destined to become powerful and perhaps routine tools for the mainstream fish biologst.","container-title":"Marine Ecology Progress Series","DOI":"10.3354/meps188263","ISSN":"0171-8630, 1616-1599","journalAbbreviation":"Mar. Ecol. Prog. Ser.","language":"en","page":"263-297","source":"DOI.org (Crossref)","title":"Chemistry and composition of fish otoliths:pathways, mechanisms and applications","title-short":"Chemistry and composition of fish otoliths","volume":"188","author":[{"family":"Campana","given":"Se"}],"issued":{"date-parts":[["1999"]]}}},{"id":1457,"uris":["http://zotero.org/users/8421274/items/TDIQBP7K"],"itemData":{"id":1457,"type":"article-journal","abstract":"The strontium (Sr) isotope method can be a powerful tool in studies of chemical weathering and soil genesis, cation provenance and mobility, and the chronostratigraphic correlation of marine sediments. It is a sensitive geochemical tracer, applicable to large-scale ecosystem studies as well as to centimeter-scaled examination of cation mobility within a soil profile. The 87Sr/86Sr ratios of natural materials reflect the sources of strontium available during their formation. Isotopically distinct inputs from precipitation, dryfall, soil parent material, and surface or groundwater allow determination of the relative proportions of those materials entering or leaving an ecosystem. The isotopic compositions of labile (soil exchange complex and soil solution) strontium and Sr in vegetation reflect the sources of cations available to plants. Strontium isotopes can be used to track the biogeochemical cycling of nutrient cations such as calcium. The extent of cation contributions from in situ weathering and external additions to soil from dust and rain can also be resolved with this method. In this paper, we review the geochemistry and isotopic systematics of strontium, and discuss the use of this method as a tracer of earth surface processes.","container-title":"Geoderma","DOI":"10.1016/S0016-7061(97)00102-X","ISSN":"0016-7061","issue":"1","journalAbbreviation":"Geoderma","language":"en","page":"197-225","source":"ScienceDirect","title":"Strontium isotopes as tracers of ecosystem processes: theory and methods","title-short":"Strontium isotopes as tracers of ecosystem processes","volume":"82","author":[{"family":"Capo","given":"Rosemary C."},{"family":"Stewart","given":"Brian W."},{"family":"Chadwick","given":"Oliver A."}],"issued":{"date-parts":[["1998",2,1]]}}}],"schema":"https://github.com/citation-style-language/schema/raw/master/csl-citation.json"} </w:instrText>
      </w:r>
      <w:r w:rsidR="0010010D" w:rsidRPr="00CA63D8">
        <w:rPr>
          <w:rFonts w:ascii="Garamond" w:hAnsi="Garamond"/>
          <w:sz w:val="22"/>
          <w:szCs w:val="22"/>
        </w:rPr>
        <w:fldChar w:fldCharType="separate"/>
      </w:r>
      <w:r w:rsidR="0010010D" w:rsidRPr="00CA63D8">
        <w:rPr>
          <w:rFonts w:ascii="Garamond" w:hAnsi="Garamond"/>
          <w:noProof/>
          <w:sz w:val="22"/>
          <w:szCs w:val="22"/>
        </w:rPr>
        <w:t>(Bataille &amp; Bowen, 2012; Brennan et al., 2015; Campana, 1999; Capo et al., 1998)</w:t>
      </w:r>
      <w:r w:rsidR="0010010D" w:rsidRPr="00CA63D8">
        <w:rPr>
          <w:rFonts w:ascii="Garamond" w:hAnsi="Garamond"/>
          <w:sz w:val="22"/>
          <w:szCs w:val="22"/>
        </w:rPr>
        <w:fldChar w:fldCharType="end"/>
      </w:r>
      <w:r w:rsidR="0010010D" w:rsidRPr="00CA63D8">
        <w:rPr>
          <w:rFonts w:ascii="Garamond" w:hAnsi="Garamond"/>
          <w:sz w:val="22"/>
          <w:szCs w:val="22"/>
        </w:rPr>
        <w:t xml:space="preserve">. </w:t>
      </w:r>
      <w:r w:rsidRPr="00CA63D8">
        <w:rPr>
          <w:rFonts w:ascii="Garamond" w:hAnsi="Garamond"/>
          <w:sz w:val="22"/>
          <w:szCs w:val="22"/>
        </w:rPr>
        <w:t xml:space="preserve">This signature </w:t>
      </w:r>
      <w:r w:rsidRPr="00CA63D8">
        <w:rPr>
          <w:rFonts w:ascii="Garamond" w:hAnsi="Garamond"/>
          <w:sz w:val="22"/>
          <w:szCs w:val="22"/>
        </w:rPr>
        <w:t xml:space="preserve">has </w:t>
      </w:r>
      <w:proofErr w:type="gramStart"/>
      <w:r w:rsidRPr="00CA63D8">
        <w:rPr>
          <w:rFonts w:ascii="Garamond" w:hAnsi="Garamond"/>
          <w:sz w:val="22"/>
          <w:szCs w:val="22"/>
        </w:rPr>
        <w:t>be</w:t>
      </w:r>
      <w:proofErr w:type="gramEnd"/>
      <w:r w:rsidRPr="00CA63D8">
        <w:rPr>
          <w:rFonts w:ascii="Garamond" w:hAnsi="Garamond"/>
          <w:sz w:val="22"/>
          <w:szCs w:val="22"/>
        </w:rPr>
        <w:t xml:space="preserve"> used to estimate provenance by comparing the </w:t>
      </w:r>
      <w:r w:rsidRPr="00CA63D8">
        <w:rPr>
          <w:rFonts w:ascii="Cambria Math" w:hAnsi="Cambria Math" w:cs="Cambria Math"/>
          <w:sz w:val="22"/>
          <w:szCs w:val="22"/>
        </w:rPr>
        <w:t>⁸⁷</w:t>
      </w:r>
      <w:r w:rsidRPr="00CA63D8">
        <w:rPr>
          <w:rFonts w:ascii="Garamond" w:hAnsi="Garamond"/>
          <w:sz w:val="22"/>
          <w:szCs w:val="22"/>
        </w:rPr>
        <w:t>Sr/</w:t>
      </w:r>
      <w:r w:rsidRPr="00CA63D8">
        <w:rPr>
          <w:rFonts w:ascii="Cambria Math" w:hAnsi="Cambria Math" w:cs="Cambria Math"/>
          <w:sz w:val="22"/>
          <w:szCs w:val="22"/>
        </w:rPr>
        <w:t>⁸⁶</w:t>
      </w:r>
      <w:r w:rsidRPr="00CA63D8">
        <w:rPr>
          <w:rFonts w:ascii="Garamond" w:hAnsi="Garamond"/>
          <w:sz w:val="22"/>
          <w:szCs w:val="22"/>
        </w:rPr>
        <w:t>Sr ratio from the freshwater natal portion of the otolith to modeled landscape values (Cite).</w:t>
      </w:r>
      <w:r w:rsidR="007C6AED" w:rsidRPr="00CA63D8">
        <w:rPr>
          <w:rFonts w:ascii="Garamond" w:hAnsi="Garamond"/>
          <w:sz w:val="22"/>
          <w:szCs w:val="22"/>
        </w:rPr>
        <w:t xml:space="preserve"> </w:t>
      </w:r>
      <w:r w:rsidR="00F64010" w:rsidRPr="00CA63D8">
        <w:rPr>
          <w:rFonts w:ascii="Garamond" w:hAnsi="Garamond"/>
          <w:sz w:val="22"/>
          <w:szCs w:val="22"/>
        </w:rPr>
        <w:t>However</w:t>
      </w:r>
      <w:r w:rsidR="0010010D" w:rsidRPr="00CA63D8">
        <w:rPr>
          <w:rFonts w:ascii="Garamond" w:hAnsi="Garamond"/>
          <w:sz w:val="22"/>
          <w:szCs w:val="22"/>
        </w:rPr>
        <w:t xml:space="preserve">, this method is limited by the level of isotopic heterogeneity relative to the spatial scale of interest </w:t>
      </w:r>
      <w:r w:rsidR="0010010D" w:rsidRPr="00CA63D8">
        <w:rPr>
          <w:rFonts w:ascii="Garamond" w:hAnsi="Garamond"/>
          <w:sz w:val="22"/>
          <w:szCs w:val="22"/>
        </w:rPr>
        <w:fldChar w:fldCharType="begin"/>
      </w:r>
      <w:r w:rsidR="0010010D" w:rsidRPr="00CA63D8">
        <w:rPr>
          <w:rFonts w:ascii="Garamond" w:hAnsi="Garamond"/>
          <w:sz w:val="22"/>
          <w:szCs w:val="22"/>
        </w:rPr>
        <w:instrText xml:space="preserve"> ADDIN ZOTERO_ITEM CSL_CITATION {"citationID":"W3sRlFul","properties":{"formattedCitation":"(Makhlouf et al., 2025)","plainCitation":"(Makhlouf et al., 2025)","noteIndex":0},"citationItems":[{"id":5397,"uris":["http://zotero.org/users/8421274/items/WRVF2L9N"],"itemData":{"id":5397,"type":"article-journal","abstract":"Understanding the spatial ecology of migratory species is uniquely challenging using conventional approaches. In fisheries such as for Pacific salmon, genetic stock identification (GSI) and isotope-based methods have emerged as strategies for reconstructing spatial ecology but are limited by the spatial resolution of genetic differentiation and isotopic heterogeneity. We show that integrating these complementary datasets improve the spatial resolution of provenance assignments. To do so, we reconstructed basin-wide estimates of natal origin locations for Chinook salmon in the Yukon River using samples (n = 247) from an experimental fishery designed to assess in-season run timing. A combined framework improved precision of likely provenance assignments (stream km &gt; 0.7 posterior probability) by 92% over genetic assignments and 52% over strontium isotope methods. In doing so, we illustrate watershed scale estimates of natal origin distributions with a greater resolution available from GSI or isotope data alone.","container-title":"Limnology and Oceanography Letters","DOI":"10.1002/lol2.70025","ISSN":"2378-2242","issue":"n/a","language":"en","license":"© 2025 The Author(s). Limnology and Oceanography Letters published by Wiley Periodicals LLC on behalf of Association for the Sciences of Limnology and Oceanography.","note":"_eprint: https://onlinelibrary.wiley.com/doi/pdf/10.1002/lol2.70025","source":"Wiley Online Library","title":"Combining genetic and isotope frameworks improves reconstruction of fish provenance across riverscapes","URL":"https://onlinelibrary.wiley.com/doi/abs/10.1002/lol2.70025","volume":"n/a","author":[{"family":"Makhlouf","given":"Ben"},{"family":"Cline","given":"Timothy J."},{"family":"Fernandez","given":"Diego"},{"family":"Seeb","given":"Lisa"},{"family":"Lee","given":"Elizabeth"},{"family":"Gilk-Baumer","given":"Sara"},{"family":"Whited","given":"Diane"},{"family":"Zimmerman","given":"Christian E."},{"family":"Schindler","given":"Daniel E."}],"accessed":{"date-parts":[["2025",6,4]]},"issued":{"date-parts":[["2025"]]}}}],"schema":"https://github.com/citation-style-language/schema/raw/master/csl-citation.json"} </w:instrText>
      </w:r>
      <w:r w:rsidR="0010010D" w:rsidRPr="00CA63D8">
        <w:rPr>
          <w:rFonts w:ascii="Garamond" w:hAnsi="Garamond"/>
          <w:sz w:val="22"/>
          <w:szCs w:val="22"/>
        </w:rPr>
        <w:fldChar w:fldCharType="separate"/>
      </w:r>
      <w:r w:rsidR="0010010D" w:rsidRPr="00CA63D8">
        <w:rPr>
          <w:rFonts w:ascii="Garamond" w:hAnsi="Garamond"/>
          <w:noProof/>
          <w:sz w:val="22"/>
          <w:szCs w:val="22"/>
        </w:rPr>
        <w:t>(Makhlouf et al., 2025)</w:t>
      </w:r>
      <w:r w:rsidR="0010010D" w:rsidRPr="00CA63D8">
        <w:rPr>
          <w:rFonts w:ascii="Garamond" w:hAnsi="Garamond"/>
          <w:sz w:val="22"/>
          <w:szCs w:val="22"/>
        </w:rPr>
        <w:fldChar w:fldCharType="end"/>
      </w:r>
      <w:r w:rsidR="0010010D" w:rsidRPr="00CA63D8">
        <w:rPr>
          <w:rFonts w:ascii="Garamond" w:hAnsi="Garamond"/>
          <w:sz w:val="22"/>
          <w:szCs w:val="22"/>
        </w:rPr>
        <w:t xml:space="preserve">. While </w:t>
      </w:r>
      <w:r w:rsidR="00443259" w:rsidRPr="00CA63D8">
        <w:rPr>
          <w:rFonts w:ascii="Garamond" w:hAnsi="Garamond"/>
          <w:sz w:val="22"/>
          <w:szCs w:val="22"/>
        </w:rPr>
        <w:t xml:space="preserve">reliable </w:t>
      </w:r>
      <w:r w:rsidR="0010010D" w:rsidRPr="00CA63D8">
        <w:rPr>
          <w:rFonts w:ascii="Garamond" w:hAnsi="Garamond"/>
          <w:sz w:val="22"/>
          <w:szCs w:val="22"/>
        </w:rPr>
        <w:t>within-</w:t>
      </w:r>
      <w:r w:rsidR="00443259" w:rsidRPr="00CA63D8">
        <w:rPr>
          <w:rFonts w:ascii="Garamond" w:hAnsi="Garamond"/>
          <w:sz w:val="22"/>
          <w:szCs w:val="22"/>
        </w:rPr>
        <w:t>river</w:t>
      </w:r>
      <w:r w:rsidR="0010010D" w:rsidRPr="00CA63D8">
        <w:rPr>
          <w:rFonts w:ascii="Garamond" w:hAnsi="Garamond"/>
          <w:sz w:val="22"/>
          <w:szCs w:val="22"/>
        </w:rPr>
        <w:t xml:space="preserve"> </w:t>
      </w:r>
      <w:r w:rsidR="00443259" w:rsidRPr="00CA63D8">
        <w:rPr>
          <w:rFonts w:ascii="Garamond" w:hAnsi="Garamond"/>
          <w:sz w:val="22"/>
          <w:szCs w:val="22"/>
        </w:rPr>
        <w:t xml:space="preserve">estimates of </w:t>
      </w:r>
      <w:r w:rsidR="0010010D" w:rsidRPr="00CA63D8">
        <w:rPr>
          <w:rFonts w:ascii="Garamond" w:hAnsi="Garamond"/>
          <w:sz w:val="22"/>
          <w:szCs w:val="22"/>
        </w:rPr>
        <w:t xml:space="preserve">provenance </w:t>
      </w:r>
      <w:r w:rsidR="00443259" w:rsidRPr="00CA63D8">
        <w:rPr>
          <w:rFonts w:ascii="Garamond" w:hAnsi="Garamond"/>
          <w:sz w:val="22"/>
          <w:szCs w:val="22"/>
        </w:rPr>
        <w:t>are</w:t>
      </w:r>
      <w:r w:rsidR="0010010D" w:rsidRPr="00CA63D8">
        <w:rPr>
          <w:rFonts w:ascii="Garamond" w:hAnsi="Garamond"/>
          <w:sz w:val="22"/>
          <w:szCs w:val="22"/>
        </w:rPr>
        <w:t xml:space="preserve"> possible in Western Alaska, regional overlap</w:t>
      </w:r>
      <w:r w:rsidR="00CA63D8" w:rsidRPr="00CA63D8">
        <w:rPr>
          <w:rFonts w:ascii="Garamond" w:hAnsi="Garamond"/>
          <w:sz w:val="22"/>
          <w:szCs w:val="22"/>
        </w:rPr>
        <w:t xml:space="preserve"> in </w:t>
      </w:r>
      <w:r w:rsidR="00CA63D8" w:rsidRPr="00CA63D8">
        <w:rPr>
          <w:rFonts w:ascii="Cambria Math" w:hAnsi="Cambria Math" w:cs="Cambria Math"/>
          <w:sz w:val="22"/>
          <w:szCs w:val="22"/>
        </w:rPr>
        <w:t>⁸⁷</w:t>
      </w:r>
      <w:r w:rsidR="00CA63D8" w:rsidRPr="00CA63D8">
        <w:rPr>
          <w:rFonts w:ascii="Garamond" w:hAnsi="Garamond"/>
          <w:sz w:val="22"/>
          <w:szCs w:val="22"/>
        </w:rPr>
        <w:t>Sr/</w:t>
      </w:r>
      <w:r w:rsidR="00CA63D8" w:rsidRPr="00CA63D8">
        <w:rPr>
          <w:rFonts w:ascii="Cambria Math" w:hAnsi="Cambria Math" w:cs="Cambria Math"/>
          <w:sz w:val="22"/>
          <w:szCs w:val="22"/>
        </w:rPr>
        <w:t>⁸⁶</w:t>
      </w:r>
      <w:r w:rsidR="00CA63D8" w:rsidRPr="00CA63D8">
        <w:rPr>
          <w:rFonts w:ascii="Garamond" w:hAnsi="Garamond"/>
          <w:sz w:val="22"/>
          <w:szCs w:val="22"/>
        </w:rPr>
        <w:t>Sr</w:t>
      </w:r>
      <w:r w:rsidR="00CA63D8" w:rsidRPr="00CA63D8">
        <w:rPr>
          <w:rFonts w:ascii="Garamond" w:hAnsi="Garamond"/>
          <w:sz w:val="22"/>
          <w:szCs w:val="22"/>
        </w:rPr>
        <w:t xml:space="preserve"> ratios</w:t>
      </w:r>
      <w:r w:rsidR="0010010D" w:rsidRPr="00CA63D8">
        <w:rPr>
          <w:rFonts w:ascii="Garamond" w:hAnsi="Garamond"/>
          <w:sz w:val="22"/>
          <w:szCs w:val="22"/>
        </w:rPr>
        <w:t xml:space="preserve"> among </w:t>
      </w:r>
      <w:r w:rsidR="00CA63D8" w:rsidRPr="00CA63D8">
        <w:rPr>
          <w:rFonts w:ascii="Garamond" w:hAnsi="Garamond"/>
          <w:sz w:val="22"/>
          <w:szCs w:val="22"/>
        </w:rPr>
        <w:t xml:space="preserve">all three river systems </w:t>
      </w:r>
      <w:r w:rsidR="0010010D" w:rsidRPr="00CA63D8">
        <w:rPr>
          <w:rFonts w:ascii="Garamond" w:hAnsi="Garamond"/>
          <w:sz w:val="22"/>
          <w:szCs w:val="22"/>
        </w:rPr>
        <w:t>prevent</w:t>
      </w:r>
      <w:r w:rsidR="007C6AED" w:rsidRPr="00CA63D8">
        <w:rPr>
          <w:rFonts w:ascii="Garamond" w:hAnsi="Garamond"/>
          <w:sz w:val="22"/>
          <w:szCs w:val="22"/>
        </w:rPr>
        <w:t>s</w:t>
      </w:r>
      <w:r w:rsidR="0010010D" w:rsidRPr="00CA63D8">
        <w:rPr>
          <w:rFonts w:ascii="Garamond" w:hAnsi="Garamond"/>
          <w:sz w:val="22"/>
          <w:szCs w:val="22"/>
        </w:rPr>
        <w:t xml:space="preserve"> reliable assignments </w:t>
      </w:r>
      <w:r w:rsidR="007C6AED" w:rsidRPr="00CA63D8">
        <w:rPr>
          <w:rFonts w:ascii="Garamond" w:hAnsi="Garamond"/>
          <w:sz w:val="22"/>
          <w:szCs w:val="22"/>
        </w:rPr>
        <w:t xml:space="preserve">using the </w:t>
      </w:r>
      <w:r w:rsidR="0010010D" w:rsidRPr="00CA63D8">
        <w:rPr>
          <w:rFonts w:ascii="Garamond" w:hAnsi="Garamond"/>
          <w:sz w:val="22"/>
          <w:szCs w:val="22"/>
        </w:rPr>
        <w:t>natal</w:t>
      </w:r>
      <w:r w:rsidR="007C6AED" w:rsidRPr="00CA63D8">
        <w:rPr>
          <w:rFonts w:ascii="Garamond" w:hAnsi="Garamond"/>
          <w:sz w:val="22"/>
          <w:szCs w:val="22"/>
        </w:rPr>
        <w:t xml:space="preserve"> freshwater</w:t>
      </w:r>
      <w:r w:rsidR="0010010D" w:rsidRPr="00CA63D8">
        <w:rPr>
          <w:rFonts w:ascii="Garamond" w:hAnsi="Garamond"/>
          <w:sz w:val="22"/>
          <w:szCs w:val="22"/>
        </w:rPr>
        <w:t xml:space="preserve"> </w:t>
      </w:r>
      <w:r w:rsidR="007C6AED" w:rsidRPr="00CA63D8">
        <w:rPr>
          <w:rFonts w:ascii="Garamond" w:hAnsi="Garamond"/>
          <w:sz w:val="22"/>
          <w:szCs w:val="22"/>
        </w:rPr>
        <w:t>ratio</w:t>
      </w:r>
      <w:r w:rsidR="00CA63D8" w:rsidRPr="00CA63D8">
        <w:rPr>
          <w:rFonts w:ascii="Garamond" w:hAnsi="Garamond"/>
          <w:sz w:val="22"/>
          <w:szCs w:val="22"/>
        </w:rPr>
        <w:t xml:space="preserve"> for marine-caught fish which could have originated from any of the three watersheds</w:t>
      </w:r>
      <w:r w:rsidR="0010010D" w:rsidRPr="00CA63D8">
        <w:rPr>
          <w:rFonts w:ascii="Garamond" w:hAnsi="Garamond"/>
          <w:sz w:val="22"/>
          <w:szCs w:val="22"/>
        </w:rPr>
        <w:t xml:space="preserve"> (Figure 1).</w:t>
      </w:r>
    </w:p>
    <w:p w14:paraId="1D808454" w14:textId="6BF93109" w:rsidR="00CA63D8" w:rsidRPr="00CA63D8" w:rsidRDefault="00CA63D8" w:rsidP="00CA63D8">
      <w:pPr>
        <w:spacing w:line="480" w:lineRule="auto"/>
        <w:ind w:firstLine="720"/>
        <w:rPr>
          <w:rFonts w:ascii="Garamond" w:hAnsi="Garamond"/>
          <w:sz w:val="22"/>
          <w:szCs w:val="22"/>
        </w:rPr>
      </w:pPr>
      <w:r w:rsidRPr="00CA63D8">
        <w:rPr>
          <w:rFonts w:ascii="Garamond" w:hAnsi="Garamond"/>
          <w:sz w:val="22"/>
          <w:szCs w:val="22"/>
        </w:rPr>
        <w:t xml:space="preserve">Otolith growth and isotopic incorporation occur continuously over an individual’s lifetime, producing a </w:t>
      </w:r>
      <w:r w:rsidRPr="00CA63D8">
        <w:rPr>
          <w:rFonts w:ascii="Cambria Math" w:hAnsi="Cambria Math" w:cs="Cambria Math"/>
          <w:sz w:val="22"/>
          <w:szCs w:val="22"/>
        </w:rPr>
        <w:t>⁸⁷</w:t>
      </w:r>
      <w:r w:rsidRPr="00CA63D8">
        <w:rPr>
          <w:rFonts w:ascii="Garamond" w:hAnsi="Garamond"/>
          <w:sz w:val="22"/>
          <w:szCs w:val="22"/>
        </w:rPr>
        <w:t>Sr/</w:t>
      </w:r>
      <w:r w:rsidRPr="00CA63D8">
        <w:rPr>
          <w:rFonts w:ascii="Cambria Math" w:hAnsi="Cambria Math" w:cs="Cambria Math"/>
          <w:sz w:val="22"/>
          <w:szCs w:val="22"/>
        </w:rPr>
        <w:t>⁸⁶</w:t>
      </w:r>
      <w:r w:rsidRPr="00CA63D8">
        <w:rPr>
          <w:rFonts w:ascii="Garamond" w:hAnsi="Garamond"/>
          <w:sz w:val="22"/>
          <w:szCs w:val="22"/>
        </w:rPr>
        <w:t>Sr time series along the growth axis that encodes sequential habitat use, relative growth, and maternal migration history</w:t>
      </w:r>
      <w:r w:rsidRPr="00CA63D8">
        <w:rPr>
          <w:rFonts w:ascii="Garamond" w:hAnsi="Garamond"/>
          <w:sz w:val="22"/>
          <w:szCs w:val="22"/>
        </w:rPr>
        <w:t xml:space="preserve"> </w:t>
      </w:r>
      <w:r w:rsidR="00F64010" w:rsidRPr="00CA63D8">
        <w:rPr>
          <w:rFonts w:ascii="Garamond" w:hAnsi="Garamond"/>
          <w:sz w:val="22"/>
          <w:szCs w:val="22"/>
        </w:rPr>
        <w:fldChar w:fldCharType="begin"/>
      </w:r>
      <w:r w:rsidR="00F64010" w:rsidRPr="00CA63D8">
        <w:rPr>
          <w:rFonts w:ascii="Garamond" w:hAnsi="Garamond"/>
          <w:sz w:val="22"/>
          <w:szCs w:val="22"/>
        </w:rPr>
        <w:instrText xml:space="preserve"> ADDIN ZOTERO_ITEM CSL_CITATION {"citationID":"sawhq1ph","properties":{"formattedCitation":"(Hegg et al., 2019; Reis-Santos et al., 2022)","plainCitation":"(Hegg et al., 2019; Reis-Santos et al., 2022)","noteIndex":0},"citationItems":[{"id":3248,"uris":["http://zotero.org/users/8421274/items/FHA5HJVT"],"itemData":{"id":3248,"type":"article-journal","abstract":"Connecting maternal migratory behavior with the behavior and ecology of their progeny can reveal important details in the ecology of a population. One method for linking maternal migration to early juvenile life history is through maternal chemistry recorded in otoliths. Despite the wide use of maternal signatures to infer anadromy, the duration and dynamics of maternal otolith signatures are not well understood. Shifts in the elemental ratios and strontium isotope (87Sr/86Sr) chemistry in otoliths from juvenile Chinook salmon (Oncorhynchus tshawytscha) correlate with the timing of hatch and emergence, respectively, indicating a chemical marker of these ontological stages. Additionally, analysis of maternal signatures show that maternally derived 87Sr/86Sr may be influenced by equilibration of the mother to fresh water, and in some cases the 87Sr/86Sr signatures of the eggs can shift substantially after being laid. These results provide guidance in separating maternal and juvenile signatures as researchers increasingly target early juvenile otolith chemistry. These results also caution against the use of 87Sr/86Sr alone as a marker of anadromy in populations with major inland migrations.","container-title":"Canadian Journal of Fisheries and Aquatic Sciences","DOI":"10.1139/cjfas-2017-0341","ISSN":"0706-652X","issue":"1","journalAbbreviation":"Can. J. Fish. Aquat. Sci.","note":"publisher: NRC Research Press","page":"81-94","source":"cdnsciencepub.com (Atypon)","title":"What did you say about my mother? The complexities of maternally derived chemical signatures in otoliths","title-short":"What did you say about my mother?","volume":"76","author":[{"family":"Hegg","given":"Jens C."},{"family":"Kennedy","given":"Brian P."},{"family":"Chittaro","given":"Paul"}],"issued":{"date-parts":[["2019",1]]}}},{"id":2143,"uris":["http://zotero.org/users/8421274/items/H4CTDMKS"],"itemData":{"id":2143,"type":"article-journal","abstract":"Abstract\n            Chemical analysis of calcified structures continues to flourish, as analytical and technological advances enable researchers to tap into trace elements and isotopes taken up in otoliths and other archival tissues at ever greater resolution. Increasingly, these tracers are applied to refine age estimation and interpretation, and to chronicle responses to environmental stressors, linking these to ecological, physiological, and life-history processes. Here, we review emerging approaches and innovative research directions in otolith chemistry, as well as in the chemistry of other archival tissues, outlining their value for fisheries and ecosystem-based management, turning the spotlight on areas where such biomarkers can support decision making. We summarise recent milestones and the challenges that lie ahead to using otoliths and archival tissues as biomarkers, grouped into seven, rapidly expanding and application-oriented research areas that apply chemical analysis in a variety of contexts, namely: (1) supporting fish age estimation; (2) evaluating environmental stress, ecophysiology and individual performance; (3) confirming seafood provenance; (4) resolving connectivity and movement pathways; (5) characterising food webs and trophic interactions; (6) reconstructing reproductive life histories; and (7) tracing stock enhancement efforts. Emerging research directions that apply hard part chemistry to combat seafood fraud, quantify past food webs, as well as to reconcile growth, movement, thermal, metabolic, stress and reproductive life-histories provide opportunities to examine how harvesting and global change impact fish health and fisheries productivity. Ultimately, improved appreciation of the many practical benefits of archival tissue chemistry to fisheries and ecosystem-based management will support their increased implementation into routine monitoring.\n            \n              Graphical abstract","container-title":"Reviews in Fish Biology and Fisheries","DOI":"10.1007/s11160-022-09720-z","ISSN":"0960-3166, 1573-5184","journalAbbreviation":"Rev Fish Biol Fisheries","language":"en","source":"DOI.org (Crossref)","title":"Reading the biomineralized book of life: expanding otolith biogeochemical research and applications for fisheries and ecosystem-based management","title-short":"Reading the biomineralized book of life","URL":"https://link.springer.com/10.1007/s11160-022-09720-z","author":[{"family":"Reis-Santos","given":"Patrick"},{"family":"Gillanders","given":"Bronwyn M."},{"family":"Sturrock","given":"Anna M."},{"family":"Izzo","given":"Christopher"},{"family":"Oxman","given":"Dion S."},{"family":"Lueders-Dumont","given":"Jessica A."},{"family":"Hüssy","given":"Karin"},{"family":"Tanner","given":"Susanne E."},{"family":"Rogers","given":"Troy"},{"family":"Doubleday","given":"Zoë A."},{"family":"Andrews","given":"Allen H."},{"family":"Trueman","given":"Clive"},{"family":"Brophy","given":"Deirdre"},{"family":"Thiem","given":"Jason D."},{"family":"Baumgartner","given":"Lee J."},{"family":"Willmes","given":"Malte"},{"family":"Chung","given":"Ming-Tsung"},{"family":"Charapata","given":"Patrick"},{"family":"Johnson","given":"Rachel C."},{"family":"Trumble","given":"Stephen"},{"family":"Heimbrand","given":"Yvette"},{"family":"Limburg","given":"Karin E."},{"family":"Walther","given":"Benjamin D."}],"accessed":{"date-parts":[["2022",12,18]]},"issued":{"date-parts":[["2022",8,7]]}}}],"schema":"https://github.com/citation-style-language/schema/raw/master/csl-citation.json"} </w:instrText>
      </w:r>
      <w:r w:rsidR="00F64010" w:rsidRPr="00CA63D8">
        <w:rPr>
          <w:rFonts w:ascii="Garamond" w:hAnsi="Garamond"/>
          <w:sz w:val="22"/>
          <w:szCs w:val="22"/>
        </w:rPr>
        <w:fldChar w:fldCharType="separate"/>
      </w:r>
      <w:r w:rsidR="00F64010" w:rsidRPr="00CA63D8">
        <w:rPr>
          <w:rFonts w:ascii="Garamond" w:hAnsi="Garamond"/>
          <w:noProof/>
          <w:sz w:val="22"/>
          <w:szCs w:val="22"/>
        </w:rPr>
        <w:t>(Hegg et al., 2019; Reis-Santos et al., 2022)</w:t>
      </w:r>
      <w:r w:rsidR="00F64010" w:rsidRPr="00CA63D8">
        <w:rPr>
          <w:rFonts w:ascii="Garamond" w:hAnsi="Garamond"/>
          <w:sz w:val="22"/>
          <w:szCs w:val="22"/>
        </w:rPr>
        <w:fldChar w:fldCharType="end"/>
      </w:r>
      <w:r w:rsidR="00F64010" w:rsidRPr="00CA63D8">
        <w:rPr>
          <w:rFonts w:ascii="Garamond" w:hAnsi="Garamond"/>
          <w:sz w:val="22"/>
          <w:szCs w:val="22"/>
        </w:rPr>
        <w:t xml:space="preserve">. </w:t>
      </w:r>
      <w:r w:rsidR="00FC2E42" w:rsidRPr="00CA63D8">
        <w:rPr>
          <w:rFonts w:ascii="Garamond" w:hAnsi="Garamond"/>
          <w:sz w:val="22"/>
          <w:szCs w:val="22"/>
        </w:rPr>
        <w:t xml:space="preserve">These patterns can be useful for reconstructing life histories. However, </w:t>
      </w:r>
      <w:r w:rsidR="007F08A6" w:rsidRPr="00CA63D8">
        <w:rPr>
          <w:rFonts w:ascii="Garamond" w:hAnsi="Garamond"/>
          <w:sz w:val="22"/>
          <w:szCs w:val="22"/>
        </w:rPr>
        <w:t>rapid movements through multiple environments may prevent full isotopic equilibration</w:t>
      </w:r>
      <w:r w:rsidRPr="00CA63D8">
        <w:rPr>
          <w:rFonts w:ascii="Garamond" w:hAnsi="Garamond"/>
          <w:sz w:val="22"/>
          <w:szCs w:val="22"/>
        </w:rPr>
        <w:t xml:space="preserve"> and o</w:t>
      </w:r>
      <w:r w:rsidR="00FC2E42" w:rsidRPr="00CA63D8">
        <w:rPr>
          <w:rFonts w:ascii="Garamond" w:hAnsi="Garamond"/>
          <w:sz w:val="22"/>
          <w:szCs w:val="22"/>
        </w:rPr>
        <w:t xml:space="preserve">tolith </w:t>
      </w:r>
      <w:r w:rsidR="00FC2E42" w:rsidRPr="00CA63D8">
        <w:rPr>
          <w:rFonts w:ascii="Cambria Math" w:hAnsi="Cambria Math" w:cs="Cambria Math"/>
          <w:sz w:val="22"/>
          <w:szCs w:val="22"/>
        </w:rPr>
        <w:t>⁸⁷</w:t>
      </w:r>
      <w:r w:rsidR="00FC2E42" w:rsidRPr="00CA63D8">
        <w:rPr>
          <w:rFonts w:ascii="Garamond" w:hAnsi="Garamond"/>
          <w:sz w:val="22"/>
          <w:szCs w:val="22"/>
        </w:rPr>
        <w:t>Sr/</w:t>
      </w:r>
      <w:r w:rsidR="00FC2E42" w:rsidRPr="00CA63D8">
        <w:rPr>
          <w:rFonts w:ascii="Cambria Math" w:hAnsi="Cambria Math" w:cs="Cambria Math"/>
          <w:sz w:val="22"/>
          <w:szCs w:val="22"/>
        </w:rPr>
        <w:t>⁸⁶</w:t>
      </w:r>
      <w:r w:rsidR="00FC2E42" w:rsidRPr="00CA63D8">
        <w:rPr>
          <w:rFonts w:ascii="Garamond" w:hAnsi="Garamond"/>
          <w:sz w:val="22"/>
          <w:szCs w:val="22"/>
        </w:rPr>
        <w:t>Sr</w:t>
      </w:r>
      <w:r w:rsidR="00FC2E42" w:rsidRPr="00CA63D8">
        <w:rPr>
          <w:rFonts w:ascii="Garamond" w:hAnsi="Garamond"/>
          <w:sz w:val="22"/>
          <w:szCs w:val="22"/>
        </w:rPr>
        <w:t xml:space="preserve"> values</w:t>
      </w:r>
      <w:r w:rsidRPr="00CA63D8">
        <w:rPr>
          <w:rFonts w:ascii="Garamond" w:hAnsi="Garamond"/>
          <w:sz w:val="22"/>
          <w:szCs w:val="22"/>
        </w:rPr>
        <w:t xml:space="preserve"> may</w:t>
      </w:r>
      <w:r w:rsidR="00FC2E42" w:rsidRPr="00CA63D8">
        <w:rPr>
          <w:rFonts w:ascii="Garamond" w:hAnsi="Garamond"/>
          <w:sz w:val="22"/>
          <w:szCs w:val="22"/>
        </w:rPr>
        <w:t xml:space="preserve"> not directly reflect those of </w:t>
      </w:r>
      <w:r w:rsidRPr="00CA63D8">
        <w:rPr>
          <w:rFonts w:ascii="Garamond" w:hAnsi="Garamond"/>
          <w:sz w:val="22"/>
          <w:szCs w:val="22"/>
        </w:rPr>
        <w:t xml:space="preserve">each subsequent environment. </w:t>
      </w:r>
      <w:r w:rsidRPr="00CA63D8">
        <w:rPr>
          <w:rFonts w:ascii="Garamond" w:hAnsi="Garamond"/>
          <w:sz w:val="22"/>
          <w:szCs w:val="22"/>
        </w:rPr>
        <w:t>For Pacific salmon, which migrate quickly through sequential habitats to the ocean, otolith strontium data may contain subtle patterns that together form a “fingerprint” capable of identifying stocks or watersheds based on unique migration pathways.</w:t>
      </w:r>
      <w:r w:rsidRPr="00CA63D8">
        <w:rPr>
          <w:rFonts w:ascii="Garamond" w:hAnsi="Garamond"/>
          <w:sz w:val="22"/>
          <w:szCs w:val="22"/>
        </w:rPr>
        <w:t xml:space="preserve"> However</w:t>
      </w:r>
      <w:r w:rsidRPr="00CA63D8">
        <w:rPr>
          <w:rFonts w:ascii="Garamond" w:hAnsi="Garamond"/>
          <w:sz w:val="22"/>
          <w:szCs w:val="22"/>
        </w:rPr>
        <w:t xml:space="preserve">, because these patterns are subtle and the number of possible combinations in large river basins is high, such identifiers are difficult to detect using traditional statistical or manual </w:t>
      </w:r>
      <w:proofErr w:type="spellStart"/>
      <w:r w:rsidRPr="00CA63D8">
        <w:rPr>
          <w:rFonts w:ascii="Garamond" w:hAnsi="Garamond"/>
          <w:sz w:val="22"/>
          <w:szCs w:val="22"/>
        </w:rPr>
        <w:t>methods.</w:t>
      </w:r>
      <w:proofErr w:type="spellEnd"/>
    </w:p>
    <w:p w14:paraId="5ED2AE5F" w14:textId="669FDA24" w:rsidR="00F6547F" w:rsidRPr="007C6AED" w:rsidRDefault="00F64010" w:rsidP="00CA63D8">
      <w:pPr>
        <w:spacing w:line="480" w:lineRule="auto"/>
        <w:ind w:firstLine="720"/>
        <w:rPr>
          <w:rFonts w:ascii="Garamond" w:hAnsi="Garamond"/>
          <w:sz w:val="22"/>
          <w:szCs w:val="22"/>
        </w:rPr>
      </w:pPr>
      <w:r w:rsidRPr="007C6AED">
        <w:rPr>
          <w:rFonts w:ascii="Garamond" w:hAnsi="Garamond"/>
          <w:sz w:val="22"/>
          <w:szCs w:val="22"/>
        </w:rPr>
        <w:lastRenderedPageBreak/>
        <w:t xml:space="preserve">Machine learning methods, which are particularly well-suited to interpreting complex, multidimensional patterns in datasets, have only recently been applied to otolith chemical analysis. However, their limited applications have shown promising performance relative to traditional techniques </w:t>
      </w:r>
      <w:r w:rsidRPr="007C6AED">
        <w:rPr>
          <w:rFonts w:ascii="Garamond" w:hAnsi="Garamond"/>
          <w:sz w:val="22"/>
          <w:szCs w:val="22"/>
        </w:rPr>
        <w:fldChar w:fldCharType="begin"/>
      </w:r>
      <w:r w:rsidRPr="007C6AED">
        <w:rPr>
          <w:rFonts w:ascii="Garamond" w:hAnsi="Garamond"/>
          <w:sz w:val="22"/>
          <w:szCs w:val="22"/>
        </w:rPr>
        <w:instrText xml:space="preserve"> ADDIN ZOTERO_ITEM CSL_CITATION {"citationID":"1IuZCv1i","properties":{"formattedCitation":"(Arai et al., 2023; Mercier et al., 2011)","plainCitation":"(Arai et al., 2023; Mercier et al., 2011)","noteIndex":0},"citationItems":[{"id":3479,"uris":["http://zotero.org/users/8421274/items/VU8S2486"],"itemData":{"id":3479,"type":"article-journal","abstract":"Stable isotopes are an important tool to uncover animal migration. Geographic natal assignments often require categorizing the spatial domain through a nominal approach, which can introduce bias given the continuous nature of these tracers. Stable isotopes predicted over a spatial gradient (i.e., isoscapes) allow a probabilistic and continuous assignment of origin across space, although applications to marine organisms remain limited. We present a new framework that integrates nominal and continuous assignment approaches by (1) developing a machine-learning multi-model ensemble classifier using Bayesian model averaging (nominal); and (2) integrating nominal predictions with continuous isoscapes to estimate the probability of origin across the spatial domain (continuous). We applied this integrated framework to predict the geographic origin of the Northwest Atlantic mackerel (Scomber scombrus), a migratory pelagic fish comprised of northern and southern components that have distinct spawning sites off Canada (northern contingent) and the US (southern contingent), and seasonally overlap in the US fished regions. The nominal approach based on otolith carbon and oxygen stable isotopes (δ13C/δ18O) yielded high contingent classification accuracy (84.9%). Contingent assignment of unknown-origin samples revealed prevalent, yet highly varied contingent mixing levels (12.5–83.7%) within the US waters over four decades (1975–2019). Nominal predictions were integrated into mackerel-specific otolith oxygen isoscapes developed independently for Canadian and US waters. The combined approach identified geographic nursery hotspots in known spawning sites, but also detected geographic shifts over multi-decadal time scales. This framework can be applied to other marine species to understand migration and connectivity at a high spatial resolution, relevant to management of unit stocks in fisheries and other conservation assessments.","container-title":"PLOS ONE","DOI":"10.1371/journal.pone.0285702","ISSN":"1932-6203","issue":"5","journalAbbreviation":"PLoS ONE","language":"en","page":"e0285702","source":"DOI.org (Crossref)","title":"Integrating machine learning with otolith isoscapes: Reconstructing connectivity of a marine fish over four decades","title-short":"Integrating machine learning with otolith isoscapes","volume":"18","author":[{"family":"Arai","given":"Kohma"},{"family":"Castonguay","given":"Martin"},{"family":"Lyubchich","given":"Vyacheslav"},{"family":"Secor","given":"David H."}],"editor":[{"family":"Medina Guerrero","given":"Antonio"}],"issued":{"date-parts":[["2023",5,31]]}}},{"id":1487,"uris":["http://zotero.org/users/8421274/items/WJY3XPAN"],"itemData":{"id":1487,"type":"article-journal","abstract":"Reliable assessment of fish origin is of critical importance for exploited species, since nursery areas must be identified and protected to maintain recruitment to the adult stock. During the last two decades, otolith chemical signatures (or “fingerprints”) have been increasingly used as tools to discriminate between coastal habitats. However, correct assessment of fish origin from otolith fingerprints depends on various environmental and methodological parameters, including the choice of the statistical method used to assign fish to unknown origin. Among the available methods of classification, Linear Discriminant Analysis (LDA) is the most frequently used, although it assumes data are multivariate normal with homogeneous within-group dispersions, conditions that are not always met by otolith chemical data, even after transformation. Other less constrained classification methods are available, but there is a current lack of comparative analysis in applications to otolith microchemistry. Here, we assessed stock identification accuracy for four classification methods (LDA, Quadratic Discriminant Analysis [QDA], Random Forests [RF], and Artificial Neural Networks [ANN]), through the use of three distinct data sets. In each case, all possible combinations of chemical elements were examined to identify the elements to be used for optimal accuracy in fish assignment to their actual origin. Our study shows that accuracy differs according to the model and the number of elements considered. Best combinations did not include all the elements measured, and it was not possible to define an ad hoc multielement combination for accurate site discrimination. Among all the models tested, RF and ANN performed best, especially for complex data sets (e.g., with numerous fish species and/or chemical elements involved). However, for these data, RF was less time-consuming and more interpretable than ANN, and far more efficient and less demanding in terms of assumptions than LDA or QDA. Therefore, when LDA and QDA assumptions cannot be reached, the use of machine learning methods, such as RF, should be preferred for stock assessment and nursery identification based on otolith microchemistry, especially when data set include multi-specific otolith signatures and/or many chemical elements.","container-title":"Ecological Applications","DOI":"10.1890/09-1887.1","ISSN":"1939-5582","issue":"4","language":"en","note":"_eprint: https://esajournals.onlinelibrary.wiley.com/doi/pdf/10.1890/09-1887.1","page":"1352-1364","source":"Wiley Online Library","title":"Selecting statistical models and variable combinations for optimal classification using otolith microchemistry","volume":"21","author":[{"family":"Mercier","given":"Lény"},{"family":"Darnaude","given":"Audrey M."},{"family":"Bruguier","given":"Olivier"},{"family":"Vasconcelos","given":"Rita P."},{"family":"Cabral","given":"Henrique N."},{"family":"Costa","given":"Maria J."},{"family":"Lara","given":"Monica"},{"family":"Jones","given":"David L."},{"family":"Mouillot","given":"David"}],"issued":{"date-parts":[["2011"]]}}}],"schema":"https://github.com/citation-style-language/schema/raw/master/csl-citation.json"} </w:instrText>
      </w:r>
      <w:r w:rsidRPr="007C6AED">
        <w:rPr>
          <w:rFonts w:ascii="Garamond" w:hAnsi="Garamond"/>
          <w:sz w:val="22"/>
          <w:szCs w:val="22"/>
        </w:rPr>
        <w:fldChar w:fldCharType="separate"/>
      </w:r>
      <w:r w:rsidRPr="007C6AED">
        <w:rPr>
          <w:rFonts w:ascii="Garamond" w:hAnsi="Garamond"/>
          <w:noProof/>
          <w:sz w:val="22"/>
          <w:szCs w:val="22"/>
        </w:rPr>
        <w:t>(Arai et al., 2023; Mercier et al., 2011)</w:t>
      </w:r>
      <w:r w:rsidRPr="007C6AED">
        <w:rPr>
          <w:rFonts w:ascii="Garamond" w:hAnsi="Garamond"/>
          <w:sz w:val="22"/>
          <w:szCs w:val="22"/>
        </w:rPr>
        <w:fldChar w:fldCharType="end"/>
      </w:r>
      <w:r w:rsidRPr="007C6AED">
        <w:rPr>
          <w:rFonts w:ascii="Garamond" w:hAnsi="Garamond"/>
          <w:sz w:val="22"/>
          <w:szCs w:val="22"/>
        </w:rPr>
        <w:t xml:space="preserve">. At the same time, there is growing recognition that collapsing continuous laser ablation (LA) data into single, discrete values results in the loss of potentially powerful information </w:t>
      </w:r>
      <w:r w:rsidRPr="007C6AED">
        <w:rPr>
          <w:rFonts w:ascii="Garamond" w:hAnsi="Garamond"/>
          <w:sz w:val="22"/>
          <w:szCs w:val="22"/>
        </w:rPr>
        <w:fldChar w:fldCharType="begin"/>
      </w:r>
      <w:r w:rsidRPr="007C6AED">
        <w:rPr>
          <w:rFonts w:ascii="Garamond" w:hAnsi="Garamond"/>
          <w:sz w:val="22"/>
          <w:szCs w:val="22"/>
        </w:rPr>
        <w:instrText xml:space="preserve"> ADDIN ZOTERO_ITEM CSL_CITATION {"citationID":"MNuLFNnB","properties":{"formattedCitation":"(Hegg &amp; Kennedy, 2021)","plainCitation":"(Hegg &amp; Kennedy, 2021)","noteIndex":0},"citationItems":[{"id":4390,"uris":["http://zotero.org/users/8421274/items/BD9UPNI2"],"itemData":{"id":4390,"type":"article-journal","abstract":"Ecological patterns are often fundamentally chronological. However, generalization of data is necessarily accompanied by a loss of detail or resolution. Temporal data in particular contain information not only in data values but in the temporal structure, which is lost when these values are aggregated to provide point estimates. Dynamic time warping (DTW) is a time series comparison method that is capable of efficiently comparing series despite temporal offsets that confound other methods. The DTW method is both efficient and remarkably flexible, capable of efficiently matching not only time series but also any sequentially structured data set, which has made it a popular technique in machine learning, artificial intelligence, and big data analytical tasks. DTW is rarely used in ecology despite the ubiquity of temporally structured data. As technological advances have increased the richness of small-scale ecological data, DTW may be an attractive analysis technique because it is able to utilize the additional information contained in the temporal structure of many ecological data sets. In this study, we use an example data set of high-resolution fish movement records obtained from otolith microchemistry to compare traditional analysis techniques with DTW clustering. Our results suggest that DTW is capable of detecting subtle behavioral patterns within otolith data sets which traditional data aggregation techniques cannot. These results provide evidence that the DTW method may be useful across many of the temporal data types commonly collected in ecology, as well other sequentially ordered “pseudo time series” data such as classification of species by shape.","container-title":"Ecosphere","DOI":"10.1002/ecs2.3742","ISSN":"2150-8925","issue":"9","language":"en","note":"_eprint: https://esajournals.onlinelibrary.wiley.com/doi/pdf/10.1002/ecs2.3742","page":"e03742","source":"Wiley Online Library","title":"Let's do the time warp again: non-linear time series matching as a tool for sequentially structured data in ecology","title-short":"Let's do the time warp again","volume":"12","author":[{"family":"Hegg","given":"Jens C."},{"family":"Kennedy","given":"Brian P."}],"issued":{"date-parts":[["2021"]]}}}],"schema":"https://github.com/citation-style-language/schema/raw/master/csl-citation.json"} </w:instrText>
      </w:r>
      <w:r w:rsidRPr="007C6AED">
        <w:rPr>
          <w:rFonts w:ascii="Garamond" w:hAnsi="Garamond"/>
          <w:sz w:val="22"/>
          <w:szCs w:val="22"/>
        </w:rPr>
        <w:fldChar w:fldCharType="separate"/>
      </w:r>
      <w:r w:rsidRPr="007C6AED">
        <w:rPr>
          <w:rFonts w:ascii="Garamond" w:hAnsi="Garamond"/>
          <w:noProof/>
          <w:sz w:val="22"/>
          <w:szCs w:val="22"/>
        </w:rPr>
        <w:t>(Hegg &amp; Kennedy, 2021)</w:t>
      </w:r>
      <w:r w:rsidRPr="007C6AED">
        <w:rPr>
          <w:rFonts w:ascii="Garamond" w:hAnsi="Garamond"/>
          <w:sz w:val="22"/>
          <w:szCs w:val="22"/>
        </w:rPr>
        <w:fldChar w:fldCharType="end"/>
      </w:r>
      <w:r w:rsidRPr="007C6AED">
        <w:rPr>
          <w:rFonts w:ascii="Garamond" w:hAnsi="Garamond"/>
          <w:sz w:val="22"/>
          <w:szCs w:val="22"/>
        </w:rPr>
        <w:t xml:space="preserve">. Leveraging the statistical power of machine learning on sequentially ordered otolith time-series data may enable the detection of otherwise indiscernible patterns within and across LA datasets, potentially revealing key life history traits and providing novel insights into ecological processes across space and time. Here, we apply machine learning classification algorithms to </w:t>
      </w:r>
      <w:r w:rsidR="002C12CC">
        <w:rPr>
          <w:rFonts w:ascii="Garamond" w:hAnsi="Garamond"/>
          <w:sz w:val="22"/>
          <w:szCs w:val="22"/>
        </w:rPr>
        <w:t xml:space="preserve">a large dataset of </w:t>
      </w:r>
      <w:r w:rsidRPr="007C6AED">
        <w:rPr>
          <w:rFonts w:ascii="Garamond" w:hAnsi="Garamond"/>
          <w:sz w:val="22"/>
          <w:szCs w:val="22"/>
        </w:rPr>
        <w:t>otolith LA data from Chinook salmon in Western Alaska</w:t>
      </w:r>
      <w:r w:rsidR="002C12CC">
        <w:rPr>
          <w:rFonts w:ascii="Garamond" w:hAnsi="Garamond"/>
          <w:sz w:val="22"/>
          <w:szCs w:val="22"/>
        </w:rPr>
        <w:t xml:space="preserve"> with a known river of origin. In doing so, we </w:t>
      </w:r>
      <w:r w:rsidRPr="007C6AED">
        <w:rPr>
          <w:rFonts w:ascii="Garamond" w:hAnsi="Garamond"/>
          <w:sz w:val="22"/>
          <w:szCs w:val="22"/>
        </w:rPr>
        <w:t>test the potential of machine learning methods to uncover watershed specific characteristics to discriminate among watersheds of origin and develop a model to reliably estimate river of origin for marine-caught Chinook salmon in western Alaska.</w:t>
      </w:r>
    </w:p>
    <w:p w14:paraId="4DF590D1" w14:textId="77777777" w:rsidR="0051389E" w:rsidRDefault="0051389E" w:rsidP="00386D82">
      <w:pPr>
        <w:rPr>
          <w:rFonts w:ascii="Garamond" w:hAnsi="Garamond"/>
          <w:b/>
          <w:bCs/>
          <w:sz w:val="32"/>
          <w:szCs w:val="32"/>
          <w:u w:val="single"/>
        </w:rPr>
      </w:pPr>
    </w:p>
    <w:p w14:paraId="19244EF8" w14:textId="5F1F470C" w:rsidR="00386D82" w:rsidRPr="00CA63D8" w:rsidRDefault="003E5607" w:rsidP="00386D82">
      <w:pPr>
        <w:rPr>
          <w:rFonts w:ascii="Garamond" w:hAnsi="Garamond"/>
          <w:b/>
          <w:bCs/>
          <w:sz w:val="32"/>
          <w:szCs w:val="32"/>
        </w:rPr>
      </w:pPr>
      <w:r w:rsidRPr="00CA63D8">
        <w:rPr>
          <w:rFonts w:ascii="Garamond" w:hAnsi="Garamond"/>
          <w:b/>
          <w:bCs/>
          <w:sz w:val="32"/>
          <w:szCs w:val="32"/>
        </w:rPr>
        <w:t xml:space="preserve">Methods </w:t>
      </w:r>
    </w:p>
    <w:p w14:paraId="4EF899FE" w14:textId="77777777" w:rsidR="00CA63D8" w:rsidRDefault="00CA63D8" w:rsidP="0075722E">
      <w:pPr>
        <w:spacing w:line="480" w:lineRule="auto"/>
        <w:rPr>
          <w:rFonts w:ascii="Garamond" w:hAnsi="Garamond"/>
          <w:b/>
          <w:bCs/>
          <w:sz w:val="22"/>
          <w:szCs w:val="22"/>
          <w:u w:val="single"/>
        </w:rPr>
      </w:pPr>
    </w:p>
    <w:p w14:paraId="1B4EA7C8" w14:textId="444428E3" w:rsidR="0075722E" w:rsidRPr="00CA63D8" w:rsidRDefault="0075722E" w:rsidP="0075722E">
      <w:pPr>
        <w:spacing w:line="480" w:lineRule="auto"/>
        <w:rPr>
          <w:rFonts w:ascii="Garamond" w:hAnsi="Garamond"/>
          <w:b/>
          <w:bCs/>
          <w:sz w:val="22"/>
          <w:szCs w:val="22"/>
        </w:rPr>
      </w:pPr>
      <w:r w:rsidRPr="00CA63D8">
        <w:rPr>
          <w:rFonts w:ascii="Garamond" w:hAnsi="Garamond"/>
          <w:b/>
          <w:bCs/>
          <w:sz w:val="22"/>
          <w:szCs w:val="22"/>
        </w:rPr>
        <w:t>Otolith</w:t>
      </w:r>
      <w:r w:rsidR="0051389E" w:rsidRPr="00CA63D8">
        <w:rPr>
          <w:rFonts w:ascii="Garamond" w:hAnsi="Garamond"/>
          <w:b/>
          <w:bCs/>
          <w:sz w:val="22"/>
          <w:szCs w:val="22"/>
        </w:rPr>
        <w:t xml:space="preserve"> Data</w:t>
      </w:r>
      <w:r w:rsidR="00CA63D8">
        <w:rPr>
          <w:rFonts w:ascii="Garamond" w:hAnsi="Garamond"/>
          <w:b/>
          <w:bCs/>
          <w:sz w:val="22"/>
          <w:szCs w:val="22"/>
        </w:rPr>
        <w:t xml:space="preserve">: </w:t>
      </w:r>
    </w:p>
    <w:p w14:paraId="5A85303E" w14:textId="3E4EFCB6" w:rsidR="0075722E" w:rsidRPr="00DF1513" w:rsidRDefault="00E46DD7" w:rsidP="00CE7F91">
      <w:pPr>
        <w:spacing w:line="480" w:lineRule="auto"/>
        <w:ind w:firstLine="720"/>
        <w:rPr>
          <w:rFonts w:ascii="Garamond" w:hAnsi="Garamond"/>
          <w:sz w:val="22"/>
          <w:szCs w:val="22"/>
        </w:rPr>
      </w:pPr>
      <w:r w:rsidRPr="00CE7F91">
        <w:rPr>
          <w:rFonts w:ascii="Garamond" w:hAnsi="Garamond"/>
          <w:sz w:val="22"/>
          <w:szCs w:val="22"/>
        </w:rPr>
        <w:t xml:space="preserve">Chinook salmon otoliths were collected from the Yukon (2015, 2016, 2019–2021), Kuskokwim (2017–2022), and </w:t>
      </w:r>
      <w:proofErr w:type="spellStart"/>
      <w:r w:rsidRPr="00CE7F91">
        <w:rPr>
          <w:rFonts w:ascii="Garamond" w:hAnsi="Garamond"/>
          <w:sz w:val="22"/>
          <w:szCs w:val="22"/>
        </w:rPr>
        <w:t>Nushagak</w:t>
      </w:r>
      <w:proofErr w:type="spellEnd"/>
      <w:r w:rsidRPr="00CE7F91">
        <w:rPr>
          <w:rFonts w:ascii="Garamond" w:hAnsi="Garamond"/>
          <w:sz w:val="22"/>
          <w:szCs w:val="22"/>
        </w:rPr>
        <w:t xml:space="preserve"> (2011, 2014, 2015) river basins at</w:t>
      </w:r>
      <w:r w:rsidR="00DF1513" w:rsidRPr="00CE7F91">
        <w:rPr>
          <w:rFonts w:ascii="Garamond" w:hAnsi="Garamond"/>
          <w:sz w:val="22"/>
          <w:szCs w:val="22"/>
        </w:rPr>
        <w:t xml:space="preserve"> test fisheries near the downstream terminus of each river</w:t>
      </w:r>
      <w:r w:rsidR="002A47CE">
        <w:rPr>
          <w:rFonts w:ascii="Garamond" w:hAnsi="Garamond"/>
          <w:sz w:val="22"/>
          <w:szCs w:val="22"/>
        </w:rPr>
        <w:t xml:space="preserve"> (Figure 1). </w:t>
      </w:r>
      <w:r w:rsidR="0075722E" w:rsidRPr="00CE7F91">
        <w:rPr>
          <w:rFonts w:ascii="Garamond" w:hAnsi="Garamond"/>
          <w:sz w:val="22"/>
          <w:szCs w:val="22"/>
        </w:rPr>
        <w:t xml:space="preserve">Fish were sampled through collaborative efforts </w:t>
      </w:r>
      <w:r w:rsidR="00DF1513" w:rsidRPr="00CE7F91">
        <w:rPr>
          <w:rFonts w:ascii="Garamond" w:hAnsi="Garamond"/>
          <w:sz w:val="22"/>
          <w:szCs w:val="22"/>
        </w:rPr>
        <w:t xml:space="preserve">with the Alaska Department of Fish and Game Lower Yukon Test Fishery (LYTF), </w:t>
      </w:r>
      <w:proofErr w:type="spellStart"/>
      <w:r w:rsidR="00DF1513" w:rsidRPr="00CE7F91">
        <w:rPr>
          <w:rFonts w:ascii="Garamond" w:hAnsi="Garamond"/>
          <w:sz w:val="22"/>
          <w:szCs w:val="22"/>
        </w:rPr>
        <w:t>Orutsararmiut</w:t>
      </w:r>
      <w:proofErr w:type="spellEnd"/>
      <w:r w:rsidR="00DF1513" w:rsidRPr="00CE7F91">
        <w:rPr>
          <w:rFonts w:ascii="Garamond" w:hAnsi="Garamond"/>
          <w:sz w:val="22"/>
          <w:szCs w:val="22"/>
        </w:rPr>
        <w:t xml:space="preserve"> Native Council at the Bethel Test Fishery, and </w:t>
      </w:r>
      <w:r w:rsidR="002A47CE" w:rsidRPr="002A47CE">
        <w:rPr>
          <w:rFonts w:ascii="Garamond" w:hAnsi="Garamond"/>
          <w:sz w:val="22"/>
          <w:szCs w:val="22"/>
          <w:highlight w:val="yellow"/>
        </w:rPr>
        <w:t>* insert sampling location for Nush*.</w:t>
      </w:r>
      <w:r w:rsidR="002A47CE">
        <w:rPr>
          <w:rFonts w:ascii="Garamond" w:hAnsi="Garamond"/>
          <w:sz w:val="22"/>
          <w:szCs w:val="22"/>
        </w:rPr>
        <w:t xml:space="preserve"> </w:t>
      </w:r>
      <w:r w:rsidR="00DF1513" w:rsidRPr="00CE7F91">
        <w:rPr>
          <w:rFonts w:ascii="Garamond" w:hAnsi="Garamond"/>
          <w:sz w:val="22"/>
          <w:szCs w:val="22"/>
        </w:rPr>
        <w:t xml:space="preserve">For each year approximately 500 otoliths were collected throughout the season. From these, </w:t>
      </w:r>
      <w:r w:rsidR="0075722E" w:rsidRPr="00CE7F91">
        <w:rPr>
          <w:rFonts w:ascii="Garamond" w:hAnsi="Garamond"/>
          <w:sz w:val="22"/>
          <w:szCs w:val="22"/>
        </w:rPr>
        <w:t>~250 otoliths from each year were selected for further analysis. Selected samples were cut along the transverse plane</w:t>
      </w:r>
      <w:r w:rsidR="00DF1513" w:rsidRPr="00CE7F91">
        <w:rPr>
          <w:rFonts w:ascii="Garamond" w:hAnsi="Garamond"/>
          <w:sz w:val="22"/>
          <w:szCs w:val="22"/>
        </w:rPr>
        <w:t xml:space="preserve"> using a low speed</w:t>
      </w:r>
      <w:r w:rsidR="0075722E" w:rsidRPr="00CE7F91">
        <w:rPr>
          <w:rFonts w:ascii="Garamond" w:hAnsi="Garamond"/>
          <w:sz w:val="22"/>
          <w:szCs w:val="22"/>
        </w:rPr>
        <w:t xml:space="preserve"> </w:t>
      </w:r>
      <w:proofErr w:type="spellStart"/>
      <w:r w:rsidR="0075722E" w:rsidRPr="00CE7F91">
        <w:rPr>
          <w:rFonts w:ascii="Garamond" w:hAnsi="Garamond"/>
          <w:sz w:val="22"/>
          <w:szCs w:val="22"/>
        </w:rPr>
        <w:t>isomet</w:t>
      </w:r>
      <w:proofErr w:type="spellEnd"/>
      <w:r w:rsidR="0075722E" w:rsidRPr="00CE7F91">
        <w:rPr>
          <w:rFonts w:ascii="Garamond" w:hAnsi="Garamond"/>
          <w:sz w:val="22"/>
          <w:szCs w:val="22"/>
        </w:rPr>
        <w:t xml:space="preserve"> saw</w:t>
      </w:r>
      <w:r w:rsidR="00DF1513" w:rsidRPr="00CE7F91">
        <w:rPr>
          <w:rFonts w:ascii="Garamond" w:hAnsi="Garamond"/>
          <w:sz w:val="22"/>
          <w:szCs w:val="22"/>
        </w:rPr>
        <w:t xml:space="preserve"> to reveal the growth structure of the otolith</w:t>
      </w:r>
      <w:r w:rsidR="0075722E" w:rsidRPr="00CE7F91">
        <w:rPr>
          <w:rFonts w:ascii="Garamond" w:hAnsi="Garamond"/>
          <w:sz w:val="22"/>
          <w:szCs w:val="22"/>
        </w:rPr>
        <w:t>, mounted on microscope slides, and polished to enhance clarity</w:t>
      </w:r>
      <w:r w:rsidR="0051389E">
        <w:rPr>
          <w:rFonts w:ascii="Garamond" w:hAnsi="Garamond"/>
          <w:sz w:val="22"/>
          <w:szCs w:val="22"/>
        </w:rPr>
        <w:t xml:space="preserve"> </w:t>
      </w:r>
      <w:r w:rsidR="002A47CE">
        <w:rPr>
          <w:rFonts w:ascii="Garamond" w:hAnsi="Garamond"/>
          <w:sz w:val="22"/>
          <w:szCs w:val="22"/>
        </w:rPr>
        <w:t>Samples</w:t>
      </w:r>
      <w:r w:rsidR="00DF1513" w:rsidRPr="00CE7F91">
        <w:rPr>
          <w:rFonts w:ascii="Garamond" w:hAnsi="Garamond"/>
          <w:sz w:val="22"/>
          <w:szCs w:val="22"/>
        </w:rPr>
        <w:t xml:space="preserve"> were</w:t>
      </w:r>
      <w:r w:rsidR="002A47CE">
        <w:rPr>
          <w:rFonts w:ascii="Garamond" w:hAnsi="Garamond"/>
          <w:sz w:val="22"/>
          <w:szCs w:val="22"/>
        </w:rPr>
        <w:t xml:space="preserve"> then</w:t>
      </w:r>
      <w:r w:rsidR="00DF1513" w:rsidRPr="00CE7F91">
        <w:rPr>
          <w:rFonts w:ascii="Garamond" w:hAnsi="Garamond"/>
          <w:sz w:val="22"/>
          <w:szCs w:val="22"/>
        </w:rPr>
        <w:t xml:space="preserve"> analyzed using Laser </w:t>
      </w:r>
      <w:r w:rsidR="00DF1513" w:rsidRPr="00CE7F91">
        <w:rPr>
          <w:rFonts w:ascii="Garamond" w:hAnsi="Garamond"/>
          <w:sz w:val="22"/>
          <w:szCs w:val="22"/>
        </w:rPr>
        <w:lastRenderedPageBreak/>
        <w:t>Ablation Inductively Coupled Plasma Mass Spectrometry (LA-ICP-MS) at the University of Utah Strontium Metals Lab, with the exception of 2022 Kuskokwim samples</w:t>
      </w:r>
      <w:r w:rsidR="002A47CE">
        <w:rPr>
          <w:rFonts w:ascii="Garamond" w:hAnsi="Garamond"/>
          <w:sz w:val="22"/>
          <w:szCs w:val="22"/>
        </w:rPr>
        <w:t xml:space="preserve"> </w:t>
      </w:r>
      <w:r w:rsidR="00DF1513" w:rsidRPr="00CE7F91">
        <w:rPr>
          <w:rFonts w:ascii="Garamond" w:hAnsi="Garamond"/>
          <w:sz w:val="22"/>
          <w:szCs w:val="22"/>
        </w:rPr>
        <w:t xml:space="preserve">which were processed at the </w:t>
      </w:r>
      <w:commentRangeStart w:id="0"/>
      <w:r w:rsidR="00DF1513" w:rsidRPr="00CE7F91">
        <w:rPr>
          <w:rFonts w:ascii="Garamond" w:hAnsi="Garamond"/>
          <w:sz w:val="22"/>
          <w:szCs w:val="22"/>
        </w:rPr>
        <w:t xml:space="preserve">Keck Lab </w:t>
      </w:r>
      <w:commentRangeEnd w:id="0"/>
      <w:r w:rsidR="002A47CE">
        <w:rPr>
          <w:rStyle w:val="CommentReference"/>
        </w:rPr>
        <w:commentReference w:id="0"/>
      </w:r>
      <w:r w:rsidR="00DF1513" w:rsidRPr="00CE7F91">
        <w:rPr>
          <w:rFonts w:ascii="Garamond" w:hAnsi="Garamond"/>
          <w:sz w:val="22"/>
          <w:szCs w:val="22"/>
        </w:rPr>
        <w:t>at Oregon State University.</w:t>
      </w:r>
      <w:r w:rsidR="00CE7F91">
        <w:rPr>
          <w:rFonts w:ascii="Garamond" w:hAnsi="Garamond"/>
          <w:sz w:val="22"/>
          <w:szCs w:val="22"/>
        </w:rPr>
        <w:t xml:space="preserve"> </w:t>
      </w:r>
      <w:r w:rsidR="0075722E" w:rsidRPr="00CE7F91">
        <w:rPr>
          <w:rFonts w:ascii="Garamond" w:hAnsi="Garamond"/>
          <w:sz w:val="22"/>
          <w:szCs w:val="22"/>
        </w:rPr>
        <w:t xml:space="preserve">Laser ablation </w:t>
      </w:r>
      <w:r w:rsidR="00CE7F91" w:rsidRPr="00CE7F91">
        <w:rPr>
          <w:rFonts w:ascii="Garamond" w:hAnsi="Garamond"/>
          <w:sz w:val="22"/>
          <w:szCs w:val="22"/>
        </w:rPr>
        <w:t>was preformed from the core to just after the onset of the marine signature along the dorsal lobe</w:t>
      </w:r>
      <w:r w:rsidR="00CE7F91">
        <w:rPr>
          <w:rFonts w:ascii="Garamond" w:hAnsi="Garamond"/>
          <w:sz w:val="22"/>
          <w:szCs w:val="22"/>
        </w:rPr>
        <w:t xml:space="preserve"> scanning at </w:t>
      </w:r>
      <w:commentRangeStart w:id="1"/>
      <w:r w:rsidR="00CE7F91">
        <w:rPr>
          <w:rFonts w:ascii="Garamond" w:hAnsi="Garamond"/>
          <w:sz w:val="22"/>
          <w:szCs w:val="22"/>
        </w:rPr>
        <w:t xml:space="preserve">[ insert specifications here for </w:t>
      </w:r>
      <w:proofErr w:type="spellStart"/>
      <w:r w:rsidR="00CE7F91">
        <w:rPr>
          <w:rFonts w:ascii="Garamond" w:hAnsi="Garamond"/>
          <w:sz w:val="22"/>
          <w:szCs w:val="22"/>
        </w:rPr>
        <w:t>icpms</w:t>
      </w:r>
      <w:proofErr w:type="spellEnd"/>
      <w:r w:rsidR="00CE7F91">
        <w:rPr>
          <w:rFonts w:ascii="Garamond" w:hAnsi="Garamond"/>
          <w:sz w:val="22"/>
          <w:szCs w:val="22"/>
        </w:rPr>
        <w:t xml:space="preserve">]. </w:t>
      </w:r>
      <w:commentRangeEnd w:id="1"/>
      <w:r w:rsidR="002A47CE">
        <w:rPr>
          <w:rStyle w:val="CommentReference"/>
        </w:rPr>
        <w:commentReference w:id="1"/>
      </w:r>
      <w:r w:rsidR="00CE7F91">
        <w:rPr>
          <w:rFonts w:ascii="Garamond" w:hAnsi="Garamond"/>
          <w:sz w:val="22"/>
          <w:szCs w:val="22"/>
        </w:rPr>
        <w:t xml:space="preserve">The resulting dataset </w:t>
      </w:r>
      <w:r w:rsidR="002A47CE">
        <w:rPr>
          <w:rFonts w:ascii="Garamond" w:hAnsi="Garamond"/>
          <w:sz w:val="22"/>
          <w:szCs w:val="22"/>
        </w:rPr>
        <w:t>includes</w:t>
      </w:r>
      <w:r w:rsidR="00CE7F91">
        <w:rPr>
          <w:rFonts w:ascii="Garamond" w:hAnsi="Garamond"/>
          <w:sz w:val="22"/>
          <w:szCs w:val="22"/>
        </w:rPr>
        <w:t xml:space="preserve"> </w:t>
      </w:r>
      <w:r w:rsidR="002A47CE">
        <w:rPr>
          <w:rFonts w:ascii="Garamond" w:hAnsi="Garamond"/>
          <w:sz w:val="22"/>
          <w:szCs w:val="22"/>
        </w:rPr>
        <w:t xml:space="preserve">a concurrently collected timeseries of Sr8786 and Sr88 along the same transect for all individuals. </w:t>
      </w:r>
    </w:p>
    <w:p w14:paraId="362240BC" w14:textId="77777777" w:rsidR="00CE7F91" w:rsidRDefault="00CE7F91" w:rsidP="00071CCC">
      <w:pPr>
        <w:rPr>
          <w:rFonts w:ascii="Garamond" w:hAnsi="Garamond"/>
          <w:b/>
          <w:bCs/>
          <w:sz w:val="22"/>
          <w:szCs w:val="22"/>
          <w:u w:val="single"/>
        </w:rPr>
      </w:pPr>
    </w:p>
    <w:p w14:paraId="7ECCC369" w14:textId="36D57625" w:rsidR="004D2BA0" w:rsidRPr="00F6547F" w:rsidRDefault="004D2BA0" w:rsidP="00071CCC">
      <w:pPr>
        <w:rPr>
          <w:rFonts w:ascii="Garamond" w:hAnsi="Garamond"/>
          <w:b/>
          <w:bCs/>
          <w:sz w:val="22"/>
          <w:szCs w:val="22"/>
          <w:u w:val="single"/>
        </w:rPr>
      </w:pPr>
      <w:r w:rsidRPr="00F6547F">
        <w:rPr>
          <w:rFonts w:ascii="Garamond" w:hAnsi="Garamond"/>
          <w:b/>
          <w:bCs/>
          <w:sz w:val="22"/>
          <w:szCs w:val="22"/>
          <w:u w:val="single"/>
        </w:rPr>
        <w:t xml:space="preserve">Data preprocessing </w:t>
      </w:r>
    </w:p>
    <w:p w14:paraId="7EC1B482" w14:textId="23F3D6D5" w:rsidR="00CE7F91" w:rsidRDefault="005E7567" w:rsidP="002A47CE">
      <w:pPr>
        <w:spacing w:line="480" w:lineRule="auto"/>
        <w:ind w:firstLine="720"/>
        <w:rPr>
          <w:rFonts w:ascii="Garamond" w:hAnsi="Garamond"/>
          <w:sz w:val="22"/>
          <w:szCs w:val="22"/>
        </w:rPr>
      </w:pPr>
      <w:r w:rsidRPr="005E7567">
        <w:rPr>
          <w:rFonts w:ascii="Garamond" w:hAnsi="Garamond"/>
          <w:sz w:val="22"/>
          <w:szCs w:val="22"/>
        </w:rPr>
        <w:t xml:space="preserve">To standardize all data to the same life history period, </w:t>
      </w:r>
      <w:r w:rsidR="002A47CE">
        <w:rPr>
          <w:rFonts w:ascii="Garamond" w:hAnsi="Garamond"/>
          <w:sz w:val="22"/>
          <w:szCs w:val="22"/>
        </w:rPr>
        <w:t xml:space="preserve">full LA timeseries were trimmed to include only data between the </w:t>
      </w:r>
      <w:r w:rsidR="00CE7F91">
        <w:rPr>
          <w:rFonts w:ascii="Garamond" w:hAnsi="Garamond"/>
          <w:sz w:val="22"/>
          <w:szCs w:val="22"/>
        </w:rPr>
        <w:t>core and the onset of marine residence. These cutoff points were identified by</w:t>
      </w:r>
      <w:r w:rsidRPr="005E7567">
        <w:rPr>
          <w:rFonts w:ascii="Garamond" w:hAnsi="Garamond"/>
          <w:sz w:val="22"/>
          <w:szCs w:val="22"/>
        </w:rPr>
        <w:t xml:space="preserve"> examining patterns in </w:t>
      </w:r>
      <w:r w:rsidRPr="005E7567">
        <w:rPr>
          <w:rFonts w:ascii="Cambria Math" w:hAnsi="Cambria Math" w:cs="Cambria Math"/>
          <w:sz w:val="22"/>
          <w:szCs w:val="22"/>
        </w:rPr>
        <w:t>⁸⁷</w:t>
      </w:r>
      <w:r w:rsidRPr="005E7567">
        <w:rPr>
          <w:rFonts w:ascii="Garamond" w:hAnsi="Garamond"/>
          <w:sz w:val="22"/>
          <w:szCs w:val="22"/>
        </w:rPr>
        <w:t>Sr/</w:t>
      </w:r>
      <w:r w:rsidRPr="005E7567">
        <w:rPr>
          <w:rFonts w:ascii="Cambria Math" w:hAnsi="Cambria Math" w:cs="Cambria Math"/>
          <w:sz w:val="22"/>
          <w:szCs w:val="22"/>
        </w:rPr>
        <w:t>⁸⁶</w:t>
      </w:r>
      <w:r w:rsidRPr="005E7567">
        <w:rPr>
          <w:rFonts w:ascii="Garamond" w:hAnsi="Garamond"/>
          <w:sz w:val="22"/>
          <w:szCs w:val="22"/>
        </w:rPr>
        <w:t xml:space="preserve">Sr, </w:t>
      </w:r>
      <w:r w:rsidRPr="005E7567">
        <w:rPr>
          <w:rFonts w:ascii="Cambria Math" w:hAnsi="Cambria Math" w:cs="Cambria Math"/>
          <w:sz w:val="22"/>
          <w:szCs w:val="22"/>
        </w:rPr>
        <w:t>⁸⁸</w:t>
      </w:r>
      <w:r w:rsidRPr="005E7567">
        <w:rPr>
          <w:rFonts w:ascii="Garamond" w:hAnsi="Garamond"/>
          <w:sz w:val="22"/>
          <w:szCs w:val="22"/>
        </w:rPr>
        <w:t>Sr, and morphological features along the laser ablation line</w:t>
      </w:r>
      <w:r w:rsidR="002A47CE">
        <w:rPr>
          <w:rFonts w:ascii="Garamond" w:hAnsi="Garamond"/>
          <w:sz w:val="22"/>
          <w:szCs w:val="22"/>
        </w:rPr>
        <w:t xml:space="preserve"> </w:t>
      </w:r>
      <w:r w:rsidR="002A47CE">
        <w:rPr>
          <w:rFonts w:ascii="Garamond" w:hAnsi="Garamond"/>
          <w:sz w:val="22"/>
          <w:szCs w:val="22"/>
        </w:rPr>
        <w:fldChar w:fldCharType="begin"/>
      </w:r>
      <w:r w:rsidR="002A47CE">
        <w:rPr>
          <w:rFonts w:ascii="Garamond" w:hAnsi="Garamond"/>
          <w:sz w:val="22"/>
          <w:szCs w:val="22"/>
        </w:rPr>
        <w:instrText xml:space="preserve"> ADDIN ZOTERO_ITEM CSL_CITATION {"citationID":"DX3Ucg21","properties":{"formattedCitation":"(Brennan &amp; Schindler, 2017)","plainCitation":"(Brennan &amp; Schindler, 2017)","noteIndex":0},"citationItems":[{"id":1694,"uris":["http://zotero.org/users/8421274/items/NSWL6YPN"],"itemData":{"id":1694,"type":"article-journal","abstract":"Production patterns of highly mobile species, such as anadromous fish, often exhibit high spatial and temporal heterogeneity across landscapes. Such variability is often asynchronous in time among habitats, which stabilizes production at aggregate scales of complexity. Reconstructing production patterns explicitly in space and time across multiple scales, however, remains difficult but is important for prioritizing habitat conservation. This is especially true for fishes inhabiting river basins due to long-range dispersal, high mortality at early life stages, complex population structure and elusive life history variation. We develop a new approach for mapping production patterns of Pacific salmon across a large river basin by integrating otolith microchemistry and dendritic isoscape models. The geographically continuous Bayesian assignment framework presented here yielded high accuracies (&gt;90%) and relatively high precisions (precisions &lt;4%; i.e., assignment areas of &lt;530 river km of the 13 100 km total river length) when used to determine the natal source of known-origin juvenile Chinook salmon captured throughout the study region. Integrating these methods enabled us to base estimates of provenance and habitat use of individuals on a per location basis using strontium isotopic data throughout the continuous spatial domain of a river network. Such a framework provides substantial advantages over the more common nominal approach to employing otolith microchemistry to reconstruct movement patterns of fish. In doing so, we reconstructed the spatial production patterns of adult Chinook salmon returning to a large watershed in Bristol Bay, Alaska and illustrate the power of such an approach to conservation efforts.","container-title":"Ecological Applications","DOI":"10.1002/eap.1474","ISSN":"1939-5582","issue":"2","language":"en","note":"_eprint: https://esajournals.onlinelibrary.wiley.com/doi/pdf/10.1002/eap.1474","page":"363-377","source":"Wiley Online Library","title":"Linking otolith microchemistry and dendritic isoscapes to map heterogeneous production of fish across river basins","volume":"27","author":[{"family":"Brennan","given":"Sean R."},{"family":"Schindler","given":"Daniel E."}],"issued":{"date-parts":[["2017"]]}}}],"schema":"https://github.com/citation-style-language/schema/raw/master/csl-citation.json"} </w:instrText>
      </w:r>
      <w:r w:rsidR="002A47CE">
        <w:rPr>
          <w:rFonts w:ascii="Garamond" w:hAnsi="Garamond"/>
          <w:sz w:val="22"/>
          <w:szCs w:val="22"/>
        </w:rPr>
        <w:fldChar w:fldCharType="separate"/>
      </w:r>
      <w:r w:rsidR="002A47CE">
        <w:rPr>
          <w:rFonts w:ascii="Garamond" w:hAnsi="Garamond"/>
          <w:noProof/>
          <w:sz w:val="22"/>
          <w:szCs w:val="22"/>
        </w:rPr>
        <w:t>(Brennan &amp; Schindler, 2017)</w:t>
      </w:r>
      <w:r w:rsidR="002A47CE">
        <w:rPr>
          <w:rFonts w:ascii="Garamond" w:hAnsi="Garamond"/>
          <w:sz w:val="22"/>
          <w:szCs w:val="22"/>
        </w:rPr>
        <w:fldChar w:fldCharType="end"/>
      </w:r>
      <w:r w:rsidRPr="005E7567">
        <w:rPr>
          <w:rFonts w:ascii="Garamond" w:hAnsi="Garamond"/>
          <w:sz w:val="22"/>
          <w:szCs w:val="22"/>
        </w:rPr>
        <w:t xml:space="preserve">. The location closest to the core was identified by a general increase in </w:t>
      </w:r>
      <w:r w:rsidRPr="005E7567">
        <w:rPr>
          <w:rFonts w:ascii="Cambria Math" w:hAnsi="Cambria Math" w:cs="Cambria Math"/>
          <w:sz w:val="22"/>
          <w:szCs w:val="22"/>
        </w:rPr>
        <w:t>⁸⁸</w:t>
      </w:r>
      <w:r w:rsidRPr="005E7567">
        <w:rPr>
          <w:rFonts w:ascii="Garamond" w:hAnsi="Garamond"/>
          <w:sz w:val="22"/>
          <w:szCs w:val="22"/>
        </w:rPr>
        <w:t xml:space="preserve">Sr and </w:t>
      </w:r>
      <w:r w:rsidR="002A47CE">
        <w:rPr>
          <w:rFonts w:ascii="Garamond" w:hAnsi="Garamond"/>
          <w:sz w:val="22"/>
          <w:szCs w:val="22"/>
        </w:rPr>
        <w:t xml:space="preserve">a convergency of </w:t>
      </w:r>
      <w:r w:rsidR="002A47CE" w:rsidRPr="005E7567">
        <w:rPr>
          <w:rFonts w:ascii="Cambria Math" w:hAnsi="Cambria Math" w:cs="Cambria Math"/>
          <w:sz w:val="22"/>
          <w:szCs w:val="22"/>
        </w:rPr>
        <w:t>⁸⁷</w:t>
      </w:r>
      <w:r w:rsidR="002A47CE" w:rsidRPr="005E7567">
        <w:rPr>
          <w:rFonts w:ascii="Garamond" w:hAnsi="Garamond"/>
          <w:sz w:val="22"/>
          <w:szCs w:val="22"/>
        </w:rPr>
        <w:t>Sr/</w:t>
      </w:r>
      <w:r w:rsidR="002A47CE" w:rsidRPr="005E7567">
        <w:rPr>
          <w:rFonts w:ascii="Cambria Math" w:hAnsi="Cambria Math" w:cs="Cambria Math"/>
          <w:sz w:val="22"/>
          <w:szCs w:val="22"/>
        </w:rPr>
        <w:t>⁸⁶</w:t>
      </w:r>
      <w:r w:rsidR="002A47CE" w:rsidRPr="005E7567">
        <w:rPr>
          <w:rFonts w:ascii="Garamond" w:hAnsi="Garamond"/>
          <w:sz w:val="22"/>
          <w:szCs w:val="22"/>
        </w:rPr>
        <w:t>Sr</w:t>
      </w:r>
      <w:r w:rsidR="002A47CE">
        <w:rPr>
          <w:rFonts w:ascii="Garamond" w:hAnsi="Garamond"/>
          <w:sz w:val="22"/>
          <w:szCs w:val="22"/>
        </w:rPr>
        <w:t xml:space="preserve"> </w:t>
      </w:r>
      <w:r w:rsidR="00CE7F91">
        <w:rPr>
          <w:rFonts w:ascii="Garamond" w:hAnsi="Garamond"/>
          <w:sz w:val="22"/>
          <w:szCs w:val="22"/>
        </w:rPr>
        <w:t xml:space="preserve">values </w:t>
      </w:r>
      <w:r w:rsidR="002A47CE">
        <w:rPr>
          <w:rFonts w:ascii="Garamond" w:hAnsi="Garamond"/>
          <w:sz w:val="22"/>
          <w:szCs w:val="22"/>
        </w:rPr>
        <w:t xml:space="preserve">towards the </w:t>
      </w:r>
      <w:r w:rsidR="00CE7F91">
        <w:rPr>
          <w:rFonts w:ascii="Garamond" w:hAnsi="Garamond"/>
          <w:sz w:val="22"/>
          <w:szCs w:val="22"/>
        </w:rPr>
        <w:t xml:space="preserve">global marine value </w:t>
      </w:r>
      <w:r w:rsidRPr="005E7567">
        <w:rPr>
          <w:rFonts w:ascii="Garamond" w:hAnsi="Garamond"/>
          <w:sz w:val="22"/>
          <w:szCs w:val="22"/>
        </w:rPr>
        <w:t>(0.7092)</w:t>
      </w:r>
      <w:r w:rsidR="002A47CE">
        <w:rPr>
          <w:rFonts w:ascii="Garamond" w:hAnsi="Garamond"/>
          <w:sz w:val="22"/>
          <w:szCs w:val="22"/>
        </w:rPr>
        <w:t xml:space="preserve">. </w:t>
      </w:r>
      <w:r w:rsidR="00CE7F91" w:rsidRPr="005E7567">
        <w:rPr>
          <w:rFonts w:ascii="Garamond" w:hAnsi="Garamond"/>
          <w:sz w:val="22"/>
          <w:szCs w:val="22"/>
        </w:rPr>
        <w:t>Similarly,</w:t>
      </w:r>
      <w:r w:rsidR="00CE7F91">
        <w:rPr>
          <w:rFonts w:ascii="Garamond" w:hAnsi="Garamond"/>
          <w:sz w:val="22"/>
          <w:szCs w:val="22"/>
        </w:rPr>
        <w:t xml:space="preserve"> a cutoff at the </w:t>
      </w:r>
      <w:r w:rsidRPr="005E7567">
        <w:rPr>
          <w:rFonts w:ascii="Garamond" w:hAnsi="Garamond"/>
          <w:sz w:val="22"/>
          <w:szCs w:val="22"/>
        </w:rPr>
        <w:t xml:space="preserve">marine entry was identified </w:t>
      </w:r>
      <w:r w:rsidR="00CE7F91">
        <w:rPr>
          <w:rFonts w:ascii="Garamond" w:hAnsi="Garamond"/>
          <w:sz w:val="22"/>
          <w:szCs w:val="22"/>
        </w:rPr>
        <w:t xml:space="preserve">by </w:t>
      </w:r>
      <w:r w:rsidR="002A47CE">
        <w:rPr>
          <w:rFonts w:ascii="Garamond" w:hAnsi="Garamond"/>
          <w:sz w:val="22"/>
          <w:szCs w:val="22"/>
        </w:rPr>
        <w:t xml:space="preserve">the marine check </w:t>
      </w:r>
      <w:r w:rsidR="00CE7F91">
        <w:rPr>
          <w:rFonts w:ascii="Garamond" w:hAnsi="Garamond"/>
          <w:sz w:val="22"/>
          <w:szCs w:val="22"/>
        </w:rPr>
        <w:t>on the otolith</w:t>
      </w:r>
      <w:r w:rsidR="002A47CE">
        <w:rPr>
          <w:rFonts w:ascii="Garamond" w:hAnsi="Garamond"/>
          <w:sz w:val="22"/>
          <w:szCs w:val="22"/>
        </w:rPr>
        <w:t xml:space="preserve"> (dark annuli region)</w:t>
      </w:r>
      <w:r w:rsidR="00CE7F91">
        <w:rPr>
          <w:rFonts w:ascii="Garamond" w:hAnsi="Garamond"/>
          <w:sz w:val="22"/>
          <w:szCs w:val="22"/>
        </w:rPr>
        <w:t xml:space="preserve">, a rapid increase in Sr88, and a </w:t>
      </w:r>
      <w:r w:rsidRPr="005E7567">
        <w:rPr>
          <w:rFonts w:ascii="Garamond" w:hAnsi="Garamond"/>
          <w:sz w:val="22"/>
          <w:szCs w:val="22"/>
        </w:rPr>
        <w:t xml:space="preserve">shift in </w:t>
      </w:r>
      <w:r w:rsidRPr="005E7567">
        <w:rPr>
          <w:rFonts w:ascii="Cambria Math" w:hAnsi="Cambria Math" w:cs="Cambria Math"/>
          <w:sz w:val="22"/>
          <w:szCs w:val="22"/>
        </w:rPr>
        <w:t>⁸⁷</w:t>
      </w:r>
      <w:r w:rsidRPr="005E7567">
        <w:rPr>
          <w:rFonts w:ascii="Garamond" w:hAnsi="Garamond"/>
          <w:sz w:val="22"/>
          <w:szCs w:val="22"/>
        </w:rPr>
        <w:t>Sr/</w:t>
      </w:r>
      <w:r w:rsidRPr="005E7567">
        <w:rPr>
          <w:rFonts w:ascii="Cambria Math" w:hAnsi="Cambria Math" w:cs="Cambria Math"/>
          <w:sz w:val="22"/>
          <w:szCs w:val="22"/>
        </w:rPr>
        <w:t>⁸⁶</w:t>
      </w:r>
      <w:r w:rsidRPr="005E7567">
        <w:rPr>
          <w:rFonts w:ascii="Garamond" w:hAnsi="Garamond"/>
          <w:sz w:val="22"/>
          <w:szCs w:val="22"/>
        </w:rPr>
        <w:t xml:space="preserve">Sr </w:t>
      </w:r>
      <w:proofErr w:type="spellStart"/>
      <w:r w:rsidRPr="005E7567">
        <w:rPr>
          <w:rFonts w:ascii="Garamond" w:hAnsi="Garamond"/>
          <w:sz w:val="22"/>
          <w:szCs w:val="22"/>
        </w:rPr>
        <w:t>to</w:t>
      </w:r>
      <w:r w:rsidR="002A47CE">
        <w:rPr>
          <w:rFonts w:ascii="Garamond" w:hAnsi="Garamond"/>
          <w:sz w:val="22"/>
          <w:szCs w:val="22"/>
        </w:rPr>
        <w:t>wars</w:t>
      </w:r>
      <w:proofErr w:type="spellEnd"/>
      <w:r w:rsidR="00CE7F91">
        <w:rPr>
          <w:rFonts w:ascii="Garamond" w:hAnsi="Garamond"/>
          <w:sz w:val="22"/>
          <w:szCs w:val="22"/>
        </w:rPr>
        <w:t xml:space="preserve"> global marine value</w:t>
      </w:r>
      <w:r w:rsidR="002A47CE">
        <w:rPr>
          <w:rFonts w:ascii="Garamond" w:hAnsi="Garamond"/>
          <w:sz w:val="22"/>
          <w:szCs w:val="22"/>
        </w:rPr>
        <w:t xml:space="preserve"> at the end of the </w:t>
      </w:r>
      <w:proofErr w:type="spellStart"/>
      <w:r w:rsidR="002A47CE">
        <w:rPr>
          <w:rFonts w:ascii="Garamond" w:hAnsi="Garamond"/>
          <w:sz w:val="22"/>
          <w:szCs w:val="22"/>
        </w:rPr>
        <w:t>timeeries</w:t>
      </w:r>
      <w:proofErr w:type="spellEnd"/>
      <w:r w:rsidRPr="005E7567">
        <w:rPr>
          <w:rFonts w:ascii="Garamond" w:hAnsi="Garamond"/>
          <w:sz w:val="22"/>
          <w:szCs w:val="22"/>
        </w:rPr>
        <w:t xml:space="preserve">. </w:t>
      </w:r>
      <w:r w:rsidR="006C1496">
        <w:rPr>
          <w:rFonts w:ascii="Garamond" w:hAnsi="Garamond"/>
          <w:sz w:val="22"/>
          <w:szCs w:val="22"/>
        </w:rPr>
        <w:t>Manual s</w:t>
      </w:r>
      <w:r w:rsidR="00CE7F91">
        <w:rPr>
          <w:rFonts w:ascii="Garamond" w:hAnsi="Garamond"/>
          <w:sz w:val="22"/>
          <w:szCs w:val="22"/>
        </w:rPr>
        <w:t xml:space="preserve">election of trimming locations </w:t>
      </w:r>
      <w:proofErr w:type="gramStart"/>
      <w:r w:rsidR="00CE7F91">
        <w:rPr>
          <w:rFonts w:ascii="Garamond" w:hAnsi="Garamond"/>
          <w:sz w:val="22"/>
          <w:szCs w:val="22"/>
        </w:rPr>
        <w:t>were</w:t>
      </w:r>
      <w:proofErr w:type="gramEnd"/>
      <w:r w:rsidR="00CE7F91">
        <w:rPr>
          <w:rFonts w:ascii="Garamond" w:hAnsi="Garamond"/>
          <w:sz w:val="22"/>
          <w:szCs w:val="22"/>
        </w:rPr>
        <w:t xml:space="preserve"> randomized and blinded to avoid </w:t>
      </w:r>
      <w:proofErr w:type="spellStart"/>
      <w:r w:rsidR="006C1496">
        <w:rPr>
          <w:rFonts w:ascii="Garamond" w:hAnsi="Garamond"/>
          <w:sz w:val="22"/>
          <w:szCs w:val="22"/>
        </w:rPr>
        <w:t>biase</w:t>
      </w:r>
      <w:proofErr w:type="spellEnd"/>
      <w:r w:rsidR="006C1496">
        <w:rPr>
          <w:rFonts w:ascii="Garamond" w:hAnsi="Garamond"/>
          <w:sz w:val="22"/>
          <w:szCs w:val="22"/>
        </w:rPr>
        <w:t xml:space="preserve"> </w:t>
      </w:r>
      <w:r w:rsidRPr="005E7567">
        <w:rPr>
          <w:rFonts w:ascii="Garamond" w:hAnsi="Garamond"/>
          <w:sz w:val="22"/>
          <w:szCs w:val="22"/>
        </w:rPr>
        <w:t>by</w:t>
      </w:r>
      <w:r w:rsidR="006C1496">
        <w:rPr>
          <w:rFonts w:ascii="Garamond" w:hAnsi="Garamond"/>
          <w:sz w:val="22"/>
          <w:szCs w:val="22"/>
        </w:rPr>
        <w:t xml:space="preserve"> watershed. </w:t>
      </w:r>
      <w:r w:rsidR="009E23C6">
        <w:rPr>
          <w:rFonts w:ascii="Garamond" w:hAnsi="Garamond"/>
          <w:sz w:val="22"/>
          <w:szCs w:val="22"/>
        </w:rPr>
        <w:t xml:space="preserve"> Samples with significant error from sample prep (</w:t>
      </w:r>
      <w:proofErr w:type="spellStart"/>
      <w:r w:rsidR="009E23C6">
        <w:rPr>
          <w:rFonts w:ascii="Garamond" w:hAnsi="Garamond"/>
          <w:sz w:val="22"/>
          <w:szCs w:val="22"/>
        </w:rPr>
        <w:t>i.e</w:t>
      </w:r>
      <w:proofErr w:type="spellEnd"/>
      <w:r w:rsidR="009E23C6">
        <w:rPr>
          <w:rFonts w:ascii="Garamond" w:hAnsi="Garamond"/>
          <w:sz w:val="22"/>
          <w:szCs w:val="22"/>
        </w:rPr>
        <w:t xml:space="preserve"> large cracks) </w:t>
      </w:r>
      <w:r w:rsidR="006C1496">
        <w:rPr>
          <w:rFonts w:ascii="Garamond" w:hAnsi="Garamond"/>
          <w:sz w:val="22"/>
          <w:szCs w:val="22"/>
        </w:rPr>
        <w:t>or</w:t>
      </w:r>
      <w:r w:rsidR="009E23C6">
        <w:rPr>
          <w:rFonts w:ascii="Garamond" w:hAnsi="Garamond"/>
          <w:sz w:val="22"/>
          <w:szCs w:val="22"/>
        </w:rPr>
        <w:t xml:space="preserve"> without a clear core </w:t>
      </w:r>
      <w:r w:rsidR="006C1496">
        <w:rPr>
          <w:rFonts w:ascii="Garamond" w:hAnsi="Garamond"/>
          <w:sz w:val="22"/>
          <w:szCs w:val="22"/>
        </w:rPr>
        <w:t xml:space="preserve">and marine </w:t>
      </w:r>
      <w:r w:rsidR="009E23C6">
        <w:rPr>
          <w:rFonts w:ascii="Garamond" w:hAnsi="Garamond"/>
          <w:sz w:val="22"/>
          <w:szCs w:val="22"/>
        </w:rPr>
        <w:t xml:space="preserve">signal were removed from the dataset. </w:t>
      </w:r>
      <w:r w:rsidR="000F0779">
        <w:rPr>
          <w:rFonts w:ascii="Garamond" w:hAnsi="Garamond"/>
          <w:sz w:val="22"/>
          <w:szCs w:val="22"/>
        </w:rPr>
        <w:t xml:space="preserve">The resulting dataset contained </w:t>
      </w:r>
      <w:r w:rsidR="006C1496">
        <w:rPr>
          <w:rFonts w:ascii="Garamond" w:hAnsi="Garamond"/>
          <w:sz w:val="22"/>
          <w:szCs w:val="22"/>
        </w:rPr>
        <w:t xml:space="preserve">2,531 timeseries </w:t>
      </w:r>
      <w:proofErr w:type="gramStart"/>
      <w:r w:rsidR="006C1496">
        <w:rPr>
          <w:rFonts w:ascii="Garamond" w:hAnsi="Garamond"/>
          <w:sz w:val="22"/>
          <w:szCs w:val="22"/>
        </w:rPr>
        <w:t>( 971</w:t>
      </w:r>
      <w:proofErr w:type="gramEnd"/>
      <w:r w:rsidR="006C1496">
        <w:rPr>
          <w:rFonts w:ascii="Garamond" w:hAnsi="Garamond"/>
          <w:sz w:val="22"/>
          <w:szCs w:val="22"/>
        </w:rPr>
        <w:t xml:space="preserve"> Yukon, 875 Kuskokwim, and 685 </w:t>
      </w:r>
      <w:proofErr w:type="spellStart"/>
      <w:r w:rsidR="006C1496">
        <w:rPr>
          <w:rFonts w:ascii="Garamond" w:hAnsi="Garamond"/>
          <w:sz w:val="22"/>
          <w:szCs w:val="22"/>
        </w:rPr>
        <w:t>Nushagak</w:t>
      </w:r>
      <w:proofErr w:type="spellEnd"/>
      <w:r w:rsidR="006C1496">
        <w:rPr>
          <w:rFonts w:ascii="Garamond" w:hAnsi="Garamond"/>
          <w:sz w:val="22"/>
          <w:szCs w:val="22"/>
        </w:rPr>
        <w:t xml:space="preserve">). </w:t>
      </w:r>
    </w:p>
    <w:p w14:paraId="3086D9BE" w14:textId="6591EEB9" w:rsidR="00701699" w:rsidRDefault="009E23C6" w:rsidP="00B008EE">
      <w:pPr>
        <w:spacing w:line="480" w:lineRule="auto"/>
        <w:ind w:firstLine="720"/>
        <w:rPr>
          <w:rFonts w:ascii="Garamond" w:hAnsi="Garamond"/>
          <w:sz w:val="22"/>
          <w:szCs w:val="22"/>
        </w:rPr>
      </w:pPr>
      <w:r>
        <w:rPr>
          <w:rFonts w:ascii="Garamond" w:hAnsi="Garamond"/>
          <w:sz w:val="22"/>
          <w:szCs w:val="22"/>
        </w:rPr>
        <w:t>To test whether</w:t>
      </w:r>
      <w:r w:rsidR="00B32AF3" w:rsidRPr="00F6547F">
        <w:rPr>
          <w:rFonts w:ascii="Garamond" w:hAnsi="Garamond"/>
          <w:sz w:val="22"/>
          <w:szCs w:val="22"/>
        </w:rPr>
        <w:t xml:space="preserve"> </w:t>
      </w:r>
      <w:r>
        <w:rPr>
          <w:rFonts w:ascii="Garamond" w:hAnsi="Garamond"/>
          <w:sz w:val="22"/>
          <w:szCs w:val="22"/>
        </w:rPr>
        <w:t xml:space="preserve">time series smoothing techniques </w:t>
      </w:r>
      <w:r w:rsidR="00B32AF3" w:rsidRPr="00F6547F">
        <w:rPr>
          <w:rFonts w:ascii="Garamond" w:hAnsi="Garamond"/>
          <w:sz w:val="22"/>
          <w:szCs w:val="22"/>
        </w:rPr>
        <w:t>could improve model performance</w:t>
      </w:r>
      <w:r>
        <w:rPr>
          <w:rFonts w:ascii="Garamond" w:hAnsi="Garamond"/>
          <w:sz w:val="22"/>
          <w:szCs w:val="22"/>
        </w:rPr>
        <w:t xml:space="preserve">, we applied </w:t>
      </w:r>
      <w:r w:rsidR="00B32AF3" w:rsidRPr="00F6547F">
        <w:rPr>
          <w:rFonts w:ascii="Garamond" w:hAnsi="Garamond"/>
          <w:sz w:val="22"/>
          <w:szCs w:val="22"/>
        </w:rPr>
        <w:t xml:space="preserve">two commonly used approaches: moving average (MA) and a generalized additive model (GAM). </w:t>
      </w:r>
      <w:r w:rsidR="006C1496">
        <w:rPr>
          <w:rFonts w:ascii="Garamond" w:hAnsi="Garamond"/>
          <w:sz w:val="22"/>
          <w:szCs w:val="22"/>
        </w:rPr>
        <w:t>For the moving average smoothing w</w:t>
      </w:r>
      <w:r w:rsidR="000F0779">
        <w:rPr>
          <w:rFonts w:ascii="Garamond" w:hAnsi="Garamond"/>
          <w:sz w:val="22"/>
          <w:szCs w:val="22"/>
        </w:rPr>
        <w:t xml:space="preserve">e used a </w:t>
      </w:r>
      <w:proofErr w:type="gramStart"/>
      <w:r w:rsidR="000F0779">
        <w:rPr>
          <w:rFonts w:ascii="Garamond" w:hAnsi="Garamond"/>
          <w:sz w:val="22"/>
          <w:szCs w:val="22"/>
        </w:rPr>
        <w:t>60 point</w:t>
      </w:r>
      <w:proofErr w:type="gramEnd"/>
      <w:r w:rsidR="000F0779">
        <w:rPr>
          <w:rFonts w:ascii="Garamond" w:hAnsi="Garamond"/>
          <w:sz w:val="22"/>
          <w:szCs w:val="22"/>
        </w:rPr>
        <w:t xml:space="preserve"> center weighted window</w:t>
      </w:r>
      <w:r w:rsidR="006C1496">
        <w:rPr>
          <w:rFonts w:ascii="Garamond" w:hAnsi="Garamond"/>
          <w:sz w:val="22"/>
          <w:szCs w:val="22"/>
        </w:rPr>
        <w:t xml:space="preserve">. </w:t>
      </w:r>
      <w:r w:rsidR="00F67738" w:rsidRPr="00F67738">
        <w:rPr>
          <w:rFonts w:ascii="Garamond" w:hAnsi="Garamond"/>
          <w:sz w:val="22"/>
          <w:szCs w:val="22"/>
        </w:rPr>
        <w:t xml:space="preserve">The GAM was fitted using thin plate regression and penalized iteratively re-weighted least squares (P-IRLS) to maximize goodness of fit, with a generalized cross-validation (GCV) method employed to minimize overfitting </w:t>
      </w:r>
      <w:r w:rsidR="00B32AF3" w:rsidRPr="00F6547F">
        <w:rPr>
          <w:rFonts w:ascii="Garamond" w:hAnsi="Garamond"/>
          <w:sz w:val="22"/>
          <w:szCs w:val="22"/>
        </w:rPr>
        <w:t xml:space="preserve">(Wood, 2006). The maximum degrees of freedom (k) were scaled by the number of data points in each ablation line (n) by k = 10N </w:t>
      </w:r>
      <w:r w:rsidR="00B32AF3" w:rsidRPr="00F6547F">
        <w:rPr>
          <w:rFonts w:ascii="Garamond" w:hAnsi="Garamond"/>
          <w:sz w:val="22"/>
          <w:szCs w:val="22"/>
          <w:vertAlign w:val="superscript"/>
        </w:rPr>
        <w:t>2/9</w:t>
      </w:r>
      <w:r w:rsidR="006D1DD4" w:rsidRPr="00F6547F">
        <w:rPr>
          <w:rFonts w:ascii="Garamond" w:hAnsi="Garamond"/>
          <w:sz w:val="22"/>
          <w:szCs w:val="22"/>
          <w:vertAlign w:val="superscript"/>
        </w:rPr>
        <w:t xml:space="preserve"> </w:t>
      </w:r>
      <w:r w:rsidR="006D1DD4" w:rsidRPr="00F6547F">
        <w:rPr>
          <w:rFonts w:ascii="Garamond" w:hAnsi="Garamond"/>
          <w:sz w:val="22"/>
          <w:szCs w:val="22"/>
        </w:rPr>
        <w:t xml:space="preserve">(Kim and Gu, 2004, Brennan et al., </w:t>
      </w:r>
      <w:r w:rsidR="00F6547F" w:rsidRPr="00F6547F">
        <w:rPr>
          <w:rFonts w:ascii="Garamond" w:hAnsi="Garamond"/>
          <w:sz w:val="22"/>
          <w:szCs w:val="22"/>
        </w:rPr>
        <w:t>2014)</w:t>
      </w:r>
      <w:r w:rsidR="006C1496">
        <w:rPr>
          <w:rFonts w:ascii="Garamond" w:hAnsi="Garamond"/>
          <w:sz w:val="22"/>
          <w:szCs w:val="22"/>
        </w:rPr>
        <w:t xml:space="preserve">. </w:t>
      </w:r>
      <w:r w:rsidR="00B008EE" w:rsidRPr="00B008EE">
        <w:rPr>
          <w:rFonts w:ascii="Garamond" w:hAnsi="Garamond"/>
          <w:sz w:val="22"/>
          <w:szCs w:val="22"/>
        </w:rPr>
        <w:t>This process resulted in three versions of the full dataset: GAM-smoothed, MA-smoothed, and raw LA data.</w:t>
      </w:r>
      <w:r w:rsidR="00B008EE">
        <w:rPr>
          <w:rFonts w:ascii="Garamond" w:hAnsi="Garamond"/>
          <w:sz w:val="22"/>
          <w:szCs w:val="22"/>
        </w:rPr>
        <w:t xml:space="preserve"> </w:t>
      </w:r>
      <w:r w:rsidR="00B008EE" w:rsidRPr="00B008EE">
        <w:rPr>
          <w:rFonts w:ascii="Garamond" w:hAnsi="Garamond"/>
          <w:sz w:val="22"/>
          <w:szCs w:val="22"/>
        </w:rPr>
        <w:t xml:space="preserve">Finally, variation in size among individuals produces time series </w:t>
      </w:r>
      <w:r w:rsidR="00B008EE" w:rsidRPr="00B008EE">
        <w:rPr>
          <w:rFonts w:ascii="Garamond" w:hAnsi="Garamond"/>
          <w:sz w:val="22"/>
          <w:szCs w:val="22"/>
        </w:rPr>
        <w:lastRenderedPageBreak/>
        <w:t xml:space="preserve">of differing lengths. However, many machine learning algorithms require fixed-length vectors. To address this, all samples were interpolated to a common length, defined as the average length of </w:t>
      </w:r>
      <w:proofErr w:type="spellStart"/>
      <w:r w:rsidR="00B008EE" w:rsidRPr="00B008EE">
        <w:rPr>
          <w:rFonts w:ascii="Garamond" w:hAnsi="Garamond"/>
          <w:sz w:val="22"/>
          <w:szCs w:val="22"/>
        </w:rPr>
        <w:t>all time</w:t>
      </w:r>
      <w:proofErr w:type="spellEnd"/>
      <w:r w:rsidR="00B008EE" w:rsidRPr="00B008EE">
        <w:rPr>
          <w:rFonts w:ascii="Garamond" w:hAnsi="Garamond"/>
          <w:sz w:val="22"/>
          <w:szCs w:val="22"/>
        </w:rPr>
        <w:t xml:space="preserve"> series (700 points for non-MA and 600 points for MA-smoothed samples, respectively) </w:t>
      </w:r>
      <w:r w:rsidR="00701699">
        <w:rPr>
          <w:rFonts w:ascii="Garamond" w:hAnsi="Garamond"/>
          <w:sz w:val="22"/>
          <w:szCs w:val="22"/>
        </w:rPr>
        <w:t>(Hegg and Kennedy, 2021).</w:t>
      </w:r>
    </w:p>
    <w:p w14:paraId="3C911B8B" w14:textId="68A43331" w:rsidR="00AF5A80" w:rsidRPr="00FB146C" w:rsidRDefault="00AF5A80" w:rsidP="00AF5A80">
      <w:pPr>
        <w:spacing w:line="480" w:lineRule="auto"/>
        <w:rPr>
          <w:rFonts w:ascii="Garamond" w:hAnsi="Garamond"/>
          <w:b/>
          <w:bCs/>
          <w:sz w:val="22"/>
          <w:szCs w:val="22"/>
          <w:u w:val="single"/>
        </w:rPr>
      </w:pPr>
      <w:r w:rsidRPr="00FB146C">
        <w:rPr>
          <w:rFonts w:ascii="Garamond" w:hAnsi="Garamond"/>
          <w:b/>
          <w:bCs/>
          <w:sz w:val="22"/>
          <w:szCs w:val="22"/>
          <w:u w:val="single"/>
        </w:rPr>
        <w:t>PCA Analysis</w:t>
      </w:r>
    </w:p>
    <w:p w14:paraId="4FBA00FB" w14:textId="3ABEB5C6" w:rsidR="00AF5A80" w:rsidRDefault="002F10A9" w:rsidP="00AF5A80">
      <w:pPr>
        <w:spacing w:line="480" w:lineRule="auto"/>
        <w:ind w:firstLine="720"/>
        <w:rPr>
          <w:sz w:val="22"/>
          <w:szCs w:val="22"/>
        </w:rPr>
      </w:pPr>
      <w:r w:rsidRPr="002F10A9">
        <w:rPr>
          <w:rFonts w:ascii="Garamond" w:hAnsi="Garamond"/>
          <w:sz w:val="22"/>
          <w:szCs w:val="22"/>
        </w:rPr>
        <w:t xml:space="preserve">Principal component analysis (PCA) was applied </w:t>
      </w:r>
      <w:r w:rsidR="00AF5A80">
        <w:rPr>
          <w:rFonts w:ascii="Garamond" w:hAnsi="Garamond"/>
          <w:sz w:val="22"/>
          <w:szCs w:val="22"/>
        </w:rPr>
        <w:t xml:space="preserve">all points from </w:t>
      </w:r>
      <w:r w:rsidRPr="002F10A9">
        <w:rPr>
          <w:rFonts w:ascii="Garamond" w:hAnsi="Garamond"/>
          <w:sz w:val="22"/>
          <w:szCs w:val="22"/>
        </w:rPr>
        <w:t>the</w:t>
      </w:r>
      <w:r w:rsidR="00AF5A80">
        <w:rPr>
          <w:rFonts w:ascii="Garamond" w:hAnsi="Garamond"/>
          <w:sz w:val="22"/>
          <w:szCs w:val="22"/>
        </w:rPr>
        <w:t xml:space="preserve"> dataset in the</w:t>
      </w:r>
      <w:r w:rsidRPr="002F10A9">
        <w:rPr>
          <w:rFonts w:ascii="Garamond" w:hAnsi="Garamond"/>
          <w:sz w:val="22"/>
          <w:szCs w:val="22"/>
        </w:rPr>
        <w:t xml:space="preserve"> top-performing model</w:t>
      </w:r>
      <w:r w:rsidR="00AF5A80">
        <w:rPr>
          <w:rFonts w:ascii="Garamond" w:hAnsi="Garamond"/>
          <w:sz w:val="22"/>
          <w:szCs w:val="22"/>
        </w:rPr>
        <w:t xml:space="preserve"> (GAM smoothed data)</w:t>
      </w:r>
      <w:r w:rsidRPr="002F10A9">
        <w:rPr>
          <w:rFonts w:ascii="Garamond" w:hAnsi="Garamond"/>
          <w:sz w:val="22"/>
          <w:szCs w:val="22"/>
        </w:rPr>
        <w:t xml:space="preserve"> to qualitatively assess clustering patterns in multivariate space</w:t>
      </w:r>
      <w:r w:rsidR="00730E96">
        <w:rPr>
          <w:rFonts w:ascii="Garamond" w:hAnsi="Garamond"/>
          <w:sz w:val="22"/>
          <w:szCs w:val="22"/>
        </w:rPr>
        <w:t>.</w:t>
      </w:r>
      <w:r w:rsidRPr="002F10A9">
        <w:rPr>
          <w:rFonts w:ascii="Garamond" w:hAnsi="Garamond"/>
          <w:sz w:val="22"/>
          <w:szCs w:val="22"/>
        </w:rPr>
        <w:t xml:space="preserve"> PCA transforms the original </w:t>
      </w:r>
      <w:r w:rsidR="00AF5A80">
        <w:rPr>
          <w:rFonts w:ascii="Garamond" w:hAnsi="Garamond"/>
          <w:sz w:val="22"/>
          <w:szCs w:val="22"/>
        </w:rPr>
        <w:t xml:space="preserve">timeseries </w:t>
      </w:r>
      <w:r w:rsidRPr="002F10A9">
        <w:rPr>
          <w:rFonts w:ascii="Garamond" w:hAnsi="Garamond"/>
          <w:sz w:val="22"/>
          <w:szCs w:val="22"/>
        </w:rPr>
        <w:t>into uncorrelated principal components that capture the greatest variance in the dataset, thereby highlighting variability among time-series that may contain distinguishing watershed characteristics.</w:t>
      </w:r>
      <w:r w:rsidR="00AF5A80">
        <w:rPr>
          <w:rFonts w:ascii="Garamond" w:hAnsi="Garamond"/>
          <w:sz w:val="22"/>
          <w:szCs w:val="22"/>
        </w:rPr>
        <w:t xml:space="preserve"> </w:t>
      </w:r>
      <w:r w:rsidR="00AF5A80" w:rsidRPr="00730E96">
        <w:rPr>
          <w:rFonts w:ascii="Garamond" w:hAnsi="Garamond"/>
          <w:sz w:val="22"/>
          <w:szCs w:val="22"/>
        </w:rPr>
        <w:t>95% confidence interval ellipses were added to visualize the extent of multivariate dispersion for each watershed group and to assess the degree of separation between populations in reduced dimensional space</w:t>
      </w:r>
      <w:r w:rsidR="00730E96">
        <w:rPr>
          <w:rFonts w:ascii="Garamond" w:hAnsi="Garamond"/>
          <w:sz w:val="22"/>
          <w:szCs w:val="22"/>
        </w:rPr>
        <w:t xml:space="preserve"> (Figure 4). </w:t>
      </w:r>
    </w:p>
    <w:p w14:paraId="33F525AD" w14:textId="7FF9CC09" w:rsidR="002F10A9" w:rsidRDefault="00AF5A80" w:rsidP="00AE24AA">
      <w:pPr>
        <w:spacing w:line="480" w:lineRule="auto"/>
        <w:ind w:firstLine="720"/>
        <w:rPr>
          <w:rFonts w:ascii="Garamond" w:hAnsi="Garamond"/>
          <w:sz w:val="22"/>
          <w:szCs w:val="22"/>
        </w:rPr>
      </w:pPr>
      <w:r w:rsidRPr="00AE24AA">
        <w:rPr>
          <w:rFonts w:ascii="Garamond" w:hAnsi="Garamond"/>
          <w:sz w:val="22"/>
          <w:szCs w:val="22"/>
        </w:rPr>
        <w:t>To further illustrate how variability among timeseries</w:t>
      </w:r>
      <w:r w:rsidR="00730E96" w:rsidRPr="00AE24AA">
        <w:rPr>
          <w:rFonts w:ascii="Garamond" w:hAnsi="Garamond"/>
          <w:sz w:val="22"/>
          <w:szCs w:val="22"/>
        </w:rPr>
        <w:t xml:space="preserve"> can distinguish among </w:t>
      </w:r>
      <w:proofErr w:type="gramStart"/>
      <w:r w:rsidR="00730E96" w:rsidRPr="00AE24AA">
        <w:rPr>
          <w:rFonts w:ascii="Garamond" w:hAnsi="Garamond"/>
          <w:sz w:val="22"/>
          <w:szCs w:val="22"/>
        </w:rPr>
        <w:t xml:space="preserve">timeseries </w:t>
      </w:r>
      <w:r w:rsidRPr="00AE24AA">
        <w:rPr>
          <w:rFonts w:ascii="Garamond" w:hAnsi="Garamond"/>
          <w:sz w:val="22"/>
          <w:szCs w:val="22"/>
        </w:rPr>
        <w:t xml:space="preserve"> that</w:t>
      </w:r>
      <w:proofErr w:type="gramEnd"/>
      <w:r w:rsidRPr="00AE24AA">
        <w:rPr>
          <w:rFonts w:ascii="Garamond" w:hAnsi="Garamond"/>
          <w:sz w:val="22"/>
          <w:szCs w:val="22"/>
        </w:rPr>
        <w:t xml:space="preserve"> are otherwise indistinguishable using natal origin alone</w:t>
      </w:r>
      <w:r w:rsidR="00730E96" w:rsidRPr="00AE24AA">
        <w:rPr>
          <w:rFonts w:ascii="Garamond" w:hAnsi="Garamond"/>
          <w:sz w:val="22"/>
          <w:szCs w:val="22"/>
        </w:rPr>
        <w:t xml:space="preserve">, PCA analysis is also done on a subset of the GAM smoothed dataset which include only individuals with a natal origin Sr8786 of 0.7075- 0.7080. </w:t>
      </w:r>
      <w:r w:rsidRPr="00AE24AA">
        <w:rPr>
          <w:rFonts w:ascii="Garamond" w:hAnsi="Garamond"/>
          <w:sz w:val="22"/>
          <w:szCs w:val="22"/>
        </w:rPr>
        <w:t xml:space="preserve"> </w:t>
      </w:r>
      <w:r w:rsidR="00730E96" w:rsidRPr="00AE24AA">
        <w:rPr>
          <w:rFonts w:ascii="Garamond" w:hAnsi="Garamond"/>
          <w:sz w:val="22"/>
          <w:szCs w:val="22"/>
        </w:rPr>
        <w:t xml:space="preserve">PCA plots were produced to visualize clustering of both PC1 </w:t>
      </w:r>
      <w:proofErr w:type="gramStart"/>
      <w:r w:rsidR="00730E96" w:rsidRPr="00AE24AA">
        <w:rPr>
          <w:rFonts w:ascii="Garamond" w:hAnsi="Garamond"/>
          <w:sz w:val="22"/>
          <w:szCs w:val="22"/>
        </w:rPr>
        <w:t>( 47.46</w:t>
      </w:r>
      <w:proofErr w:type="gramEnd"/>
      <w:r w:rsidR="00730E96" w:rsidRPr="00AE24AA">
        <w:rPr>
          <w:rFonts w:ascii="Garamond" w:hAnsi="Garamond"/>
          <w:sz w:val="22"/>
          <w:szCs w:val="22"/>
        </w:rPr>
        <w:t xml:space="preserve">% of variance) and PC2 (20.93% of variance) as well as between PC1 and PC3 (10.23% of variance). </w:t>
      </w:r>
      <w:r w:rsidR="005F1D8A" w:rsidRPr="00AE24AA">
        <w:rPr>
          <w:rFonts w:ascii="Garamond" w:hAnsi="Garamond"/>
          <w:sz w:val="22"/>
          <w:szCs w:val="22"/>
        </w:rPr>
        <w:t>To identify the most discriminatory portions of the timeseries, we mapped the absolute values of principal component loadings onto their corresponding timeseries positions (Figure 5b.)</w:t>
      </w:r>
      <w:r w:rsidR="00AE24AA">
        <w:rPr>
          <w:rFonts w:ascii="Garamond" w:hAnsi="Garamond"/>
          <w:sz w:val="22"/>
          <w:szCs w:val="22"/>
        </w:rPr>
        <w:t xml:space="preserve">. One individual from each watershed was chosen to illustrate this variability. </w:t>
      </w:r>
    </w:p>
    <w:p w14:paraId="2682F25E" w14:textId="77777777" w:rsidR="00FE6991" w:rsidRDefault="00FE6991" w:rsidP="00444663">
      <w:pPr>
        <w:spacing w:line="480" w:lineRule="auto"/>
        <w:rPr>
          <w:rFonts w:ascii="Garamond" w:hAnsi="Garamond"/>
          <w:b/>
          <w:bCs/>
          <w:sz w:val="22"/>
          <w:szCs w:val="22"/>
          <w:u w:val="single"/>
        </w:rPr>
      </w:pPr>
    </w:p>
    <w:p w14:paraId="7121E6CD" w14:textId="24748E47" w:rsidR="00444663" w:rsidRPr="00701699" w:rsidRDefault="00444663" w:rsidP="00444663">
      <w:pPr>
        <w:spacing w:line="480" w:lineRule="auto"/>
        <w:rPr>
          <w:rFonts w:ascii="Garamond" w:hAnsi="Garamond"/>
          <w:sz w:val="22"/>
          <w:szCs w:val="22"/>
        </w:rPr>
      </w:pPr>
      <w:r w:rsidRPr="00386D82">
        <w:rPr>
          <w:rFonts w:ascii="Garamond" w:hAnsi="Garamond"/>
          <w:b/>
          <w:bCs/>
          <w:sz w:val="22"/>
          <w:szCs w:val="22"/>
          <w:u w:val="single"/>
        </w:rPr>
        <w:t xml:space="preserve">Machine Learning Classification Models </w:t>
      </w:r>
    </w:p>
    <w:p w14:paraId="3CA0415B" w14:textId="77777777" w:rsidR="00444663" w:rsidRDefault="00444663" w:rsidP="00444663">
      <w:pPr>
        <w:pStyle w:val="NormalWeb"/>
        <w:spacing w:line="480" w:lineRule="auto"/>
        <w:ind w:firstLine="720"/>
        <w:rPr>
          <w:rFonts w:ascii="Garamond" w:hAnsi="Garamond"/>
          <w:sz w:val="22"/>
          <w:szCs w:val="22"/>
        </w:rPr>
      </w:pPr>
      <w:r w:rsidRPr="009B73BD">
        <w:rPr>
          <w:rFonts w:ascii="Garamond" w:hAnsi="Garamond"/>
          <w:sz w:val="22"/>
          <w:szCs w:val="22"/>
        </w:rPr>
        <w:t xml:space="preserve">All data were randomly partitioned into training and testing sets using an 80/20 split. To ensure consistency across analyses, the same individuals were assigned to the training and testing sets for all three </w:t>
      </w:r>
      <w:r>
        <w:rPr>
          <w:rFonts w:ascii="Garamond" w:hAnsi="Garamond"/>
          <w:sz w:val="22"/>
          <w:szCs w:val="22"/>
        </w:rPr>
        <w:t xml:space="preserve">datasets (non-smoothed (Raw), MA, and GAM). For each dataset we trained </w:t>
      </w:r>
      <w:r w:rsidRPr="009B73BD">
        <w:rPr>
          <w:rFonts w:ascii="Garamond" w:hAnsi="Garamond"/>
          <w:sz w:val="22"/>
          <w:szCs w:val="22"/>
        </w:rPr>
        <w:t xml:space="preserve">three supervised classification algorithms: </w:t>
      </w:r>
      <w:r w:rsidRPr="009B73BD">
        <w:rPr>
          <w:rStyle w:val="Strong"/>
          <w:rFonts w:ascii="Garamond" w:eastAsiaTheme="majorEastAsia" w:hAnsi="Garamond"/>
          <w:b w:val="0"/>
          <w:bCs w:val="0"/>
          <w:sz w:val="22"/>
          <w:szCs w:val="22"/>
        </w:rPr>
        <w:t>K-Nearest Neighbors (KNN)</w:t>
      </w:r>
      <w:r w:rsidRPr="009B73BD">
        <w:rPr>
          <w:rFonts w:ascii="Garamond" w:hAnsi="Garamond"/>
          <w:b/>
          <w:bCs/>
          <w:sz w:val="22"/>
          <w:szCs w:val="22"/>
        </w:rPr>
        <w:t xml:space="preserve">, </w:t>
      </w:r>
      <w:r w:rsidRPr="009B73BD">
        <w:rPr>
          <w:rStyle w:val="Strong"/>
          <w:rFonts w:ascii="Garamond" w:eastAsiaTheme="majorEastAsia" w:hAnsi="Garamond"/>
          <w:b w:val="0"/>
          <w:bCs w:val="0"/>
          <w:sz w:val="22"/>
          <w:szCs w:val="22"/>
        </w:rPr>
        <w:t>Random Forest (RF)</w:t>
      </w:r>
      <w:r w:rsidRPr="009B73BD">
        <w:rPr>
          <w:rFonts w:ascii="Garamond" w:hAnsi="Garamond"/>
          <w:b/>
          <w:bCs/>
          <w:sz w:val="22"/>
          <w:szCs w:val="22"/>
        </w:rPr>
        <w:t xml:space="preserve">, </w:t>
      </w:r>
      <w:r w:rsidRPr="009B73BD">
        <w:rPr>
          <w:rFonts w:ascii="Garamond" w:hAnsi="Garamond"/>
          <w:sz w:val="22"/>
          <w:szCs w:val="22"/>
        </w:rPr>
        <w:t xml:space="preserve">and </w:t>
      </w:r>
      <w:r w:rsidRPr="009B73BD">
        <w:rPr>
          <w:rStyle w:val="Strong"/>
          <w:rFonts w:ascii="Garamond" w:eastAsiaTheme="majorEastAsia" w:hAnsi="Garamond"/>
          <w:b w:val="0"/>
          <w:bCs w:val="0"/>
          <w:sz w:val="22"/>
          <w:szCs w:val="22"/>
        </w:rPr>
        <w:t>Support Vector Machine (SVM)</w:t>
      </w:r>
      <w:r>
        <w:rPr>
          <w:rFonts w:ascii="Garamond" w:hAnsi="Garamond"/>
          <w:sz w:val="22"/>
          <w:szCs w:val="22"/>
        </w:rPr>
        <w:t xml:space="preserve">. </w:t>
      </w:r>
      <w:r w:rsidRPr="009B73BD">
        <w:rPr>
          <w:rFonts w:ascii="Garamond" w:hAnsi="Garamond"/>
          <w:sz w:val="22"/>
          <w:szCs w:val="22"/>
        </w:rPr>
        <w:t xml:space="preserve">The </w:t>
      </w:r>
      <w:proofErr w:type="spellStart"/>
      <w:r w:rsidRPr="00701699">
        <w:rPr>
          <w:rFonts w:ascii="Garamond" w:hAnsi="Garamond"/>
          <w:sz w:val="22"/>
          <w:szCs w:val="22"/>
        </w:rPr>
        <w:lastRenderedPageBreak/>
        <w:t>The</w:t>
      </w:r>
      <w:proofErr w:type="spellEnd"/>
      <w:r w:rsidRPr="00701699">
        <w:rPr>
          <w:rFonts w:ascii="Garamond" w:hAnsi="Garamond"/>
          <w:sz w:val="22"/>
          <w:szCs w:val="22"/>
        </w:rPr>
        <w:t xml:space="preserve"> Random Forest model was configured with 500 trees, and the number of predictors randomly sampled at each split (</w:t>
      </w:r>
      <w:proofErr w:type="spellStart"/>
      <w:r w:rsidRPr="00701699">
        <w:rPr>
          <w:rStyle w:val="HTMLCode"/>
          <w:rFonts w:ascii="Garamond" w:eastAsiaTheme="majorEastAsia" w:hAnsi="Garamond"/>
          <w:sz w:val="22"/>
          <w:szCs w:val="22"/>
        </w:rPr>
        <w:t>mtry</w:t>
      </w:r>
      <w:proofErr w:type="spellEnd"/>
      <w:r w:rsidRPr="00701699">
        <w:rPr>
          <w:rFonts w:ascii="Garamond" w:hAnsi="Garamond"/>
          <w:sz w:val="22"/>
          <w:szCs w:val="22"/>
        </w:rPr>
        <w:t xml:space="preserve">) was set to the square root of the total number of predictors, following standard practice for classification problems. The KNN model was trained using five neighbors, while the SVM model used default hyperparameters for the RBF kernel. All models were implemented using the </w:t>
      </w:r>
      <w:proofErr w:type="spellStart"/>
      <w:r w:rsidRPr="00701699">
        <w:rPr>
          <w:rStyle w:val="HTMLCode"/>
          <w:rFonts w:ascii="Garamond" w:eastAsiaTheme="majorEastAsia" w:hAnsi="Garamond"/>
          <w:sz w:val="22"/>
          <w:szCs w:val="22"/>
        </w:rPr>
        <w:t>tidymodels</w:t>
      </w:r>
      <w:proofErr w:type="spellEnd"/>
      <w:r w:rsidRPr="00701699">
        <w:rPr>
          <w:rFonts w:ascii="Garamond" w:hAnsi="Garamond"/>
          <w:sz w:val="22"/>
          <w:szCs w:val="22"/>
        </w:rPr>
        <w:t xml:space="preserve"> framework in R</w:t>
      </w:r>
      <w:r>
        <w:rPr>
          <w:rFonts w:ascii="Garamond" w:hAnsi="Garamond"/>
          <w:sz w:val="22"/>
          <w:szCs w:val="22"/>
        </w:rPr>
        <w:t xml:space="preserve">. </w:t>
      </w:r>
    </w:p>
    <w:p w14:paraId="2A7C5DD0" w14:textId="7FE9D740" w:rsidR="00AE24AA" w:rsidRPr="00AE24AA" w:rsidRDefault="00444663" w:rsidP="00444663">
      <w:pPr>
        <w:pStyle w:val="NormalWeb"/>
        <w:spacing w:line="480" w:lineRule="auto"/>
        <w:ind w:firstLine="720"/>
        <w:rPr>
          <w:rFonts w:ascii="Garamond" w:hAnsi="Garamond"/>
          <w:sz w:val="22"/>
          <w:szCs w:val="22"/>
        </w:rPr>
      </w:pPr>
      <w:r w:rsidRPr="00AF5A80">
        <w:rPr>
          <w:rFonts w:ascii="Garamond" w:hAnsi="Garamond"/>
          <w:sz w:val="22"/>
          <w:szCs w:val="22"/>
        </w:rPr>
        <w:t xml:space="preserve">Trained models were evaluated on two separate testing datasets. First, models were tested on the original randomly selected 20% holdout set. Second, models were evaluated on a modified testing set in which samples with natal origin </w:t>
      </w:r>
      <w:r w:rsidRPr="00AF5A80">
        <w:rPr>
          <w:rFonts w:ascii="Cambria Math" w:hAnsi="Cambria Math" w:cs="Cambria Math"/>
          <w:sz w:val="22"/>
          <w:szCs w:val="22"/>
        </w:rPr>
        <w:t>⁸⁷</w:t>
      </w:r>
      <w:r w:rsidRPr="00AF5A80">
        <w:rPr>
          <w:rFonts w:ascii="Garamond" w:hAnsi="Garamond"/>
          <w:sz w:val="22"/>
          <w:szCs w:val="22"/>
        </w:rPr>
        <w:t>Sr/</w:t>
      </w:r>
      <w:r w:rsidRPr="00AF5A80">
        <w:rPr>
          <w:rFonts w:ascii="Cambria Math" w:hAnsi="Cambria Math" w:cs="Cambria Math"/>
          <w:sz w:val="22"/>
          <w:szCs w:val="22"/>
        </w:rPr>
        <w:t>⁸⁶</w:t>
      </w:r>
      <w:r w:rsidRPr="00AF5A80">
        <w:rPr>
          <w:rFonts w:ascii="Garamond" w:hAnsi="Garamond"/>
          <w:sz w:val="22"/>
          <w:szCs w:val="22"/>
        </w:rPr>
        <w:t>Sr values above 0.7150 were removed. Only the Yukon watershed contains enriched isotope values above this threshold and can therefore be distinguished using natal origin values alone. This modified dataset tests model classification accuracy on samples that are otherwise indistinguishable using natal origin values. These testing sets are referred to as the 'Total' and 'Overlapping' testing sets.</w:t>
      </w:r>
      <w:r>
        <w:rPr>
          <w:rFonts w:ascii="Garamond" w:hAnsi="Garamond"/>
          <w:sz w:val="22"/>
          <w:szCs w:val="22"/>
        </w:rPr>
        <w:t xml:space="preserve"> </w:t>
      </w:r>
      <w:r w:rsidRPr="008A52C4">
        <w:rPr>
          <w:rFonts w:ascii="Garamond" w:hAnsi="Garamond"/>
          <w:sz w:val="22"/>
          <w:szCs w:val="22"/>
        </w:rPr>
        <w:t xml:space="preserve">Model performance was assessed using </w:t>
      </w:r>
      <w:r>
        <w:rPr>
          <w:rFonts w:ascii="Garamond" w:hAnsi="Garamond"/>
          <w:sz w:val="22"/>
          <w:szCs w:val="22"/>
        </w:rPr>
        <w:t xml:space="preserve">accuracy and F1-Score (Figure 2). For the highest preforming model, confusing matrices were generated for both testing sets to visualize class-specific classification accuracy and to explore trends in misclassification among classes (Figure 3). </w:t>
      </w:r>
    </w:p>
    <w:p w14:paraId="1E36E3FD" w14:textId="6F58B80B" w:rsidR="004D2BA0" w:rsidRPr="00FB146C" w:rsidRDefault="004D2BA0" w:rsidP="004D2BA0">
      <w:pPr>
        <w:rPr>
          <w:rFonts w:ascii="Garamond" w:hAnsi="Garamond"/>
          <w:b/>
          <w:bCs/>
          <w:sz w:val="22"/>
          <w:szCs w:val="22"/>
          <w:u w:val="single"/>
        </w:rPr>
      </w:pPr>
      <w:r w:rsidRPr="00FB146C">
        <w:rPr>
          <w:rFonts w:ascii="Garamond" w:hAnsi="Garamond"/>
          <w:b/>
          <w:bCs/>
          <w:sz w:val="22"/>
          <w:szCs w:val="22"/>
          <w:u w:val="single"/>
        </w:rPr>
        <w:t xml:space="preserve">Probability </w:t>
      </w:r>
      <w:r w:rsidR="002F10A9" w:rsidRPr="00FB146C">
        <w:rPr>
          <w:rFonts w:ascii="Garamond" w:hAnsi="Garamond"/>
          <w:b/>
          <w:bCs/>
          <w:sz w:val="22"/>
          <w:szCs w:val="22"/>
          <w:u w:val="single"/>
        </w:rPr>
        <w:t xml:space="preserve">calibration </w:t>
      </w:r>
      <w:r w:rsidR="00527EB9" w:rsidRPr="00FB146C">
        <w:rPr>
          <w:rFonts w:ascii="Garamond" w:hAnsi="Garamond"/>
          <w:b/>
          <w:bCs/>
          <w:sz w:val="22"/>
          <w:szCs w:val="22"/>
          <w:u w:val="single"/>
        </w:rPr>
        <w:t xml:space="preserve">and threshold testing </w:t>
      </w:r>
    </w:p>
    <w:p w14:paraId="6C00951C" w14:textId="594CB59D" w:rsidR="00F6547F" w:rsidRPr="00985634" w:rsidRDefault="00FB146C" w:rsidP="00985634">
      <w:pPr>
        <w:pStyle w:val="whitespace-normal"/>
        <w:spacing w:line="480" w:lineRule="auto"/>
        <w:ind w:firstLine="720"/>
        <w:rPr>
          <w:rFonts w:ascii="Garamond" w:hAnsi="Garamond"/>
          <w:sz w:val="22"/>
          <w:szCs w:val="22"/>
        </w:rPr>
      </w:pPr>
      <w:r w:rsidRPr="00D440B2">
        <w:rPr>
          <w:rFonts w:ascii="Garamond" w:hAnsi="Garamond"/>
          <w:sz w:val="22"/>
          <w:szCs w:val="22"/>
        </w:rPr>
        <w:t xml:space="preserve">Many machine learning classification models produce probability estimates that do not accurately reflect the true likelihood of correct prediction. While these models may achieve high classification accuracy, their reported confidence levels may not match the true proportion of correct classifications within each confidence bin. This limits the utility of these results for decision-making based on confidence thresholds or propagation of uncertainty through further probability-based models. To calibrate predictions from our models, we used the </w:t>
      </w:r>
      <w:r w:rsidRPr="00D440B2">
        <w:rPr>
          <w:rStyle w:val="HTMLCode"/>
          <w:rFonts w:ascii="Garamond" w:eastAsiaTheme="majorEastAsia" w:hAnsi="Garamond"/>
          <w:sz w:val="22"/>
          <w:szCs w:val="22"/>
        </w:rPr>
        <w:t>probably</w:t>
      </w:r>
      <w:r w:rsidRPr="00D440B2">
        <w:rPr>
          <w:rFonts w:ascii="Garamond" w:hAnsi="Garamond"/>
          <w:sz w:val="22"/>
          <w:szCs w:val="22"/>
        </w:rPr>
        <w:t xml:space="preserve"> package in R to apply multinomial isotonic regression to our testing set predictions. This approach adjusts the raw probability outputs to better align predicted confidence with actual classification accuracy through a non-parametric monotonic transformation. We verified calibration effectiveness through diagrams that plot predicted probabilities against observed class frequencies across probability bins. Additionally, we quantified calibration improvements using Brier scores and logarithmic loss </w:t>
      </w:r>
      <w:r w:rsidRPr="00D440B2">
        <w:rPr>
          <w:rFonts w:ascii="Garamond" w:hAnsi="Garamond"/>
          <w:sz w:val="22"/>
          <w:szCs w:val="22"/>
        </w:rPr>
        <w:lastRenderedPageBreak/>
        <w:t xml:space="preserve">calculated before and after </w:t>
      </w:r>
      <w:proofErr w:type="spellStart"/>
      <w:proofErr w:type="gramStart"/>
      <w:r w:rsidRPr="00D440B2">
        <w:rPr>
          <w:rFonts w:ascii="Garamond" w:hAnsi="Garamond"/>
          <w:sz w:val="22"/>
          <w:szCs w:val="22"/>
        </w:rPr>
        <w:t>calibration.Calibration</w:t>
      </w:r>
      <w:proofErr w:type="spellEnd"/>
      <w:proofErr w:type="gramEnd"/>
      <w:r w:rsidRPr="00D440B2">
        <w:rPr>
          <w:rFonts w:ascii="Garamond" w:hAnsi="Garamond"/>
          <w:sz w:val="22"/>
          <w:szCs w:val="22"/>
        </w:rPr>
        <w:t xml:space="preserve"> transformations were fitted separately for each model-data type combination and stored as reusable functions that can be applied consistently to future predictions. This ensures that probability estimates from our models accurately reflect true classification confidence</w:t>
      </w:r>
      <w:r w:rsidR="00E2005E">
        <w:rPr>
          <w:rFonts w:ascii="Garamond" w:hAnsi="Garamond"/>
          <w:sz w:val="22"/>
          <w:szCs w:val="22"/>
        </w:rPr>
        <w:t>. From calibrated probabilities we tested the accuracy obtained with different confidence thresholds for the highest preforming model. This is defined as the probability of correctly assigned individuals with a</w:t>
      </w:r>
      <w:r w:rsidR="00C51A58">
        <w:rPr>
          <w:rFonts w:ascii="Garamond" w:hAnsi="Garamond"/>
          <w:sz w:val="22"/>
          <w:szCs w:val="22"/>
        </w:rPr>
        <w:t xml:space="preserve">n assignment probability greater than a given threshold. We tested thresholds of 60 – 90 % confidence by 5% increments and recorded both the class specific and overall accuracy at each (Figure 6). </w:t>
      </w:r>
    </w:p>
    <w:p w14:paraId="3B505BBA" w14:textId="77777777" w:rsidR="00ED3EE6" w:rsidRPr="008E7FFA" w:rsidRDefault="003E5607" w:rsidP="003E5607">
      <w:pPr>
        <w:tabs>
          <w:tab w:val="left" w:pos="3088"/>
        </w:tabs>
        <w:rPr>
          <w:rFonts w:ascii="Garamond" w:hAnsi="Garamond"/>
          <w:b/>
          <w:bCs/>
          <w:sz w:val="40"/>
          <w:szCs w:val="40"/>
        </w:rPr>
      </w:pPr>
      <w:r w:rsidRPr="008E7FFA">
        <w:rPr>
          <w:rFonts w:ascii="Garamond" w:hAnsi="Garamond"/>
          <w:b/>
          <w:bCs/>
          <w:sz w:val="40"/>
          <w:szCs w:val="40"/>
        </w:rPr>
        <w:t xml:space="preserve">Results </w:t>
      </w:r>
    </w:p>
    <w:p w14:paraId="0325D113" w14:textId="77777777" w:rsidR="008D0D27" w:rsidRDefault="008D0D27" w:rsidP="003E5607">
      <w:pPr>
        <w:tabs>
          <w:tab w:val="left" w:pos="3088"/>
        </w:tabs>
        <w:rPr>
          <w:rFonts w:ascii="Garamond" w:hAnsi="Garamond"/>
          <w:b/>
          <w:bCs/>
        </w:rPr>
      </w:pPr>
    </w:p>
    <w:p w14:paraId="0007BE9E" w14:textId="368E10C3" w:rsidR="00ED3EE6" w:rsidRDefault="00ED3EE6" w:rsidP="003E5607">
      <w:pPr>
        <w:tabs>
          <w:tab w:val="left" w:pos="3088"/>
        </w:tabs>
        <w:rPr>
          <w:rFonts w:ascii="Garamond" w:hAnsi="Garamond"/>
          <w:b/>
          <w:bCs/>
        </w:rPr>
      </w:pPr>
      <w:r w:rsidRPr="001D0BCE">
        <w:rPr>
          <w:rFonts w:ascii="Garamond" w:hAnsi="Garamond"/>
          <w:b/>
          <w:bCs/>
        </w:rPr>
        <w:t xml:space="preserve">Model Performance </w:t>
      </w:r>
    </w:p>
    <w:p w14:paraId="0CBBB586" w14:textId="701E3AB5" w:rsidR="003F681E" w:rsidRDefault="008E7FFA" w:rsidP="003F681E">
      <w:pPr>
        <w:spacing w:line="480" w:lineRule="auto"/>
        <w:ind w:firstLine="720"/>
        <w:rPr>
          <w:rFonts w:ascii="Garamond" w:hAnsi="Garamond"/>
          <w:sz w:val="22"/>
          <w:szCs w:val="22"/>
        </w:rPr>
      </w:pPr>
      <w:r>
        <w:rPr>
          <w:rFonts w:ascii="Garamond" w:hAnsi="Garamond"/>
          <w:sz w:val="22"/>
          <w:szCs w:val="22"/>
        </w:rPr>
        <w:t>Accuracy a</w:t>
      </w:r>
      <w:r w:rsidR="003A63D4" w:rsidRPr="00841F42">
        <w:rPr>
          <w:rFonts w:ascii="Garamond" w:hAnsi="Garamond"/>
          <w:sz w:val="22"/>
          <w:szCs w:val="22"/>
        </w:rPr>
        <w:t xml:space="preserve">cross both </w:t>
      </w:r>
      <w:r>
        <w:rPr>
          <w:rFonts w:ascii="Garamond" w:hAnsi="Garamond"/>
          <w:sz w:val="22"/>
          <w:szCs w:val="22"/>
        </w:rPr>
        <w:t xml:space="preserve">testing sets ranged from 71.9% to 92.5% and F1-Score values ranged from 72.6% to </w:t>
      </w:r>
      <w:r w:rsidR="003F681E">
        <w:rPr>
          <w:rFonts w:ascii="Garamond" w:hAnsi="Garamond"/>
          <w:sz w:val="22"/>
          <w:szCs w:val="22"/>
        </w:rPr>
        <w:t xml:space="preserve">92.2%. The </w:t>
      </w:r>
      <w:r w:rsidR="003A63D4" w:rsidRPr="00841F42">
        <w:rPr>
          <w:rFonts w:ascii="Garamond" w:hAnsi="Garamond"/>
          <w:sz w:val="22"/>
          <w:szCs w:val="22"/>
        </w:rPr>
        <w:t xml:space="preserve">accuracy and F1-score achieved by applying the random forest model to the GAM smoothed dataset and tested on the full testing set. Smoothed timeseries data outperformed the raw data in all cases, indicating that the noise in the raw data may inhibited model </w:t>
      </w:r>
      <w:r>
        <w:rPr>
          <w:rFonts w:ascii="Garamond" w:hAnsi="Garamond"/>
          <w:sz w:val="22"/>
          <w:szCs w:val="22"/>
        </w:rPr>
        <w:t xml:space="preserve">performance by obscuring meaningful patterns in the data. Among model types KNN consistently preformed the lowest in both accuracy and F1-Score. </w:t>
      </w:r>
      <w:r w:rsidR="001E36C2" w:rsidRPr="00841F42">
        <w:rPr>
          <w:rFonts w:ascii="Garamond" w:hAnsi="Garamond"/>
          <w:sz w:val="22"/>
          <w:szCs w:val="22"/>
        </w:rPr>
        <w:t>In general, RF analysis outperformed both KNN and SVM, however, SVM was the highest performer on Raw datasets (89.8% accuracy on total testing set and 87.0% on overlapping testing set)</w:t>
      </w:r>
      <w:r w:rsidR="003F681E">
        <w:rPr>
          <w:rFonts w:ascii="Garamond" w:hAnsi="Garamond"/>
          <w:sz w:val="22"/>
          <w:szCs w:val="22"/>
        </w:rPr>
        <w:t xml:space="preserve">, which may have more dimensionality due to less autocorrelation among points. </w:t>
      </w:r>
      <w:r w:rsidR="001E36C2" w:rsidRPr="00841F42">
        <w:rPr>
          <w:rFonts w:ascii="Garamond" w:hAnsi="Garamond"/>
          <w:sz w:val="22"/>
          <w:szCs w:val="22"/>
        </w:rPr>
        <w:t>Unsurprisingly, the overlapping training set performance was slightly lower than that of the total training set, with the highest classification accuracy of 90.</w:t>
      </w:r>
      <w:r w:rsidR="003F681E">
        <w:rPr>
          <w:rFonts w:ascii="Garamond" w:hAnsi="Garamond"/>
          <w:sz w:val="22"/>
          <w:szCs w:val="22"/>
        </w:rPr>
        <w:t>9</w:t>
      </w:r>
      <w:r w:rsidR="001E36C2" w:rsidRPr="00841F42">
        <w:rPr>
          <w:rFonts w:ascii="Garamond" w:hAnsi="Garamond"/>
          <w:sz w:val="22"/>
          <w:szCs w:val="22"/>
        </w:rPr>
        <w:t>% as compared to 92.</w:t>
      </w:r>
      <w:r w:rsidR="003F681E">
        <w:rPr>
          <w:rFonts w:ascii="Garamond" w:hAnsi="Garamond"/>
          <w:sz w:val="22"/>
          <w:szCs w:val="22"/>
        </w:rPr>
        <w:t>2</w:t>
      </w:r>
      <w:r w:rsidR="001E36C2" w:rsidRPr="00841F42">
        <w:rPr>
          <w:rFonts w:ascii="Garamond" w:hAnsi="Garamond"/>
          <w:sz w:val="22"/>
          <w:szCs w:val="22"/>
        </w:rPr>
        <w:t xml:space="preserve">%. </w:t>
      </w:r>
      <w:r w:rsidR="003F681E">
        <w:rPr>
          <w:rFonts w:ascii="Garamond" w:hAnsi="Garamond"/>
          <w:sz w:val="22"/>
          <w:szCs w:val="22"/>
        </w:rPr>
        <w:t xml:space="preserve">These results are expected given the relatively straightforward discrimination of highly enriched Yukon samples which were removed in the overlapping comparison.  </w:t>
      </w:r>
    </w:p>
    <w:p w14:paraId="55EFA72A" w14:textId="55152B49" w:rsidR="003A63D4" w:rsidRPr="00052F65" w:rsidRDefault="003F681E" w:rsidP="00052F65">
      <w:pPr>
        <w:spacing w:line="480" w:lineRule="auto"/>
        <w:ind w:firstLine="720"/>
        <w:rPr>
          <w:rFonts w:ascii="Garamond" w:hAnsi="Garamond"/>
          <w:sz w:val="22"/>
          <w:szCs w:val="22"/>
        </w:rPr>
      </w:pPr>
      <w:r>
        <w:rPr>
          <w:rFonts w:ascii="Garamond" w:hAnsi="Garamond"/>
          <w:sz w:val="22"/>
          <w:szCs w:val="22"/>
        </w:rPr>
        <w:t xml:space="preserve">The best preforming model (RF, GAM-smoothed data) displayed some variation in overall accuracy among classes. On the Total testing set 92.0% of Kuskokwim, 91.4% of </w:t>
      </w:r>
      <w:proofErr w:type="spellStart"/>
      <w:r>
        <w:rPr>
          <w:rFonts w:ascii="Garamond" w:hAnsi="Garamond"/>
          <w:sz w:val="22"/>
          <w:szCs w:val="22"/>
        </w:rPr>
        <w:t>Nushagak</w:t>
      </w:r>
      <w:proofErr w:type="spellEnd"/>
      <w:r>
        <w:rPr>
          <w:rFonts w:ascii="Garamond" w:hAnsi="Garamond"/>
          <w:sz w:val="22"/>
          <w:szCs w:val="22"/>
        </w:rPr>
        <w:t xml:space="preserve">, and 93.7% of Yukon samples were correctly identified (Figure 3). By percentage of each class the most common misclassification was </w:t>
      </w:r>
      <w:proofErr w:type="spellStart"/>
      <w:r>
        <w:rPr>
          <w:rFonts w:ascii="Garamond" w:hAnsi="Garamond"/>
          <w:sz w:val="22"/>
          <w:szCs w:val="22"/>
        </w:rPr>
        <w:t>Nushagak</w:t>
      </w:r>
      <w:proofErr w:type="spellEnd"/>
      <w:r>
        <w:rPr>
          <w:rFonts w:ascii="Garamond" w:hAnsi="Garamond"/>
          <w:sz w:val="22"/>
          <w:szCs w:val="22"/>
        </w:rPr>
        <w:t xml:space="preserve"> fish estimated to have been Kuskokwim (8.6% of Kuskokwim fish) followed by the inverse </w:t>
      </w:r>
      <w:r>
        <w:rPr>
          <w:rFonts w:ascii="Garamond" w:hAnsi="Garamond"/>
          <w:sz w:val="22"/>
          <w:szCs w:val="22"/>
        </w:rPr>
        <w:lastRenderedPageBreak/>
        <w:t xml:space="preserve">(5.6% of </w:t>
      </w:r>
      <w:proofErr w:type="spellStart"/>
      <w:r>
        <w:rPr>
          <w:rFonts w:ascii="Garamond" w:hAnsi="Garamond"/>
          <w:sz w:val="22"/>
          <w:szCs w:val="22"/>
        </w:rPr>
        <w:t>Nushagak</w:t>
      </w:r>
      <w:proofErr w:type="spellEnd"/>
      <w:r>
        <w:rPr>
          <w:rFonts w:ascii="Garamond" w:hAnsi="Garamond"/>
          <w:sz w:val="22"/>
          <w:szCs w:val="22"/>
        </w:rPr>
        <w:t xml:space="preserve"> fish). Interestingly, after removing the easiest discernable Yukon fish (Sr8786 &gt;</w:t>
      </w:r>
      <w:r w:rsidR="00052F65">
        <w:rPr>
          <w:rFonts w:ascii="Garamond" w:hAnsi="Garamond"/>
          <w:sz w:val="22"/>
          <w:szCs w:val="22"/>
        </w:rPr>
        <w:t xml:space="preserve">.7150), Yukon classification accuracy dropped to 86.8%. Classification accuracy for </w:t>
      </w:r>
      <w:proofErr w:type="spellStart"/>
      <w:r w:rsidR="00052F65">
        <w:rPr>
          <w:rFonts w:ascii="Garamond" w:hAnsi="Garamond"/>
          <w:sz w:val="22"/>
          <w:szCs w:val="22"/>
        </w:rPr>
        <w:t>Nushagak</w:t>
      </w:r>
      <w:proofErr w:type="spellEnd"/>
      <w:r w:rsidR="00052F65">
        <w:rPr>
          <w:rFonts w:ascii="Garamond" w:hAnsi="Garamond"/>
          <w:sz w:val="22"/>
          <w:szCs w:val="22"/>
        </w:rPr>
        <w:t xml:space="preserve"> fish did not change (91.4%) whereas Kuskokwim saw a slight increase to 92.5%. In this testing set the most frequent misclassification was Yukon fish predicted to have been Kuskokwim (8.8% of Yukon fish</w:t>
      </w:r>
      <w:proofErr w:type="gramStart"/>
      <w:r w:rsidR="00052F65">
        <w:rPr>
          <w:rFonts w:ascii="Garamond" w:hAnsi="Garamond"/>
          <w:sz w:val="22"/>
          <w:szCs w:val="22"/>
        </w:rPr>
        <w:t>),</w:t>
      </w:r>
      <w:proofErr w:type="gramEnd"/>
      <w:r w:rsidR="00052F65">
        <w:rPr>
          <w:rFonts w:ascii="Garamond" w:hAnsi="Garamond"/>
          <w:sz w:val="22"/>
          <w:szCs w:val="22"/>
        </w:rPr>
        <w:t xml:space="preserve"> however this represented only one additional individual misclassified (9 in the total analysis vs 8 in the overlapping analysis). </w:t>
      </w:r>
    </w:p>
    <w:p w14:paraId="7C01285C" w14:textId="1AFC9524" w:rsidR="004B1012" w:rsidRDefault="00841F42" w:rsidP="00A043C9">
      <w:pPr>
        <w:tabs>
          <w:tab w:val="left" w:pos="3088"/>
        </w:tabs>
        <w:spacing w:line="480" w:lineRule="auto"/>
        <w:rPr>
          <w:rFonts w:ascii="Garamond" w:hAnsi="Garamond"/>
          <w:b/>
          <w:bCs/>
          <w:sz w:val="22"/>
          <w:szCs w:val="22"/>
        </w:rPr>
      </w:pPr>
      <w:r w:rsidRPr="00841F42">
        <w:rPr>
          <w:rFonts w:ascii="Garamond" w:hAnsi="Garamond"/>
          <w:b/>
          <w:bCs/>
          <w:sz w:val="22"/>
          <w:szCs w:val="22"/>
        </w:rPr>
        <w:t>Principal Component Analysis</w:t>
      </w:r>
    </w:p>
    <w:p w14:paraId="6ECC5389" w14:textId="2655FEA7" w:rsidR="00D53F6D" w:rsidRPr="00D53F6D" w:rsidRDefault="004B1012" w:rsidP="00D53F6D">
      <w:pPr>
        <w:pStyle w:val="whitespace-normal"/>
        <w:spacing w:line="480" w:lineRule="auto"/>
        <w:rPr>
          <w:rFonts w:ascii="Garamond" w:hAnsi="Garamond"/>
          <w:sz w:val="22"/>
          <w:szCs w:val="22"/>
        </w:rPr>
      </w:pPr>
      <w:r>
        <w:tab/>
      </w:r>
      <w:r w:rsidR="00D53F6D" w:rsidRPr="00D53F6D">
        <w:rPr>
          <w:rFonts w:ascii="Garamond" w:hAnsi="Garamond"/>
          <w:sz w:val="22"/>
          <w:szCs w:val="22"/>
        </w:rPr>
        <w:t xml:space="preserve">Principal component analysis of the full GAM-smoothed dataset (n = 2,531) revealed significant clustering of watershed classes in reduced-dimensional space. The first two principal components together captured 97.3% of the total variance in the dataset (PC1: 92.2%, PC2: 5.1%, Figure 4). Despite clear clustering patterns, some overlap remained among all three watersheds. Kuskokwim samples (Figure 4, red) exhibited the greatest degree of overlap, showing significant overlap with both </w:t>
      </w:r>
      <w:proofErr w:type="spellStart"/>
      <w:r w:rsidR="00D53F6D" w:rsidRPr="00D53F6D">
        <w:rPr>
          <w:rFonts w:ascii="Garamond" w:hAnsi="Garamond"/>
          <w:sz w:val="22"/>
          <w:szCs w:val="22"/>
        </w:rPr>
        <w:t>Nushagak</w:t>
      </w:r>
      <w:proofErr w:type="spellEnd"/>
      <w:r w:rsidR="00D53F6D" w:rsidRPr="00D53F6D">
        <w:rPr>
          <w:rFonts w:ascii="Garamond" w:hAnsi="Garamond"/>
          <w:sz w:val="22"/>
          <w:szCs w:val="22"/>
        </w:rPr>
        <w:t xml:space="preserve"> and Yukon individuals. Yukon samples covered a much larger region of the principal component space, likely reflecting the broader range of potential isotope values that create unique timeseries compared to the more constrained ranges observed in the other two watershed classes</w:t>
      </w:r>
    </w:p>
    <w:p w14:paraId="06F8E81E" w14:textId="44A877AB" w:rsidR="00ED3EE6" w:rsidRPr="00D53F6D" w:rsidRDefault="00D53F6D" w:rsidP="00D53F6D">
      <w:pPr>
        <w:spacing w:line="480" w:lineRule="auto"/>
        <w:ind w:firstLine="720"/>
        <w:rPr>
          <w:rFonts w:ascii="Garamond" w:hAnsi="Garamond"/>
          <w:sz w:val="22"/>
          <w:szCs w:val="22"/>
        </w:rPr>
      </w:pPr>
      <w:r w:rsidRPr="00D53F6D">
        <w:rPr>
          <w:rFonts w:ascii="Garamond" w:hAnsi="Garamond"/>
          <w:sz w:val="22"/>
          <w:szCs w:val="22"/>
        </w:rPr>
        <w:t>Mapping the loadings of each principal component onto the timeseries revealed distinct regions driving class separation. The first principal component showed high loading values in the middle portion of the timeseries, potentially encompassing both natal origin regions and secondary rearing locations. The second principal component was driven by variation occurring just before the onset of the marine region, likely representing residency in mainstem tributaries during ocean migration. The relative shape at this point in the timeseries reflects differences in mainstem tributary Sr87/86 values among the three watersheds. Principal component 3 appeared to be driven by values at the very beginning of the timeseries, corresponding to the start of the natal origin signature. The minimal discrimination among watersheds along this component was expected, as all individuals in this dataset shared the same natal origin value</w:t>
      </w:r>
      <w:r>
        <w:rPr>
          <w:rFonts w:ascii="Garamond" w:hAnsi="Garamond"/>
          <w:sz w:val="22"/>
          <w:szCs w:val="22"/>
        </w:rPr>
        <w:t xml:space="preserve">s. </w:t>
      </w:r>
    </w:p>
    <w:p w14:paraId="036B5F94" w14:textId="77777777" w:rsidR="00D53F6D" w:rsidRDefault="00D53F6D" w:rsidP="003E5607">
      <w:pPr>
        <w:tabs>
          <w:tab w:val="left" w:pos="3088"/>
        </w:tabs>
        <w:rPr>
          <w:rFonts w:ascii="Garamond" w:hAnsi="Garamond"/>
          <w:b/>
          <w:bCs/>
        </w:rPr>
      </w:pPr>
    </w:p>
    <w:p w14:paraId="10B15B8E" w14:textId="27C47E69" w:rsidR="00A043C9" w:rsidRDefault="00ED3EE6" w:rsidP="003E5607">
      <w:pPr>
        <w:tabs>
          <w:tab w:val="left" w:pos="3088"/>
        </w:tabs>
        <w:rPr>
          <w:rFonts w:ascii="Garamond" w:hAnsi="Garamond"/>
          <w:b/>
          <w:bCs/>
        </w:rPr>
      </w:pPr>
      <w:r w:rsidRPr="001D0BCE">
        <w:rPr>
          <w:rFonts w:ascii="Garamond" w:hAnsi="Garamond"/>
          <w:b/>
          <w:bCs/>
        </w:rPr>
        <w:t xml:space="preserve">Probability tuning </w:t>
      </w:r>
      <w:r w:rsidR="00C51A58">
        <w:rPr>
          <w:rFonts w:ascii="Garamond" w:hAnsi="Garamond"/>
          <w:b/>
          <w:bCs/>
        </w:rPr>
        <w:t xml:space="preserve">and threshold analysis. </w:t>
      </w:r>
    </w:p>
    <w:p w14:paraId="689794F5" w14:textId="77777777" w:rsidR="00D53F6D" w:rsidRDefault="00D53F6D" w:rsidP="00D53F6D">
      <w:pPr>
        <w:pStyle w:val="NoSpacing"/>
        <w:spacing w:line="480" w:lineRule="auto"/>
        <w:ind w:firstLine="720"/>
        <w:rPr>
          <w:rFonts w:ascii="Garamond" w:hAnsi="Garamond"/>
          <w:sz w:val="22"/>
          <w:szCs w:val="22"/>
        </w:rPr>
      </w:pPr>
    </w:p>
    <w:p w14:paraId="7F192C79" w14:textId="383238EB" w:rsidR="00E2005E" w:rsidRDefault="00D53F6D" w:rsidP="00C51A58">
      <w:pPr>
        <w:pStyle w:val="NoSpacing"/>
        <w:spacing w:line="480" w:lineRule="auto"/>
        <w:ind w:firstLine="720"/>
        <w:rPr>
          <w:rFonts w:ascii="Garamond" w:hAnsi="Garamond"/>
          <w:sz w:val="22"/>
          <w:szCs w:val="22"/>
        </w:rPr>
      </w:pPr>
      <w:r w:rsidRPr="00D53F6D">
        <w:rPr>
          <w:rFonts w:ascii="Garamond" w:hAnsi="Garamond"/>
          <w:sz w:val="22"/>
          <w:szCs w:val="22"/>
        </w:rPr>
        <w:t xml:space="preserve">The result of probability tuning demonstrated consistent improvements in probability calibration across all models. Log-loss values decreased by an average of 0.0026 (, while Brier scores improved by an average of 0. The TOTAL analysis framework showed marginally larger improvements compared to the OVERLAP framework, with GAM-smoothed data showing the most consistent calibration performance. Visual inspection of reliability diagrams confirmed improved alignment between predicted and observed probabilities following calibration. </w:t>
      </w:r>
    </w:p>
    <w:p w14:paraId="17923CE8" w14:textId="03FB920F" w:rsidR="00C51A58" w:rsidRPr="00C51A58" w:rsidRDefault="00C51A58" w:rsidP="00C51A58">
      <w:pPr>
        <w:pStyle w:val="NoSpacing"/>
        <w:spacing w:line="480" w:lineRule="auto"/>
        <w:ind w:firstLine="720"/>
        <w:rPr>
          <w:rFonts w:ascii="Garamond" w:hAnsi="Garamond"/>
          <w:b/>
          <w:bCs/>
          <w:sz w:val="22"/>
          <w:szCs w:val="22"/>
        </w:rPr>
      </w:pPr>
      <w:r>
        <w:rPr>
          <w:rFonts w:ascii="Garamond" w:hAnsi="Garamond"/>
          <w:sz w:val="22"/>
          <w:szCs w:val="22"/>
        </w:rPr>
        <w:t xml:space="preserve">Across the range of tested thresholds, overall accuracy ranged from 91 – 79% for the total testing set and from 89.5% to 78% for the overlapping dataset. In the total dataset, Yukon classification accuracy remained well above 90%, even at the very high (&gt;90%) confidence threshold. </w:t>
      </w:r>
      <w:proofErr w:type="spellStart"/>
      <w:r>
        <w:rPr>
          <w:rFonts w:ascii="Garamond" w:hAnsi="Garamond"/>
          <w:sz w:val="22"/>
          <w:szCs w:val="22"/>
        </w:rPr>
        <w:t>Nushagak</w:t>
      </w:r>
      <w:proofErr w:type="spellEnd"/>
      <w:r>
        <w:rPr>
          <w:rFonts w:ascii="Garamond" w:hAnsi="Garamond"/>
          <w:sz w:val="22"/>
          <w:szCs w:val="22"/>
        </w:rPr>
        <w:t xml:space="preserve"> and Kuskokwim, however, fell steadily as the threshold was raised. Kuskokwim classification accuracy dropped steadily from 87% to 71% whereas </w:t>
      </w:r>
      <w:proofErr w:type="spellStart"/>
      <w:r>
        <w:rPr>
          <w:rFonts w:ascii="Garamond" w:hAnsi="Garamond"/>
          <w:sz w:val="22"/>
          <w:szCs w:val="22"/>
        </w:rPr>
        <w:t>Nushagak</w:t>
      </w:r>
      <w:proofErr w:type="spellEnd"/>
      <w:r>
        <w:rPr>
          <w:rFonts w:ascii="Garamond" w:hAnsi="Garamond"/>
          <w:sz w:val="22"/>
          <w:szCs w:val="22"/>
        </w:rPr>
        <w:t xml:space="preserve"> accuracy declined more quickly at higher probability thresholds from 92% to 75%. The overlapping dataset contained slightly different trends, with Yukon accuracy remaining relatively stable between 89% and 83% over the full range of threshold values. In this testing set </w:t>
      </w:r>
      <w:proofErr w:type="spellStart"/>
      <w:r>
        <w:rPr>
          <w:rFonts w:ascii="Garamond" w:hAnsi="Garamond"/>
          <w:sz w:val="22"/>
          <w:szCs w:val="22"/>
        </w:rPr>
        <w:t>Nushagak</w:t>
      </w:r>
      <w:proofErr w:type="spellEnd"/>
      <w:r>
        <w:rPr>
          <w:rFonts w:ascii="Garamond" w:hAnsi="Garamond"/>
          <w:sz w:val="22"/>
          <w:szCs w:val="22"/>
        </w:rPr>
        <w:t xml:space="preserve"> accuracy dropped steadily from 91% to 84</w:t>
      </w:r>
      <w:proofErr w:type="gramStart"/>
      <w:r>
        <w:rPr>
          <w:rFonts w:ascii="Garamond" w:hAnsi="Garamond"/>
          <w:sz w:val="22"/>
          <w:szCs w:val="22"/>
        </w:rPr>
        <w:t>% ,</w:t>
      </w:r>
      <w:proofErr w:type="gramEnd"/>
      <w:r>
        <w:rPr>
          <w:rFonts w:ascii="Garamond" w:hAnsi="Garamond"/>
          <w:sz w:val="22"/>
          <w:szCs w:val="22"/>
        </w:rPr>
        <w:t xml:space="preserve"> whereas Kuskokwim accuracy declined rapidly from 89% to 69%. (Figure 6). </w:t>
      </w:r>
    </w:p>
    <w:p w14:paraId="0D2917CE" w14:textId="77777777" w:rsidR="00A043C9" w:rsidRDefault="00A043C9" w:rsidP="00071CCC">
      <w:pPr>
        <w:rPr>
          <w:rFonts w:ascii="Garamond" w:hAnsi="Garamond"/>
          <w:sz w:val="32"/>
          <w:szCs w:val="32"/>
        </w:rPr>
      </w:pPr>
    </w:p>
    <w:p w14:paraId="46F09B0F" w14:textId="77777777" w:rsidR="00A043C9" w:rsidRDefault="00A043C9" w:rsidP="00071CCC">
      <w:pPr>
        <w:rPr>
          <w:rFonts w:ascii="Garamond" w:hAnsi="Garamond"/>
          <w:sz w:val="32"/>
          <w:szCs w:val="32"/>
        </w:rPr>
      </w:pPr>
    </w:p>
    <w:p w14:paraId="3F632333" w14:textId="7C82F4A7" w:rsidR="003E5607" w:rsidRDefault="003E5607" w:rsidP="00071CCC">
      <w:pPr>
        <w:rPr>
          <w:rFonts w:ascii="Garamond" w:hAnsi="Garamond"/>
          <w:sz w:val="32"/>
          <w:szCs w:val="32"/>
        </w:rPr>
      </w:pPr>
      <w:r w:rsidRPr="00E45DBA">
        <w:rPr>
          <w:rFonts w:ascii="Garamond" w:hAnsi="Garamond"/>
          <w:sz w:val="32"/>
          <w:szCs w:val="32"/>
        </w:rPr>
        <w:t xml:space="preserve">Discussion </w:t>
      </w:r>
    </w:p>
    <w:p w14:paraId="2534E4AB" w14:textId="77777777" w:rsidR="00711B8E" w:rsidRDefault="00711B8E" w:rsidP="00071CCC">
      <w:pPr>
        <w:rPr>
          <w:rFonts w:ascii="Garamond" w:hAnsi="Garamond"/>
          <w:sz w:val="32"/>
          <w:szCs w:val="32"/>
        </w:rPr>
      </w:pPr>
    </w:p>
    <w:p w14:paraId="08D23806" w14:textId="0F1EBC6A" w:rsidR="00711B8E" w:rsidRDefault="00711B8E" w:rsidP="00071CCC">
      <w:pPr>
        <w:rPr>
          <w:rFonts w:ascii="Garamond" w:hAnsi="Garamond"/>
          <w:sz w:val="32"/>
          <w:szCs w:val="32"/>
        </w:rPr>
      </w:pPr>
      <w:r>
        <w:rPr>
          <w:rFonts w:ascii="Garamond" w:hAnsi="Garamond"/>
          <w:sz w:val="32"/>
          <w:szCs w:val="32"/>
        </w:rPr>
        <w:t xml:space="preserve">We demonstrated variability in timeseries, present in unsupervised </w:t>
      </w:r>
      <w:proofErr w:type="gramStart"/>
      <w:r>
        <w:rPr>
          <w:rFonts w:ascii="Garamond" w:hAnsi="Garamond"/>
          <w:sz w:val="32"/>
          <w:szCs w:val="32"/>
        </w:rPr>
        <w:t>clustering ,</w:t>
      </w:r>
      <w:proofErr w:type="gramEnd"/>
      <w:r>
        <w:rPr>
          <w:rFonts w:ascii="Garamond" w:hAnsi="Garamond"/>
          <w:sz w:val="32"/>
          <w:szCs w:val="32"/>
        </w:rPr>
        <w:t xml:space="preserve"> as well as where this variability helps to drive separation among otherwise undistinguishable samples using just the natal origin </w:t>
      </w:r>
    </w:p>
    <w:p w14:paraId="07F382F6" w14:textId="77777777" w:rsidR="00711B8E" w:rsidRPr="00E45DBA" w:rsidRDefault="00711B8E" w:rsidP="00071CCC">
      <w:pPr>
        <w:rPr>
          <w:rFonts w:ascii="Garamond" w:hAnsi="Garamond"/>
          <w:sz w:val="32"/>
          <w:szCs w:val="32"/>
        </w:rPr>
      </w:pPr>
    </w:p>
    <w:p w14:paraId="38F90895" w14:textId="77777777" w:rsidR="003E5607" w:rsidRDefault="003E5607" w:rsidP="00071CCC">
      <w:pPr>
        <w:rPr>
          <w:rFonts w:ascii="Garamond" w:hAnsi="Garamond"/>
          <w:sz w:val="22"/>
          <w:szCs w:val="22"/>
        </w:rPr>
      </w:pPr>
    </w:p>
    <w:p w14:paraId="77330B5C" w14:textId="62FDDFE3" w:rsidR="00071CCC" w:rsidRDefault="001F7701" w:rsidP="00071CCC">
      <w:r>
        <w:t xml:space="preserve"> </w:t>
      </w:r>
      <w:r w:rsidR="00985634">
        <w:t xml:space="preserve">This cannot currently be used for </w:t>
      </w:r>
      <w:proofErr w:type="gramStart"/>
      <w:r w:rsidR="00985634">
        <w:t>In</w:t>
      </w:r>
      <w:proofErr w:type="gramEnd"/>
      <w:r w:rsidR="00985634">
        <w:t xml:space="preserve"> season analysis, and is expensive </w:t>
      </w:r>
    </w:p>
    <w:p w14:paraId="7B48F9A1" w14:textId="7917472F" w:rsidR="00985634" w:rsidRDefault="00711B8E" w:rsidP="00071CCC">
      <w:r>
        <w:t xml:space="preserve">We expect these dynamics change at several temporal scales, but this dataset is huge </w:t>
      </w:r>
    </w:p>
    <w:sectPr w:rsidR="0098563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enjamin J. Makhlouf" w:date="2025-08-18T11:18:00Z" w:initials="b">
    <w:p w14:paraId="632EC397" w14:textId="77777777" w:rsidR="002A47CE" w:rsidRDefault="002A47CE" w:rsidP="002A47CE">
      <w:r>
        <w:rPr>
          <w:rStyle w:val="CommentReference"/>
        </w:rPr>
        <w:annotationRef/>
      </w:r>
      <w:r>
        <w:rPr>
          <w:sz w:val="20"/>
          <w:szCs w:val="20"/>
        </w:rPr>
        <w:t>Note to self: check for the full name</w:t>
      </w:r>
    </w:p>
    <w:p w14:paraId="07B4BA5C" w14:textId="77777777" w:rsidR="002A47CE" w:rsidRDefault="002A47CE" w:rsidP="002A47CE"/>
  </w:comment>
  <w:comment w:id="1" w:author="Benjamin J. Makhlouf" w:date="2025-08-18T11:18:00Z" w:initials="b">
    <w:p w14:paraId="51CBD6D1" w14:textId="77777777" w:rsidR="002A47CE" w:rsidRDefault="002A47CE" w:rsidP="002A47CE">
      <w:r>
        <w:rPr>
          <w:rStyle w:val="CommentReference"/>
        </w:rPr>
        <w:annotationRef/>
      </w:r>
      <w:r>
        <w:rPr>
          <w:sz w:val="20"/>
          <w:szCs w:val="20"/>
        </w:rPr>
        <w:t>Note to self: Ask diego for the specifications for all years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7B4BA5C" w15:done="0"/>
  <w15:commentEx w15:paraId="51CBD6D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A85456E" w16cex:dateUtc="2025-08-18T18:18:00Z"/>
  <w16cex:commentExtensible w16cex:durableId="6197010A" w16cex:dateUtc="2025-08-18T18: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7B4BA5C" w16cid:durableId="4A85456E"/>
  <w16cid:commentId w16cid:paraId="51CBD6D1" w16cid:durableId="6197010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37C9B"/>
    <w:multiLevelType w:val="hybridMultilevel"/>
    <w:tmpl w:val="D07A6F0A"/>
    <w:lvl w:ilvl="0" w:tplc="57C219BE">
      <w:numFmt w:val="bullet"/>
      <w:lvlText w:val="-"/>
      <w:lvlJc w:val="left"/>
      <w:pPr>
        <w:ind w:left="1080" w:hanging="360"/>
      </w:pPr>
      <w:rPr>
        <w:rFonts w:ascii="Garamond" w:eastAsiaTheme="minorHAnsi" w:hAnsi="Garamond"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A5142DC"/>
    <w:multiLevelType w:val="hybridMultilevel"/>
    <w:tmpl w:val="BCFEEACA"/>
    <w:lvl w:ilvl="0" w:tplc="06206136">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4AC941D2"/>
    <w:multiLevelType w:val="hybridMultilevel"/>
    <w:tmpl w:val="2682BA3A"/>
    <w:lvl w:ilvl="0" w:tplc="D752FE1C">
      <w:numFmt w:val="bullet"/>
      <w:lvlText w:val="-"/>
      <w:lvlJc w:val="left"/>
      <w:pPr>
        <w:ind w:left="720" w:hanging="360"/>
      </w:pPr>
      <w:rPr>
        <w:rFonts w:ascii="Garamond" w:eastAsiaTheme="minorHAnsi"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F31630A"/>
    <w:multiLevelType w:val="hybridMultilevel"/>
    <w:tmpl w:val="DD58292C"/>
    <w:lvl w:ilvl="0" w:tplc="FF424106">
      <w:numFmt w:val="bullet"/>
      <w:lvlText w:val="-"/>
      <w:lvlJc w:val="left"/>
      <w:pPr>
        <w:ind w:left="1800" w:hanging="360"/>
      </w:pPr>
      <w:rPr>
        <w:rFonts w:ascii="Garamond" w:eastAsiaTheme="minorHAnsi" w:hAnsi="Garamond"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003900659">
    <w:abstractNumId w:val="3"/>
  </w:num>
  <w:num w:numId="2" w16cid:durableId="1398362279">
    <w:abstractNumId w:val="2"/>
  </w:num>
  <w:num w:numId="3" w16cid:durableId="550503404">
    <w:abstractNumId w:val="0"/>
  </w:num>
  <w:num w:numId="4" w16cid:durableId="114696908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jamin J. Makhlouf">
    <w15:presenceInfo w15:providerId="AD" w15:userId="S::bmak29@uw.edu::e2d819b1-db99-41fc-888c-ad60b4d561a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CCC"/>
    <w:rsid w:val="00014197"/>
    <w:rsid w:val="000326A8"/>
    <w:rsid w:val="00043ACE"/>
    <w:rsid w:val="00052F65"/>
    <w:rsid w:val="00071CCC"/>
    <w:rsid w:val="00083149"/>
    <w:rsid w:val="00091070"/>
    <w:rsid w:val="000941AF"/>
    <w:rsid w:val="00096BA7"/>
    <w:rsid w:val="000C2944"/>
    <w:rsid w:val="000D1B34"/>
    <w:rsid w:val="000F0779"/>
    <w:rsid w:val="000F4EE0"/>
    <w:rsid w:val="000F4F29"/>
    <w:rsid w:val="0010010D"/>
    <w:rsid w:val="00103E0E"/>
    <w:rsid w:val="00112ED8"/>
    <w:rsid w:val="00135A3B"/>
    <w:rsid w:val="00154136"/>
    <w:rsid w:val="001844EB"/>
    <w:rsid w:val="001D0BCE"/>
    <w:rsid w:val="001D222B"/>
    <w:rsid w:val="001D6A79"/>
    <w:rsid w:val="001E36C2"/>
    <w:rsid w:val="001F7701"/>
    <w:rsid w:val="00201BCD"/>
    <w:rsid w:val="00202BA8"/>
    <w:rsid w:val="00215662"/>
    <w:rsid w:val="00220A2A"/>
    <w:rsid w:val="00226DBF"/>
    <w:rsid w:val="0022743C"/>
    <w:rsid w:val="00241F3E"/>
    <w:rsid w:val="00257118"/>
    <w:rsid w:val="00292609"/>
    <w:rsid w:val="002948A2"/>
    <w:rsid w:val="002A47CE"/>
    <w:rsid w:val="002C12CC"/>
    <w:rsid w:val="002F10A9"/>
    <w:rsid w:val="002F5E0E"/>
    <w:rsid w:val="002F666C"/>
    <w:rsid w:val="00302CA2"/>
    <w:rsid w:val="0031165E"/>
    <w:rsid w:val="00311BF2"/>
    <w:rsid w:val="0032184B"/>
    <w:rsid w:val="00354445"/>
    <w:rsid w:val="003606FC"/>
    <w:rsid w:val="00364186"/>
    <w:rsid w:val="003642FE"/>
    <w:rsid w:val="0038560E"/>
    <w:rsid w:val="00386D82"/>
    <w:rsid w:val="003A63D4"/>
    <w:rsid w:val="003A69C6"/>
    <w:rsid w:val="003A7A96"/>
    <w:rsid w:val="003B0A46"/>
    <w:rsid w:val="003E5607"/>
    <w:rsid w:val="003F681E"/>
    <w:rsid w:val="003F7E9E"/>
    <w:rsid w:val="00401B70"/>
    <w:rsid w:val="00406C9B"/>
    <w:rsid w:val="004139BE"/>
    <w:rsid w:val="004146AA"/>
    <w:rsid w:val="00420300"/>
    <w:rsid w:val="00435068"/>
    <w:rsid w:val="00440D3C"/>
    <w:rsid w:val="00443259"/>
    <w:rsid w:val="00443445"/>
    <w:rsid w:val="00444663"/>
    <w:rsid w:val="004472CA"/>
    <w:rsid w:val="00464971"/>
    <w:rsid w:val="00477D73"/>
    <w:rsid w:val="00480252"/>
    <w:rsid w:val="004811D8"/>
    <w:rsid w:val="00497545"/>
    <w:rsid w:val="004B1012"/>
    <w:rsid w:val="004C0AA3"/>
    <w:rsid w:val="004C2541"/>
    <w:rsid w:val="004C4DA5"/>
    <w:rsid w:val="004D2BA0"/>
    <w:rsid w:val="004D6CDE"/>
    <w:rsid w:val="004E5235"/>
    <w:rsid w:val="00511B5E"/>
    <w:rsid w:val="0051389E"/>
    <w:rsid w:val="00525222"/>
    <w:rsid w:val="00526D9D"/>
    <w:rsid w:val="00527EB9"/>
    <w:rsid w:val="00530E86"/>
    <w:rsid w:val="00533C00"/>
    <w:rsid w:val="0053609D"/>
    <w:rsid w:val="00542302"/>
    <w:rsid w:val="00560622"/>
    <w:rsid w:val="00563F6D"/>
    <w:rsid w:val="005672B1"/>
    <w:rsid w:val="005A0FE2"/>
    <w:rsid w:val="005B3BF5"/>
    <w:rsid w:val="005C1DE3"/>
    <w:rsid w:val="005E7567"/>
    <w:rsid w:val="005F0F57"/>
    <w:rsid w:val="005F1D8A"/>
    <w:rsid w:val="0063065E"/>
    <w:rsid w:val="00643661"/>
    <w:rsid w:val="00651A61"/>
    <w:rsid w:val="006624B2"/>
    <w:rsid w:val="00673B21"/>
    <w:rsid w:val="00683419"/>
    <w:rsid w:val="00694712"/>
    <w:rsid w:val="006A5948"/>
    <w:rsid w:val="006C1496"/>
    <w:rsid w:val="006C63F4"/>
    <w:rsid w:val="006D0CB1"/>
    <w:rsid w:val="006D1DD4"/>
    <w:rsid w:val="006D218F"/>
    <w:rsid w:val="006D3221"/>
    <w:rsid w:val="006E1563"/>
    <w:rsid w:val="006E32E4"/>
    <w:rsid w:val="006F084E"/>
    <w:rsid w:val="006F3408"/>
    <w:rsid w:val="006F600C"/>
    <w:rsid w:val="00701699"/>
    <w:rsid w:val="00711B8E"/>
    <w:rsid w:val="00721D27"/>
    <w:rsid w:val="00726EC4"/>
    <w:rsid w:val="00730E96"/>
    <w:rsid w:val="00737BCD"/>
    <w:rsid w:val="0075722E"/>
    <w:rsid w:val="00780305"/>
    <w:rsid w:val="007803F1"/>
    <w:rsid w:val="0078300E"/>
    <w:rsid w:val="00793ED4"/>
    <w:rsid w:val="00795E53"/>
    <w:rsid w:val="00796E6F"/>
    <w:rsid w:val="007C6AED"/>
    <w:rsid w:val="007D5270"/>
    <w:rsid w:val="007F08A6"/>
    <w:rsid w:val="007F1A2B"/>
    <w:rsid w:val="00802938"/>
    <w:rsid w:val="00813C70"/>
    <w:rsid w:val="0081488C"/>
    <w:rsid w:val="00820C00"/>
    <w:rsid w:val="008310CB"/>
    <w:rsid w:val="00841057"/>
    <w:rsid w:val="00841F42"/>
    <w:rsid w:val="008475B7"/>
    <w:rsid w:val="00882F20"/>
    <w:rsid w:val="00884ECC"/>
    <w:rsid w:val="00886C18"/>
    <w:rsid w:val="00892DEA"/>
    <w:rsid w:val="00894C0A"/>
    <w:rsid w:val="008A1DA2"/>
    <w:rsid w:val="008A52C4"/>
    <w:rsid w:val="008A53F5"/>
    <w:rsid w:val="008A545E"/>
    <w:rsid w:val="008A7985"/>
    <w:rsid w:val="008C5595"/>
    <w:rsid w:val="008C5FCA"/>
    <w:rsid w:val="008C6234"/>
    <w:rsid w:val="008C7400"/>
    <w:rsid w:val="008D0D27"/>
    <w:rsid w:val="008E7FFA"/>
    <w:rsid w:val="00907410"/>
    <w:rsid w:val="00911D52"/>
    <w:rsid w:val="009157FF"/>
    <w:rsid w:val="0092735E"/>
    <w:rsid w:val="009326D5"/>
    <w:rsid w:val="00941848"/>
    <w:rsid w:val="0095522F"/>
    <w:rsid w:val="00960D9E"/>
    <w:rsid w:val="00965651"/>
    <w:rsid w:val="00967D0B"/>
    <w:rsid w:val="009743E7"/>
    <w:rsid w:val="00985634"/>
    <w:rsid w:val="0099371C"/>
    <w:rsid w:val="00997FB9"/>
    <w:rsid w:val="009A02DB"/>
    <w:rsid w:val="009A29F5"/>
    <w:rsid w:val="009B0B8C"/>
    <w:rsid w:val="009B4729"/>
    <w:rsid w:val="009B73BD"/>
    <w:rsid w:val="009C5E47"/>
    <w:rsid w:val="009D0CB2"/>
    <w:rsid w:val="009E23C6"/>
    <w:rsid w:val="009F51C3"/>
    <w:rsid w:val="00A0360F"/>
    <w:rsid w:val="00A043C9"/>
    <w:rsid w:val="00A113DB"/>
    <w:rsid w:val="00A16CAA"/>
    <w:rsid w:val="00A31015"/>
    <w:rsid w:val="00A42A3A"/>
    <w:rsid w:val="00A4709E"/>
    <w:rsid w:val="00A4712A"/>
    <w:rsid w:val="00A53E07"/>
    <w:rsid w:val="00A60C7C"/>
    <w:rsid w:val="00A83F4D"/>
    <w:rsid w:val="00AA6FED"/>
    <w:rsid w:val="00AB079F"/>
    <w:rsid w:val="00AB4F2C"/>
    <w:rsid w:val="00AE24AA"/>
    <w:rsid w:val="00AF5A80"/>
    <w:rsid w:val="00B008EE"/>
    <w:rsid w:val="00B119FB"/>
    <w:rsid w:val="00B2797F"/>
    <w:rsid w:val="00B30111"/>
    <w:rsid w:val="00B31CD2"/>
    <w:rsid w:val="00B32AF3"/>
    <w:rsid w:val="00B335D4"/>
    <w:rsid w:val="00B84DE8"/>
    <w:rsid w:val="00B936A6"/>
    <w:rsid w:val="00B96193"/>
    <w:rsid w:val="00BD2714"/>
    <w:rsid w:val="00BD3BE0"/>
    <w:rsid w:val="00BD5921"/>
    <w:rsid w:val="00BF2E8A"/>
    <w:rsid w:val="00C02555"/>
    <w:rsid w:val="00C1569E"/>
    <w:rsid w:val="00C16ECB"/>
    <w:rsid w:val="00C265F6"/>
    <w:rsid w:val="00C426E7"/>
    <w:rsid w:val="00C51A58"/>
    <w:rsid w:val="00C73537"/>
    <w:rsid w:val="00C9741A"/>
    <w:rsid w:val="00CA34D3"/>
    <w:rsid w:val="00CA63D8"/>
    <w:rsid w:val="00CD36CA"/>
    <w:rsid w:val="00CE7F91"/>
    <w:rsid w:val="00CF0294"/>
    <w:rsid w:val="00CF0435"/>
    <w:rsid w:val="00CF5C6C"/>
    <w:rsid w:val="00D210C3"/>
    <w:rsid w:val="00D25194"/>
    <w:rsid w:val="00D440B2"/>
    <w:rsid w:val="00D53F6D"/>
    <w:rsid w:val="00D55132"/>
    <w:rsid w:val="00D7690A"/>
    <w:rsid w:val="00D848A0"/>
    <w:rsid w:val="00D86BCC"/>
    <w:rsid w:val="00D97F1C"/>
    <w:rsid w:val="00DA7891"/>
    <w:rsid w:val="00DB0B6F"/>
    <w:rsid w:val="00DE389D"/>
    <w:rsid w:val="00DF1513"/>
    <w:rsid w:val="00E06D65"/>
    <w:rsid w:val="00E2005E"/>
    <w:rsid w:val="00E22B3F"/>
    <w:rsid w:val="00E454BB"/>
    <w:rsid w:val="00E45DBA"/>
    <w:rsid w:val="00E46DD7"/>
    <w:rsid w:val="00E50AAB"/>
    <w:rsid w:val="00E51F5E"/>
    <w:rsid w:val="00E673AF"/>
    <w:rsid w:val="00E73D9A"/>
    <w:rsid w:val="00EC7467"/>
    <w:rsid w:val="00ED165F"/>
    <w:rsid w:val="00ED3EE6"/>
    <w:rsid w:val="00EE450C"/>
    <w:rsid w:val="00F001C8"/>
    <w:rsid w:val="00F044CE"/>
    <w:rsid w:val="00F06C0C"/>
    <w:rsid w:val="00F13113"/>
    <w:rsid w:val="00F15670"/>
    <w:rsid w:val="00F436E6"/>
    <w:rsid w:val="00F52F54"/>
    <w:rsid w:val="00F64010"/>
    <w:rsid w:val="00F6547F"/>
    <w:rsid w:val="00F67738"/>
    <w:rsid w:val="00F75B08"/>
    <w:rsid w:val="00F864E5"/>
    <w:rsid w:val="00FA1987"/>
    <w:rsid w:val="00FA6CD2"/>
    <w:rsid w:val="00FB146C"/>
    <w:rsid w:val="00FC2E42"/>
    <w:rsid w:val="00FD2359"/>
    <w:rsid w:val="00FE69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F1551"/>
  <w15:chartTrackingRefBased/>
  <w15:docId w15:val="{AD6F7EB0-389C-E54B-A9F2-C95A15ED4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1C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1C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1C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1C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1C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1C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1C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1C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1C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1C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1C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1C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1C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1C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1C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1C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1C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1CCC"/>
    <w:rPr>
      <w:rFonts w:eastAsiaTheme="majorEastAsia" w:cstheme="majorBidi"/>
      <w:color w:val="272727" w:themeColor="text1" w:themeTint="D8"/>
    </w:rPr>
  </w:style>
  <w:style w:type="paragraph" w:styleId="Title">
    <w:name w:val="Title"/>
    <w:basedOn w:val="Normal"/>
    <w:next w:val="Normal"/>
    <w:link w:val="TitleChar"/>
    <w:uiPriority w:val="10"/>
    <w:qFormat/>
    <w:rsid w:val="00071C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1C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1C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1C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1CCC"/>
    <w:pPr>
      <w:spacing w:before="160"/>
      <w:jc w:val="center"/>
    </w:pPr>
    <w:rPr>
      <w:i/>
      <w:iCs/>
      <w:color w:val="404040" w:themeColor="text1" w:themeTint="BF"/>
    </w:rPr>
  </w:style>
  <w:style w:type="character" w:customStyle="1" w:styleId="QuoteChar">
    <w:name w:val="Quote Char"/>
    <w:basedOn w:val="DefaultParagraphFont"/>
    <w:link w:val="Quote"/>
    <w:uiPriority w:val="29"/>
    <w:rsid w:val="00071CCC"/>
    <w:rPr>
      <w:i/>
      <w:iCs/>
      <w:color w:val="404040" w:themeColor="text1" w:themeTint="BF"/>
    </w:rPr>
  </w:style>
  <w:style w:type="paragraph" w:styleId="ListParagraph">
    <w:name w:val="List Paragraph"/>
    <w:basedOn w:val="Normal"/>
    <w:uiPriority w:val="34"/>
    <w:qFormat/>
    <w:rsid w:val="00071CCC"/>
    <w:pPr>
      <w:ind w:left="720"/>
      <w:contextualSpacing/>
    </w:pPr>
  </w:style>
  <w:style w:type="character" w:styleId="IntenseEmphasis">
    <w:name w:val="Intense Emphasis"/>
    <w:basedOn w:val="DefaultParagraphFont"/>
    <w:uiPriority w:val="21"/>
    <w:qFormat/>
    <w:rsid w:val="00071CCC"/>
    <w:rPr>
      <w:i/>
      <w:iCs/>
      <w:color w:val="0F4761" w:themeColor="accent1" w:themeShade="BF"/>
    </w:rPr>
  </w:style>
  <w:style w:type="paragraph" w:styleId="IntenseQuote">
    <w:name w:val="Intense Quote"/>
    <w:basedOn w:val="Normal"/>
    <w:next w:val="Normal"/>
    <w:link w:val="IntenseQuoteChar"/>
    <w:uiPriority w:val="30"/>
    <w:qFormat/>
    <w:rsid w:val="00071C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1CCC"/>
    <w:rPr>
      <w:i/>
      <w:iCs/>
      <w:color w:val="0F4761" w:themeColor="accent1" w:themeShade="BF"/>
    </w:rPr>
  </w:style>
  <w:style w:type="character" w:styleId="IntenseReference">
    <w:name w:val="Intense Reference"/>
    <w:basedOn w:val="DefaultParagraphFont"/>
    <w:uiPriority w:val="32"/>
    <w:qFormat/>
    <w:rsid w:val="00071CCC"/>
    <w:rPr>
      <w:b/>
      <w:bCs/>
      <w:smallCaps/>
      <w:color w:val="0F4761" w:themeColor="accent1" w:themeShade="BF"/>
      <w:spacing w:val="5"/>
    </w:rPr>
  </w:style>
  <w:style w:type="paragraph" w:styleId="NormalWeb">
    <w:name w:val="Normal (Web)"/>
    <w:basedOn w:val="Normal"/>
    <w:uiPriority w:val="99"/>
    <w:unhideWhenUsed/>
    <w:rsid w:val="00406C9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75722E"/>
    <w:rPr>
      <w:i/>
      <w:iCs/>
    </w:rPr>
  </w:style>
  <w:style w:type="character" w:styleId="Strong">
    <w:name w:val="Strong"/>
    <w:basedOn w:val="DefaultParagraphFont"/>
    <w:uiPriority w:val="22"/>
    <w:qFormat/>
    <w:rsid w:val="005E7567"/>
    <w:rPr>
      <w:b/>
      <w:bCs/>
    </w:rPr>
  </w:style>
  <w:style w:type="character" w:styleId="HTMLCode">
    <w:name w:val="HTML Code"/>
    <w:basedOn w:val="DefaultParagraphFont"/>
    <w:uiPriority w:val="99"/>
    <w:semiHidden/>
    <w:unhideWhenUsed/>
    <w:rsid w:val="003606FC"/>
    <w:rPr>
      <w:rFonts w:ascii="Courier New" w:eastAsia="Times New Roman" w:hAnsi="Courier New" w:cs="Courier New"/>
      <w:sz w:val="20"/>
      <w:szCs w:val="20"/>
    </w:rPr>
  </w:style>
  <w:style w:type="paragraph" w:customStyle="1" w:styleId="whitespace-normal">
    <w:name w:val="whitespace-normal"/>
    <w:basedOn w:val="Normal"/>
    <w:rsid w:val="004C0AA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CommentReference">
    <w:name w:val="annotation reference"/>
    <w:basedOn w:val="DefaultParagraphFont"/>
    <w:uiPriority w:val="99"/>
    <w:semiHidden/>
    <w:unhideWhenUsed/>
    <w:rsid w:val="002A47CE"/>
    <w:rPr>
      <w:sz w:val="16"/>
      <w:szCs w:val="16"/>
    </w:rPr>
  </w:style>
  <w:style w:type="paragraph" w:styleId="CommentText">
    <w:name w:val="annotation text"/>
    <w:basedOn w:val="Normal"/>
    <w:link w:val="CommentTextChar"/>
    <w:uiPriority w:val="99"/>
    <w:semiHidden/>
    <w:unhideWhenUsed/>
    <w:rsid w:val="002A47CE"/>
    <w:pPr>
      <w:spacing w:line="240" w:lineRule="auto"/>
    </w:pPr>
    <w:rPr>
      <w:sz w:val="20"/>
      <w:szCs w:val="20"/>
    </w:rPr>
  </w:style>
  <w:style w:type="character" w:customStyle="1" w:styleId="CommentTextChar">
    <w:name w:val="Comment Text Char"/>
    <w:basedOn w:val="DefaultParagraphFont"/>
    <w:link w:val="CommentText"/>
    <w:uiPriority w:val="99"/>
    <w:semiHidden/>
    <w:rsid w:val="002A47CE"/>
    <w:rPr>
      <w:sz w:val="20"/>
      <w:szCs w:val="20"/>
    </w:rPr>
  </w:style>
  <w:style w:type="paragraph" w:styleId="CommentSubject">
    <w:name w:val="annotation subject"/>
    <w:basedOn w:val="CommentText"/>
    <w:next w:val="CommentText"/>
    <w:link w:val="CommentSubjectChar"/>
    <w:uiPriority w:val="99"/>
    <w:semiHidden/>
    <w:unhideWhenUsed/>
    <w:rsid w:val="002A47CE"/>
    <w:rPr>
      <w:b/>
      <w:bCs/>
    </w:rPr>
  </w:style>
  <w:style w:type="character" w:customStyle="1" w:styleId="CommentSubjectChar">
    <w:name w:val="Comment Subject Char"/>
    <w:basedOn w:val="CommentTextChar"/>
    <w:link w:val="CommentSubject"/>
    <w:uiPriority w:val="99"/>
    <w:semiHidden/>
    <w:rsid w:val="002A47CE"/>
    <w:rPr>
      <w:b/>
      <w:bCs/>
      <w:sz w:val="20"/>
      <w:szCs w:val="20"/>
    </w:rPr>
  </w:style>
  <w:style w:type="character" w:customStyle="1" w:styleId="inline-flex">
    <w:name w:val="inline-flex"/>
    <w:basedOn w:val="DefaultParagraphFont"/>
    <w:rsid w:val="00D53F6D"/>
  </w:style>
  <w:style w:type="character" w:customStyle="1" w:styleId="text-nowrap">
    <w:name w:val="text-nowrap"/>
    <w:basedOn w:val="DefaultParagraphFont"/>
    <w:rsid w:val="00D53F6D"/>
  </w:style>
  <w:style w:type="paragraph" w:styleId="NoSpacing">
    <w:name w:val="No Spacing"/>
    <w:uiPriority w:val="1"/>
    <w:qFormat/>
    <w:rsid w:val="00D53F6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595585">
      <w:bodyDiv w:val="1"/>
      <w:marLeft w:val="0"/>
      <w:marRight w:val="0"/>
      <w:marTop w:val="0"/>
      <w:marBottom w:val="0"/>
      <w:divBdr>
        <w:top w:val="none" w:sz="0" w:space="0" w:color="auto"/>
        <w:left w:val="none" w:sz="0" w:space="0" w:color="auto"/>
        <w:bottom w:val="none" w:sz="0" w:space="0" w:color="auto"/>
        <w:right w:val="none" w:sz="0" w:space="0" w:color="auto"/>
      </w:divBdr>
    </w:div>
    <w:div w:id="451019805">
      <w:bodyDiv w:val="1"/>
      <w:marLeft w:val="0"/>
      <w:marRight w:val="0"/>
      <w:marTop w:val="0"/>
      <w:marBottom w:val="0"/>
      <w:divBdr>
        <w:top w:val="none" w:sz="0" w:space="0" w:color="auto"/>
        <w:left w:val="none" w:sz="0" w:space="0" w:color="auto"/>
        <w:bottom w:val="none" w:sz="0" w:space="0" w:color="auto"/>
        <w:right w:val="none" w:sz="0" w:space="0" w:color="auto"/>
      </w:divBdr>
    </w:div>
    <w:div w:id="513303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2944</TotalTime>
  <Pages>11</Pages>
  <Words>8248</Words>
  <Characters>47016</Characters>
  <Application>Microsoft Office Word</Application>
  <DocSecurity>0</DocSecurity>
  <Lines>391</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bmak29</dc:creator>
  <cp:keywords/>
  <dc:description/>
  <cp:lastModifiedBy>Benjamin J. Makhlouf</cp:lastModifiedBy>
  <cp:revision>89</cp:revision>
  <dcterms:created xsi:type="dcterms:W3CDTF">2025-05-19T03:17:00Z</dcterms:created>
  <dcterms:modified xsi:type="dcterms:W3CDTF">2025-09-02T16:42:00Z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id="SB2VnO4d"/&gt;&lt;style id="http://www.zotero.org/styles/methods-in-ecology-and-evolution" hasBibliography="1" bibliographyStyleHasBeenSet="0"/&gt;&lt;prefs&gt;&lt;pref name="fieldType" value="Field"/&gt;&lt;/prefs&gt;&lt;/da</vt:lpwstr>
  </property>
  <property fmtid="{D5CDD505-2E9C-101B-9397-08002B2CF9AE}" pid="3" name="ZOTERO_PREF_2">
    <vt:lpwstr>ta&gt;</vt:lpwstr>
  </property>
</Properties>
</file>