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74B66078"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timeseries data to discriminate river of origin </w:t>
      </w:r>
      <w:r w:rsidR="00103E0E" w:rsidRPr="00A0360F">
        <w:rPr>
          <w:rFonts w:ascii="Garamond" w:hAnsi="Garamond"/>
          <w:b/>
          <w:bCs/>
          <w:sz w:val="32"/>
          <w:szCs w:val="32"/>
        </w:rPr>
        <w:t xml:space="preserve">for </w:t>
      </w:r>
      <w:r w:rsidRPr="00A0360F">
        <w:rPr>
          <w:rFonts w:ascii="Garamond" w:hAnsi="Garamond"/>
          <w:b/>
          <w:bCs/>
          <w:sz w:val="32"/>
          <w:szCs w:val="32"/>
        </w:rPr>
        <w:t>Western Alaska</w:t>
      </w:r>
      <w:r w:rsidR="00103E0E" w:rsidRPr="00A0360F">
        <w:rPr>
          <w:rFonts w:ascii="Garamond" w:hAnsi="Garamond"/>
          <w:b/>
          <w:bCs/>
          <w:sz w:val="32"/>
          <w:szCs w:val="32"/>
        </w:rPr>
        <w:t xml:space="preserve">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w:t>
      </w:r>
      <w:proofErr w:type="spellStart"/>
      <w:r w:rsidRPr="00A0360F">
        <w:rPr>
          <w:rFonts w:ascii="Garamond" w:hAnsi="Garamond"/>
          <w:sz w:val="21"/>
          <w:szCs w:val="21"/>
        </w:rPr>
        <w:t>Staneva</w:t>
      </w:r>
      <w:proofErr w:type="spellEnd"/>
      <w:r w:rsidRPr="00A0360F">
        <w:rPr>
          <w:rFonts w:ascii="Garamond" w:hAnsi="Garamond"/>
          <w:sz w:val="21"/>
          <w:szCs w:val="21"/>
        </w:rPr>
        <w:t xml:space="preserve"> </w:t>
      </w:r>
    </w:p>
    <w:p w14:paraId="5FCA1CD8" w14:textId="7FAC063D" w:rsidR="00CA63D8" w:rsidRDefault="00CA63D8" w:rsidP="00CA63D8">
      <w:pPr>
        <w:spacing w:line="480" w:lineRule="auto"/>
        <w:rPr>
          <w:rFonts w:ascii="Garamond" w:hAnsi="Garamond"/>
        </w:rPr>
      </w:pPr>
    </w:p>
    <w:p w14:paraId="2A93C8C7" w14:textId="66AC2A42" w:rsidR="00CA63D8" w:rsidRDefault="00CA63D8" w:rsidP="00CA63D8">
      <w:pPr>
        <w:spacing w:line="480" w:lineRule="auto"/>
        <w:rPr>
          <w:rFonts w:ascii="Garamond" w:hAnsi="Garamond"/>
        </w:rPr>
      </w:pPr>
      <w:r>
        <w:rPr>
          <w:rFonts w:ascii="Garamond" w:hAnsi="Garamond"/>
        </w:rPr>
        <w:t xml:space="preserve">Abstract: </w:t>
      </w:r>
    </w:p>
    <w:p w14:paraId="617ABD49" w14:textId="77777777" w:rsidR="00CA63D8" w:rsidRDefault="00CA63D8" w:rsidP="00CA63D8">
      <w:pPr>
        <w:spacing w:line="480" w:lineRule="auto"/>
        <w:rPr>
          <w:rFonts w:ascii="Garamond" w:hAnsi="Garamond"/>
        </w:rPr>
      </w:pPr>
    </w:p>
    <w:p w14:paraId="26181149" w14:textId="77777777" w:rsidR="00CA63D8" w:rsidRDefault="00CA63D8" w:rsidP="00CA63D8">
      <w:pPr>
        <w:spacing w:line="480" w:lineRule="auto"/>
        <w:rPr>
          <w:rFonts w:ascii="Garamond" w:hAnsi="Garamond"/>
        </w:rPr>
      </w:pPr>
    </w:p>
    <w:p w14:paraId="519016C2" w14:textId="77777777" w:rsidR="00CA63D8" w:rsidRDefault="00CA63D8" w:rsidP="00CA63D8">
      <w:pPr>
        <w:spacing w:line="480" w:lineRule="auto"/>
        <w:rPr>
          <w:rFonts w:ascii="Garamond" w:hAnsi="Garamond"/>
        </w:rPr>
      </w:pPr>
    </w:p>
    <w:p w14:paraId="05004B05" w14:textId="77777777" w:rsidR="00CA63D8" w:rsidRDefault="00CA63D8" w:rsidP="00CA63D8">
      <w:pPr>
        <w:spacing w:line="480" w:lineRule="auto"/>
        <w:rPr>
          <w:rFonts w:ascii="Garamond" w:hAnsi="Garamond"/>
        </w:rPr>
      </w:pPr>
    </w:p>
    <w:p w14:paraId="04F4D7F6" w14:textId="77777777" w:rsidR="00CA63D8" w:rsidRDefault="00CA63D8" w:rsidP="00CA63D8">
      <w:pPr>
        <w:spacing w:line="480" w:lineRule="auto"/>
        <w:rPr>
          <w:rFonts w:ascii="Garamond" w:hAnsi="Garamond"/>
        </w:rPr>
      </w:pPr>
    </w:p>
    <w:p w14:paraId="66331E66" w14:textId="77777777" w:rsidR="00CA63D8" w:rsidRDefault="00CA63D8" w:rsidP="00CA63D8">
      <w:pPr>
        <w:spacing w:line="480" w:lineRule="auto"/>
        <w:rPr>
          <w:rFonts w:ascii="Garamond" w:hAnsi="Garamond"/>
        </w:rPr>
      </w:pPr>
    </w:p>
    <w:p w14:paraId="028D5EE6" w14:textId="77777777" w:rsidR="00CA63D8" w:rsidRDefault="00CA63D8" w:rsidP="00CA63D8">
      <w:pPr>
        <w:spacing w:line="480" w:lineRule="auto"/>
        <w:rPr>
          <w:rFonts w:ascii="Garamond" w:hAnsi="Garamond"/>
        </w:rPr>
      </w:pPr>
    </w:p>
    <w:p w14:paraId="79E3D503" w14:textId="77777777" w:rsidR="00CA63D8" w:rsidRDefault="00CA63D8" w:rsidP="00CA63D8">
      <w:pPr>
        <w:spacing w:line="480" w:lineRule="auto"/>
        <w:rPr>
          <w:rFonts w:ascii="Garamond" w:hAnsi="Garamond"/>
        </w:rPr>
      </w:pPr>
    </w:p>
    <w:p w14:paraId="414F837D" w14:textId="77777777" w:rsidR="00CA63D8" w:rsidRDefault="00CA63D8" w:rsidP="00CA63D8">
      <w:pPr>
        <w:spacing w:line="480" w:lineRule="auto"/>
        <w:rPr>
          <w:rFonts w:ascii="Garamond" w:hAnsi="Garamond"/>
        </w:rPr>
      </w:pPr>
    </w:p>
    <w:p w14:paraId="5F6D726D" w14:textId="77777777" w:rsidR="00CA63D8" w:rsidRDefault="00CA63D8" w:rsidP="00CA63D8">
      <w:pPr>
        <w:spacing w:line="480" w:lineRule="auto"/>
        <w:rPr>
          <w:rFonts w:ascii="Garamond" w:hAnsi="Garamond"/>
        </w:rPr>
      </w:pPr>
    </w:p>
    <w:p w14:paraId="1564E5D9" w14:textId="77777777" w:rsidR="00CA63D8" w:rsidRDefault="00CA63D8" w:rsidP="00CA63D8">
      <w:pPr>
        <w:spacing w:line="480" w:lineRule="auto"/>
        <w:rPr>
          <w:rFonts w:ascii="Garamond" w:hAnsi="Garamond"/>
        </w:rPr>
      </w:pPr>
    </w:p>
    <w:p w14:paraId="58074BE0" w14:textId="77777777" w:rsidR="00CA63D8" w:rsidRDefault="00CA63D8" w:rsidP="00CA63D8">
      <w:pPr>
        <w:spacing w:line="480" w:lineRule="auto"/>
        <w:rPr>
          <w:rFonts w:ascii="Garamond" w:hAnsi="Garamond"/>
        </w:rPr>
      </w:pPr>
    </w:p>
    <w:p w14:paraId="54E126A9" w14:textId="77777777" w:rsidR="00CA63D8" w:rsidRDefault="00CA63D8" w:rsidP="00CA63D8">
      <w:pPr>
        <w:spacing w:line="480" w:lineRule="auto"/>
        <w:rPr>
          <w:rFonts w:ascii="Garamond" w:hAnsi="Garamond"/>
        </w:rPr>
      </w:pPr>
    </w:p>
    <w:p w14:paraId="59A527E9" w14:textId="77777777" w:rsidR="00CA63D8" w:rsidRDefault="00CA63D8" w:rsidP="00CA63D8">
      <w:pPr>
        <w:spacing w:line="480" w:lineRule="auto"/>
        <w:rPr>
          <w:rFonts w:ascii="Garamond" w:hAnsi="Garamond"/>
        </w:rPr>
      </w:pPr>
    </w:p>
    <w:p w14:paraId="7B0E24F7" w14:textId="77777777" w:rsidR="00CA63D8" w:rsidRDefault="00CA63D8" w:rsidP="00CA63D8">
      <w:pPr>
        <w:spacing w:line="480" w:lineRule="auto"/>
        <w:rPr>
          <w:rFonts w:ascii="Garamond" w:hAnsi="Garamond"/>
        </w:rPr>
      </w:pP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A428816" w14:textId="77777777" w:rsidR="00DE161A" w:rsidRDefault="00DE161A" w:rsidP="00DE161A">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health 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Although P</w:t>
      </w:r>
      <w:r w:rsidRPr="00DE161A">
        <w:rPr>
          <w:rFonts w:ascii="Garamond" w:hAnsi="Garamond"/>
          <w:sz w:val="22"/>
          <w:szCs w:val="22"/>
        </w:rPr>
        <w:t>opulation-level assessments offer broad-scale perspectives</w:t>
      </w:r>
      <w:r w:rsidRPr="00DE161A">
        <w:rPr>
          <w:rFonts w:ascii="Garamond" w:hAnsi="Garamond"/>
          <w:sz w:val="22"/>
          <w:szCs w:val="22"/>
        </w:rPr>
        <w:t xml:space="preserve"> of ecosystem health, </w:t>
      </w:r>
      <w:r w:rsidRPr="00DE161A">
        <w:rPr>
          <w:rFonts w:ascii="Garamond" w:hAnsi="Garamond"/>
          <w:sz w:val="22"/>
          <w:szCs w:val="22"/>
        </w:rPr>
        <w:t>they can obscure the contributions of processes functioning at finer spatial scales</w:t>
      </w:r>
      <w:r w:rsidRPr="00DE161A">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{"citationID":"fhJR0xBw","properties":{"formattedCitation":"(Anderson, 2018; Wessman &amp; Asner, 1998)","plainCitation":"(Anderson, 2018;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(Anderson, 2018; Wessman &amp; Asner, 1998)</w:t>
      </w:r>
      <w:r w:rsidRPr="00DE161A">
        <w:rPr>
          <w:rFonts w:ascii="Garamond" w:hAnsi="Garamond"/>
          <w:sz w:val="22"/>
          <w:szCs w:val="22"/>
        </w:rPr>
        <w:fldChar w:fldCharType="end"/>
      </w:r>
      <w:r w:rsidRPr="00DE161A">
        <w:rPr>
          <w:rFonts w:ascii="Garamond" w:hAnsi="Garamond"/>
          <w:sz w:val="22"/>
          <w:szCs w:val="22"/>
        </w:rPr>
        <w:t xml:space="preserve">. Monitoring at fine spatial scales in remote, complex ecosystems where </w:t>
      </w:r>
      <w:r w:rsidR="00F436E6" w:rsidRPr="00DE161A">
        <w:rPr>
          <w:rFonts w:ascii="Garamond" w:hAnsi="Garamond"/>
          <w:sz w:val="22"/>
          <w:szCs w:val="22"/>
        </w:rPr>
        <w:t xml:space="preserve">conventional </w:t>
      </w:r>
      <w:r w:rsidRPr="00DE161A">
        <w:rPr>
          <w:rFonts w:ascii="Garamond" w:hAnsi="Garamond"/>
          <w:sz w:val="22"/>
          <w:szCs w:val="22"/>
        </w:rPr>
        <w:t xml:space="preserve">methods </w:t>
      </w:r>
      <w:r w:rsidR="00F436E6" w:rsidRPr="00DE161A">
        <w:rPr>
          <w:rFonts w:ascii="Garamond" w:hAnsi="Garamond"/>
          <w:sz w:val="22"/>
          <w:szCs w:val="22"/>
        </w:rPr>
        <w:t xml:space="preserve">may be impractical or inadequate </w:t>
      </w:r>
      <w:r w:rsidRPr="00DE161A">
        <w:rPr>
          <w:rFonts w:ascii="Garamond" w:hAnsi="Garamond"/>
          <w:sz w:val="22"/>
          <w:szCs w:val="22"/>
        </w:rPr>
        <w:t xml:space="preserve">is a challenge. However, </w:t>
      </w:r>
      <w:r w:rsidRPr="00DE161A">
        <w:rPr>
          <w:rFonts w:ascii="Garamond" w:hAnsi="Garamond"/>
          <w:sz w:val="22"/>
          <w:szCs w:val="22"/>
        </w:rPr>
        <w:t>such efforts are essential for designing management strategies that safeguard the reliability of ecosystem services, which themselves are produced and delivered across diverse spatial scales</w:t>
      </w:r>
      <w:r>
        <w:rPr>
          <w:rFonts w:ascii="Garamond" w:hAnsi="Garamond"/>
          <w:sz w:val="22"/>
          <w:szCs w:val="22"/>
        </w:rPr>
        <w:t xml:space="preserve">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{"citationID":"D7lkBRjQ","properties":{"formattedCitation":"(Hein et al., 2006)","plainCitation":"(Hein et al., 2006)","noteIndex":0},"citationItems":[{"id":5732,"uris":["http://zotero.org/users/8421274/items/XBA25GMC"],"itemData":{"id":5732,"type":"article-journal","abstract":"Since the late 1960s, the valuation of ecosystem services has received ample attention in scientific literature. However, to date, there has been relatively little elaboration of the various spatial and temporal scales at which ecosystem services are supplied. This paper analyzes the spatial scales of ecosystem services, and it examines how stakeholders at different spatial scales attach different values to ecosystem services. The paper first establishes an enhanced framework for the valuation of ecosystem services, with specific attention for stakeholders. The framework includes a procedure to assess the value of regulation services that avoids double counting of these services. Subsequently, the paper analyses the spatial scales of ecosystem services: the ecological scales at which ecosystem services are generated, and the institutional scales at which stakeholders benefit from ecosystem services. On the basis of the proposed valuation framework, we value four selected ecosystem services supplied by the De Wieden wetlands in The Netherlands, and we analyze how these services accrue to stakeholders at different institutional scales. These services are the provision of reed for cutting, the provision of fish, recreation, and nature conservation. In the De Wieden wetland, reed cutting and fisheries are only important at the municipal scale, recreation is most relevant at the municipal and provincial scale, and nature conservation is important in particular at the national and international level. Our analysis shows that stakeholders at different spatial scales can have very different interests in ecosystem services, and we argue that it is highly important to consider the scales of ecosystem services when valuation of services is applied to support the formulation or implementation of ecosystem management plans.","container-title":"Ecological Economics","DOI":"10.1016/j.ecolecon.2005.04.005","ISSN":"0921-8009","issue":"2","journalAbbreviation":"Ecological Economics","page":"209-228","source":"ScienceDirect","title":"Spatial scales, stakeholders and the valuation of ecosystem services","volume":"57","author":[{"family":"Hein","given":"Lars"},{"family":"Koppen","given":"Kris","non-dropping-particle":"van"},{"family":"Groot","given":"Rudolf S.","non-dropping-particle":"de"},{"family":"Ierland","given":"Ekko C.","non-dropping-particle":"van"}],"issued":{"date-parts":[["2006",5,1]]}}}],"schema":"https://github.com/citation-style-language/schema/raw/master/csl-citation.json"}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(Hein et al., 2006)</w:t>
      </w:r>
      <w:r w:rsidRPr="00DE161A">
        <w:rPr>
          <w:rFonts w:ascii="Garamond" w:hAnsi="Garamond"/>
          <w:sz w:val="22"/>
          <w:szCs w:val="22"/>
        </w:rPr>
        <w:fldChar w:fldCharType="end"/>
      </w:r>
      <w:r>
        <w:rPr>
          <w:rFonts w:ascii="Garamond" w:hAnsi="Garamond"/>
          <w:sz w:val="22"/>
          <w:szCs w:val="22"/>
        </w:rPr>
        <w:t xml:space="preserve">. </w:t>
      </w:r>
    </w:p>
    <w:p w14:paraId="038F9429" w14:textId="77777777" w:rsidR="00DE161A" w:rsidRDefault="006F600C" w:rsidP="00DE161A">
      <w:pPr>
        <w:spacing w:line="480" w:lineRule="auto"/>
        <w:ind w:firstLine="720"/>
        <w:rPr>
          <w:rFonts w:ascii="Garamond" w:hAnsi="Garamond"/>
          <w:sz w:val="22"/>
          <w:szCs w:val="22"/>
        </w:rPr>
      </w:pPr>
      <w:r w:rsidRPr="00DE161A">
        <w:rPr>
          <w:rFonts w:ascii="Garamond" w:hAnsi="Garamond"/>
          <w:sz w:val="22"/>
          <w:szCs w:val="22"/>
        </w:rPr>
        <w:t>Management of Pacific salmon populations exemplifies</w:t>
      </w:r>
      <w:r w:rsidR="00DE161A" w:rsidRPr="00DE161A">
        <w:rPr>
          <w:rFonts w:ascii="Garamond" w:hAnsi="Garamond"/>
          <w:sz w:val="22"/>
          <w:szCs w:val="22"/>
        </w:rPr>
        <w:t xml:space="preserve"> the challenge of monitoring across several spatial scales. Adult migrating s</w:t>
      </w:r>
      <w:r w:rsidR="00DE161A" w:rsidRPr="00DE161A">
        <w:rPr>
          <w:rFonts w:ascii="Garamond" w:hAnsi="Garamond"/>
          <w:sz w:val="22"/>
          <w:szCs w:val="22"/>
        </w:rPr>
        <w:t xml:space="preserve">almon exhibit remarkable diversity in both run timing and the spatial extent of habitat use, often </w:t>
      </w:r>
      <w:r w:rsidR="00DE161A" w:rsidRPr="00DE161A">
        <w:rPr>
          <w:rFonts w:ascii="Garamond" w:hAnsi="Garamond"/>
          <w:sz w:val="22"/>
          <w:szCs w:val="22"/>
        </w:rPr>
        <w:t xml:space="preserve">in </w:t>
      </w:r>
      <w:r w:rsidR="00DE161A" w:rsidRPr="00DE161A">
        <w:rPr>
          <w:rFonts w:ascii="Garamond" w:hAnsi="Garamond"/>
          <w:sz w:val="22"/>
          <w:szCs w:val="22"/>
        </w:rPr>
        <w:t>remote and complex ecosystems</w:t>
      </w:r>
      <w:r w:rsidR="00DE161A" w:rsidRPr="00DE161A">
        <w:rPr>
          <w:rFonts w:ascii="Garamond" w:hAnsi="Garamond"/>
          <w:sz w:val="22"/>
          <w:szCs w:val="22"/>
        </w:rPr>
        <w:t xml:space="preserve"> </w:t>
      </w:r>
      <w:r w:rsidR="00DE161A" w:rsidRPr="00DE161A">
        <w:rPr>
          <w:rFonts w:ascii="Garamond" w:hAnsi="Garamond"/>
          <w:sz w:val="22"/>
          <w:szCs w:val="22"/>
        </w:rPr>
        <w:fldChar w:fldCharType="begin"/>
      </w:r>
      <w:r w:rsidR="00DE161A" w:rsidRPr="00DE161A">
        <w:rPr>
          <w:rFonts w:ascii="Garamond" w:hAnsi="Garamond"/>
          <w:sz w:val="22"/>
          <w:szCs w:val="22"/>
        </w:rPr>
        <w:instrText xml:space="preserve"> ADDIN ZOTERO_ITEM CSL_CITATION {"citationID":"b0UtHQha","properties":{"formattedCitation":"(Quinn,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DE161A" w:rsidRPr="00DE161A">
        <w:rPr>
          <w:rFonts w:ascii="Garamond" w:hAnsi="Garamond"/>
          <w:sz w:val="22"/>
          <w:szCs w:val="22"/>
        </w:rPr>
        <w:fldChar w:fldCharType="separate"/>
      </w:r>
      <w:r w:rsidR="00DE161A" w:rsidRPr="00DE161A">
        <w:rPr>
          <w:rFonts w:ascii="Garamond" w:hAnsi="Garamond"/>
          <w:noProof/>
          <w:sz w:val="22"/>
          <w:szCs w:val="22"/>
        </w:rPr>
        <w:t>(Quinn, 2018)</w:t>
      </w:r>
      <w:r w:rsidR="00DE161A" w:rsidRPr="00DE161A">
        <w:rPr>
          <w:rFonts w:ascii="Garamond" w:hAnsi="Garamond"/>
          <w:sz w:val="22"/>
          <w:szCs w:val="22"/>
        </w:rPr>
        <w:fldChar w:fldCharType="end"/>
      </w:r>
      <w:r w:rsidR="00DE161A" w:rsidRPr="00DE161A">
        <w:rPr>
          <w:rFonts w:ascii="Garamond" w:hAnsi="Garamond"/>
          <w:sz w:val="22"/>
          <w:szCs w:val="22"/>
        </w:rPr>
        <w:t xml:space="preserve">. </w:t>
      </w:r>
      <w:r w:rsidR="00DE161A" w:rsidRPr="00DE161A">
        <w:rPr>
          <w:rFonts w:ascii="Garamond" w:hAnsi="Garamond"/>
          <w:sz w:val="22"/>
          <w:szCs w:val="22"/>
        </w:rPr>
        <w:t xml:space="preserve">In Western Alaska, which is home to some of the healthiest remaining salmon ecosystems worldwide, fish returning to the Yukon, Kuskokwim, and </w:t>
      </w:r>
      <w:proofErr w:type="spellStart"/>
      <w:r w:rsidR="00DE161A" w:rsidRPr="00DE161A">
        <w:rPr>
          <w:rFonts w:ascii="Garamond" w:hAnsi="Garamond"/>
          <w:sz w:val="22"/>
          <w:szCs w:val="22"/>
        </w:rPr>
        <w:t>Nushagak</w:t>
      </w:r>
      <w:proofErr w:type="spellEnd"/>
      <w:r w:rsidR="00DE161A" w:rsidRPr="00DE161A">
        <w:rPr>
          <w:rFonts w:ascii="Garamond" w:hAnsi="Garamond"/>
          <w:sz w:val="22"/>
          <w:szCs w:val="22"/>
        </w:rPr>
        <w:t xml:space="preserve"> rivers migrate vast distances through rugged terrain</w:t>
      </w:r>
      <w:r w:rsidR="00DE161A">
        <w:rPr>
          <w:rFonts w:ascii="Garamond" w:hAnsi="Garamond"/>
          <w:sz w:val="22"/>
          <w:szCs w:val="22"/>
        </w:rPr>
        <w:t xml:space="preserve">, where monitoring at the basin or sub-basin scale is limited. </w:t>
      </w:r>
      <w:r w:rsidRPr="00DE161A">
        <w:rPr>
          <w:rFonts w:ascii="Garamond" w:hAnsi="Garamond"/>
          <w:sz w:val="22"/>
          <w:szCs w:val="22"/>
        </w:rPr>
        <w:t xml:space="preserve">Salmon in this region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serve as a subsistence resource for upstream communities</w:t>
      </w:r>
      <w:r w:rsidR="00DE161A">
        <w:rPr>
          <w:rFonts w:ascii="Garamond" w:hAnsi="Garamond"/>
          <w:sz w:val="22"/>
          <w:szCs w:val="22"/>
        </w:rPr>
        <w:t>, however, r</w:t>
      </w:r>
      <w:r w:rsidR="00F15670" w:rsidRPr="00FD2359">
        <w:rPr>
          <w:rFonts w:ascii="Garamond" w:hAnsi="Garamond"/>
          <w:sz w:val="22"/>
          <w:szCs w:val="22"/>
        </w:rPr>
        <w:t>ecent sustained declines in the number of Chinook salmon (</w:t>
      </w:r>
      <w:r w:rsidR="00F15670" w:rsidRPr="00FD2359">
        <w:rPr>
          <w:rStyle w:val="Emphasis"/>
          <w:rFonts w:ascii="Garamond" w:hAnsi="Garamond"/>
          <w:sz w:val="22"/>
          <w:szCs w:val="22"/>
        </w:rPr>
        <w:t>Oncorhynchus tshawytscha</w:t>
      </w:r>
      <w:commentRangeStart w:id="0"/>
      <w:r w:rsidR="00F15670" w:rsidRPr="00FD2359">
        <w:rPr>
          <w:rFonts w:ascii="Garamond" w:hAnsi="Garamond"/>
          <w:sz w:val="22"/>
          <w:szCs w:val="22"/>
        </w:rPr>
        <w:t>)</w:t>
      </w:r>
      <w:commentRangeEnd w:id="0"/>
      <w:r w:rsidR="00DE161A">
        <w:rPr>
          <w:rStyle w:val="CommentReference"/>
        </w:rPr>
        <w:commentReference w:id="0"/>
      </w:r>
      <w:r w:rsidR="00F15670" w:rsidRPr="00FD2359">
        <w:rPr>
          <w:rFonts w:ascii="Garamond" w:hAnsi="Garamond"/>
          <w:sz w:val="22"/>
          <w:szCs w:val="22"/>
        </w:rPr>
        <w:t xml:space="preserve"> returning to </w:t>
      </w:r>
      <w:r w:rsidR="00FD2359" w:rsidRPr="00FD2359">
        <w:rPr>
          <w:rFonts w:ascii="Garamond" w:hAnsi="Garamond"/>
          <w:sz w:val="22"/>
          <w:szCs w:val="22"/>
        </w:rPr>
        <w:t>Western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 </w:t>
      </w:r>
    </w:p>
    <w:p w14:paraId="5D22D366" w14:textId="77777777" w:rsidR="00DE161A" w:rsidRDefault="00FD2359" w:rsidP="00DE161A">
      <w:pPr>
        <w:spacing w:line="480" w:lineRule="auto"/>
        <w:ind w:firstLine="720"/>
        <w:rPr>
          <w:rFonts w:ascii="Garamond" w:hAnsi="Garamond"/>
          <w:sz w:val="22"/>
          <w:szCs w:val="22"/>
        </w:rPr>
      </w:pPr>
      <w:r w:rsidRPr="00DE161A">
        <w:rPr>
          <w:rFonts w:ascii="Garamond" w:hAnsi="Garamond"/>
          <w:sz w:val="22"/>
          <w:szCs w:val="22"/>
        </w:rPr>
        <w:t xml:space="preserve">Several </w:t>
      </w:r>
      <w:r w:rsidR="00DE161A" w:rsidRPr="00DE161A">
        <w:rPr>
          <w:rFonts w:ascii="Garamond" w:hAnsi="Garamond"/>
          <w:sz w:val="22"/>
          <w:szCs w:val="22"/>
        </w:rPr>
        <w:t>marine-based</w:t>
      </w:r>
      <w:r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Pr="00DE161A">
        <w:rPr>
          <w:rFonts w:ascii="Garamond" w:hAnsi="Garamond"/>
          <w:sz w:val="22"/>
          <w:szCs w:val="22"/>
        </w:rPr>
        <w:t>bycatch in federal trawl fisheries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w:t>
      </w:r>
      <w:r w:rsidR="00DE161A" w:rsidRPr="00DE161A">
        <w:rPr>
          <w:rFonts w:ascii="Garamond" w:hAnsi="Garamond"/>
          <w:sz w:val="22"/>
          <w:szCs w:val="22"/>
        </w:rPr>
        <w:t>requires comparison against river-specific population dynamics, which vary both among watersheds and across years.</w:t>
      </w:r>
      <w:r w:rsidR="00DE161A">
        <w:rPr>
          <w:rFonts w:ascii="Garamond" w:hAnsi="Garamond"/>
          <w:sz w:val="22"/>
          <w:szCs w:val="22"/>
        </w:rPr>
        <w:t xml:space="preserve"> </w:t>
      </w:r>
      <w:r w:rsidR="00DE161A" w:rsidRPr="00DE161A">
        <w:rPr>
          <w:rFonts w:ascii="Garamond" w:hAnsi="Garamond"/>
          <w:sz w:val="22"/>
          <w:szCs w:val="22"/>
        </w:rPr>
        <w:t>However, genetic stock identification (GSI), a powerful and widely used tool for estimating the provenance of Chinook salmon stocks for in-season management, cannot discriminate within the Coastal Western Alaska (CWAK) genetic reporting group</w:t>
      </w:r>
      <w:r w:rsidR="00DE161A">
        <w:rPr>
          <w:rFonts w:ascii="Garamond" w:hAnsi="Garamond"/>
          <w:sz w:val="22"/>
          <w:szCs w:val="22"/>
        </w:rPr>
        <w:t xml:space="preserve">, which contains some portion of all three watersheds </w:t>
      </w:r>
      <w:r w:rsidR="00DE161A">
        <w:rPr>
          <w:rFonts w:ascii="Garamond" w:hAnsi="Garamond"/>
          <w:sz w:val="22"/>
          <w:szCs w:val="22"/>
        </w:rPr>
        <w:lastRenderedPageBreak/>
        <w:t xml:space="preserve">(Figure 1). </w:t>
      </w:r>
      <w:r w:rsidR="00DE161A" w:rsidRPr="00DE161A">
        <w:rPr>
          <w:rFonts w:ascii="Garamond" w:hAnsi="Garamond"/>
          <w:sz w:val="22"/>
          <w:szCs w:val="22"/>
        </w:rPr>
        <w:t>As a result, evaluating marine-based hypotheses has been constrained by the inability to determine the river of origin for fish</w:t>
      </w:r>
      <w:r w:rsidR="00DE161A">
        <w:rPr>
          <w:rFonts w:ascii="Garamond" w:hAnsi="Garamond"/>
          <w:sz w:val="22"/>
          <w:szCs w:val="22"/>
        </w:rPr>
        <w:t xml:space="preserve"> in the marine environment</w:t>
      </w:r>
      <w:r w:rsidR="00DE161A" w:rsidRPr="00DE161A">
        <w:rPr>
          <w:rFonts w:ascii="Garamond" w:hAnsi="Garamond"/>
          <w:sz w:val="22"/>
          <w:szCs w:val="22"/>
        </w:rPr>
        <w:t>.</w:t>
      </w:r>
    </w:p>
    <w:p w14:paraId="541CC541" w14:textId="3BA7783B" w:rsidR="0010010D" w:rsidRPr="00CA63D8" w:rsidRDefault="00DE161A" w:rsidP="00DE161A">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Pr>
          <w:rFonts w:ascii="Garamond" w:hAnsi="Garamond"/>
          <w:sz w:val="22"/>
          <w:szCs w:val="22"/>
        </w:rPr>
        <w:t xml:space="preserve">s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 xml:space="preserve">the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FD2359" w:rsidRPr="00CA63D8">
        <w:rPr>
          <w:rFonts w:ascii="Garamond" w:hAnsi="Garamond"/>
          <w:sz w:val="22"/>
          <w:szCs w:val="22"/>
        </w:rPr>
        <w:t xml:space="preserve">is </w:t>
      </w:r>
      <w:r w:rsidR="0010010D" w:rsidRPr="00CA63D8">
        <w:rPr>
          <w:rFonts w:ascii="Garamond" w:hAnsi="Garamond"/>
          <w:sz w:val="22"/>
          <w:szCs w:val="22"/>
        </w:rPr>
        <w:t xml:space="preserve">temporally stable in Alaskan watersheds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Pr>
          <w:rFonts w:ascii="Garamond" w:hAnsi="Garamond"/>
          <w:sz w:val="22"/>
          <w:szCs w:val="22"/>
        </w:rPr>
        <w:t xml:space="preserve">This signature has been used to </w:t>
      </w:r>
      <w:r w:rsidR="00FD2359" w:rsidRPr="00CA63D8">
        <w:rPr>
          <w:rFonts w:ascii="Garamond" w:hAnsi="Garamond"/>
          <w:sz w:val="22"/>
          <w:szCs w:val="22"/>
        </w:rPr>
        <w:t>estimate provenance</w:t>
      </w:r>
      <w:r>
        <w:rPr>
          <w:rFonts w:ascii="Garamond" w:hAnsi="Garamond"/>
          <w:sz w:val="22"/>
          <w:szCs w:val="22"/>
        </w:rPr>
        <w:t xml:space="preserve"> of Western Alaska Chinook salmon from known watersheds by </w:t>
      </w:r>
      <w:r w:rsidR="00FD2359" w:rsidRPr="00CA63D8">
        <w:rPr>
          <w:rFonts w:ascii="Garamond" w:hAnsi="Garamond"/>
          <w:sz w:val="22"/>
          <w:szCs w:val="22"/>
        </w:rPr>
        <w:t xml:space="preserve">comparing </w:t>
      </w:r>
      <w:r>
        <w:rPr>
          <w:rFonts w:ascii="Garamond" w:hAnsi="Garamond"/>
          <w:sz w:val="22"/>
          <w:szCs w:val="22"/>
        </w:rPr>
        <w:t xml:space="preserve">a single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from the natal 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While </w:t>
      </w:r>
      <w:r>
        <w:rPr>
          <w:rFonts w:ascii="Garamond" w:hAnsi="Garamond"/>
          <w:sz w:val="22"/>
          <w:szCs w:val="22"/>
        </w:rPr>
        <w:t xml:space="preserve">heterogeneity in strontium isotope ratios is sufficient within a single river-basin, redundancy in strontium isotope ratios at the regional scale prevents </w:t>
      </w:r>
      <w:r w:rsidR="0010010D" w:rsidRPr="00CA63D8">
        <w:rPr>
          <w:rFonts w:ascii="Garamond" w:hAnsi="Garamond"/>
          <w:sz w:val="22"/>
          <w:szCs w:val="22"/>
        </w:rPr>
        <w:t xml:space="preserve">reliable assignments </w:t>
      </w:r>
      <w:r>
        <w:rPr>
          <w:rFonts w:ascii="Garamond" w:hAnsi="Garamond"/>
          <w:sz w:val="22"/>
          <w:szCs w:val="22"/>
        </w:rPr>
        <w:t xml:space="preserve">of a river of origin </w:t>
      </w:r>
      <w:r w:rsidR="007C6AED" w:rsidRPr="00CA63D8">
        <w:rPr>
          <w:rFonts w:ascii="Garamond" w:hAnsi="Garamond"/>
          <w:sz w:val="22"/>
          <w:szCs w:val="22"/>
        </w:rPr>
        <w:t xml:space="preserve">using </w:t>
      </w:r>
      <w:r>
        <w:rPr>
          <w:rFonts w:ascii="Garamond" w:hAnsi="Garamond"/>
          <w:sz w:val="22"/>
          <w:szCs w:val="22"/>
        </w:rPr>
        <w:t>this method for marine caught fish,</w:t>
      </w:r>
      <w:r w:rsidR="00CA63D8" w:rsidRPr="00CA63D8">
        <w:rPr>
          <w:rFonts w:ascii="Garamond" w:hAnsi="Garamond"/>
          <w:sz w:val="22"/>
          <w:szCs w:val="22"/>
        </w:rPr>
        <w:t xml:space="preserve"> which could have originated from any of the three watersheds</w:t>
      </w:r>
      <w:r w:rsidR="0010010D" w:rsidRPr="00CA63D8">
        <w:rPr>
          <w:rFonts w:ascii="Garamond" w:hAnsi="Garamond"/>
          <w:sz w:val="22"/>
          <w:szCs w:val="22"/>
        </w:rPr>
        <w:t xml:space="preserve"> (Figure 1).</w:t>
      </w:r>
    </w:p>
    <w:p w14:paraId="240F7B0E" w14:textId="7EEC8AFE" w:rsidR="000318EA" w:rsidRPr="000318EA" w:rsidRDefault="00CA63D8" w:rsidP="000318EA">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migrate quickly from freshwater rearing habitats to the ocean, post-natal otolith strontium data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0318EA" w:rsidRPr="000318EA">
        <w:rPr>
          <w:rFonts w:ascii="Garamond" w:hAnsi="Garamond"/>
          <w:sz w:val="22"/>
          <w:szCs w:val="22"/>
        </w:rPr>
        <w:t xml:space="preserve">sequentially ordered otolith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Sr</w:t>
      </w:r>
      <w:r w:rsidR="000318EA" w:rsidRPr="000318EA">
        <w:rPr>
          <w:rFonts w:ascii="Garamond" w:hAnsi="Garamond"/>
          <w:sz w:val="22"/>
          <w:szCs w:val="22"/>
        </w:rPr>
        <w:t xml:space="preserve"> data</w:t>
      </w:r>
      <w:r w:rsidR="000318EA" w:rsidRPr="000318EA">
        <w:rPr>
          <w:rFonts w:ascii="Garamond" w:hAnsi="Garamond"/>
          <w:sz w:val="22"/>
          <w:szCs w:val="22"/>
        </w:rPr>
        <w:t xml:space="preserve"> record a series of subtle patterns produced by incomplete and ongoing turnover reactions. The shape of these patterns, and the relationships among them, may encode distinctive river-specific life histories that together form an identifiable “fingerprint</w:t>
      </w:r>
      <w:r w:rsidR="000318EA" w:rsidRPr="000318EA">
        <w:rPr>
          <w:rFonts w:ascii="Garamond" w:hAnsi="Garamond"/>
          <w:sz w:val="22"/>
          <w:szCs w:val="22"/>
        </w:rPr>
        <w:t>” of river-specific stocks.</w:t>
      </w:r>
      <w:r w:rsidR="000318EA" w:rsidRPr="000318EA">
        <w:rPr>
          <w:rFonts w:ascii="Garamond" w:hAnsi="Garamond"/>
          <w:sz w:val="22"/>
          <w:szCs w:val="22"/>
        </w:rPr>
        <w:t xml:space="preserve"> </w:t>
      </w:r>
      <w:r w:rsidR="000318EA" w:rsidRPr="000318EA">
        <w:rPr>
          <w:rFonts w:ascii="Garamond" w:hAnsi="Garamond"/>
          <w:sz w:val="22"/>
          <w:szCs w:val="22"/>
        </w:rPr>
        <w:lastRenderedPageBreak/>
        <w:t>However, because these patterns are subtle and the number of possible combinations in large river basins is high, such identifiers are difficult to detect using traditional statistical or manual approaches</w:t>
      </w:r>
      <w:r w:rsidR="000318EA" w:rsidRPr="000318EA">
        <w:rPr>
          <w:rFonts w:ascii="Garamond" w:hAnsi="Garamond"/>
          <w:sz w:val="22"/>
          <w:szCs w:val="22"/>
        </w:rPr>
        <w:t xml:space="preserve">. </w:t>
      </w:r>
    </w:p>
    <w:p w14:paraId="3204BB9A" w14:textId="52DEA1EF" w:rsidR="00E71422"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Machine learning methods, which are particularly well-suited to interpreting complex, multidimensional patterns in datasets, have only recently been applied to otolith chemical analysis. However, their limited applications have shown promising performance relative to traditional techniques </w:t>
      </w:r>
      <w:r w:rsidRPr="007C6AED">
        <w:rPr>
          <w:rFonts w:ascii="Garamond" w:hAnsi="Garamond"/>
          <w:sz w:val="22"/>
          <w:szCs w:val="22"/>
        </w:rPr>
        <w:fldChar w:fldCharType="begin"/>
      </w:r>
      <w:r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Pr="007C6AED">
        <w:rPr>
          <w:rFonts w:ascii="Garamond" w:hAnsi="Garamond"/>
          <w:sz w:val="22"/>
          <w:szCs w:val="22"/>
        </w:rPr>
        <w:fldChar w:fldCharType="separate"/>
      </w:r>
      <w:r w:rsidRPr="007C6AED">
        <w:rPr>
          <w:rFonts w:ascii="Garamond" w:hAnsi="Garamond"/>
          <w:noProof/>
          <w:sz w:val="22"/>
          <w:szCs w:val="22"/>
        </w:rPr>
        <w:t>(Arai et al., 2023; Mercier et al., 2011)</w:t>
      </w:r>
      <w:r w:rsidRPr="007C6AED">
        <w:rPr>
          <w:rFonts w:ascii="Garamond" w:hAnsi="Garamond"/>
          <w:sz w:val="22"/>
          <w:szCs w:val="22"/>
        </w:rPr>
        <w:fldChar w:fldCharType="end"/>
      </w:r>
      <w:r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r w:rsidRPr="00E71422">
        <w:rPr>
          <w:rFonts w:ascii="Garamond" w:hAnsi="Garamond"/>
          <w:sz w:val="22"/>
          <w:szCs w:val="22"/>
        </w:rPr>
        <w:fldChar w:fldCharType="begin"/>
      </w:r>
      <w:r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Pr="00E71422">
        <w:rPr>
          <w:rFonts w:ascii="Garamond" w:hAnsi="Garamond"/>
          <w:sz w:val="22"/>
          <w:szCs w:val="22"/>
        </w:rPr>
        <w:fldChar w:fldCharType="separate"/>
      </w:r>
      <w:r w:rsidRPr="00E71422">
        <w:rPr>
          <w:rFonts w:ascii="Garamond" w:hAnsi="Garamond"/>
          <w:noProof/>
          <w:sz w:val="22"/>
          <w:szCs w:val="22"/>
        </w:rPr>
        <w:t>(Hegg &amp; Kennedy, 2021)</w:t>
      </w:r>
      <w:r w:rsidRPr="00E71422">
        <w:rPr>
          <w:rFonts w:ascii="Garamond" w:hAnsi="Garamond"/>
          <w:sz w:val="22"/>
          <w:szCs w:val="22"/>
        </w:rPr>
        <w:fldChar w:fldCharType="end"/>
      </w:r>
      <w:r w:rsidRPr="00E71422">
        <w:rPr>
          <w:rFonts w:ascii="Garamond" w:hAnsi="Garamond"/>
          <w:sz w:val="22"/>
          <w:szCs w:val="22"/>
        </w:rPr>
        <w:t xml:space="preserve">. </w:t>
      </w:r>
      <w:r w:rsidR="00E71422" w:rsidRPr="00E71422">
        <w:rPr>
          <w:rFonts w:ascii="Garamond" w:hAnsi="Garamond"/>
          <w:sz w:val="22"/>
          <w:szCs w:val="22"/>
        </w:rPr>
        <w:t xml:space="preserve">Combining the temporal resolution of otolith timeseries data with the statistical power of machine learning offers the potential to detect otherwise indiscernible patterns within and across LA datasets. With the addition of known watershed labels, these methods could be used to </w:t>
      </w:r>
      <w:r w:rsidR="00E71422" w:rsidRPr="00E71422">
        <w:rPr>
          <w:rFonts w:ascii="Garamond" w:hAnsi="Garamond"/>
          <w:sz w:val="22"/>
          <w:szCs w:val="22"/>
        </w:rPr>
        <w:t xml:space="preserve">develop a model capable of </w:t>
      </w:r>
      <w:r w:rsidR="00E71422" w:rsidRPr="00E71422">
        <w:rPr>
          <w:rFonts w:ascii="Garamond" w:hAnsi="Garamond"/>
          <w:sz w:val="22"/>
          <w:szCs w:val="22"/>
        </w:rPr>
        <w:t>discriminate the river of origin for</w:t>
      </w:r>
      <w:r w:rsidR="00E71422" w:rsidRPr="00E71422">
        <w:rPr>
          <w:rFonts w:ascii="Garamond" w:hAnsi="Garamond"/>
          <w:sz w:val="22"/>
          <w:szCs w:val="22"/>
        </w:rPr>
        <w:t xml:space="preserve"> marine caught Chinook salmon in Western Alaska</w:t>
      </w:r>
      <w:r w:rsidR="00E71422" w:rsidRPr="00E71422">
        <w:rPr>
          <w:rFonts w:ascii="Garamond" w:hAnsi="Garamond"/>
          <w:sz w:val="22"/>
          <w:szCs w:val="22"/>
        </w:rPr>
        <w:t>.</w:t>
      </w:r>
    </w:p>
    <w:p w14:paraId="5ED2AE5F" w14:textId="461BC296"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machine learning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otolith LA data from Chinook salmon in Western Alaska</w:t>
      </w:r>
      <w:r w:rsidR="002C12CC">
        <w:rPr>
          <w:rFonts w:ascii="Garamond" w:hAnsi="Garamond"/>
          <w:sz w:val="22"/>
          <w:szCs w:val="22"/>
        </w:rPr>
        <w:t xml:space="preserve"> with a known river of origin. In doing so, we </w:t>
      </w:r>
      <w:r w:rsidRPr="007C6AED">
        <w:rPr>
          <w:rFonts w:ascii="Garamond" w:hAnsi="Garamond"/>
          <w:sz w:val="22"/>
          <w:szCs w:val="22"/>
        </w:rPr>
        <w:t>test the potential of machine learning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179E324F"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51389E" w:rsidRPr="00CA63D8">
        <w:rPr>
          <w:rFonts w:ascii="Garamond" w:hAnsi="Garamond"/>
          <w:b/>
          <w:bCs/>
          <w:sz w:val="22"/>
          <w:szCs w:val="22"/>
        </w:rPr>
        <w:t xml:space="preserve"> Data</w:t>
      </w:r>
      <w:r w:rsidR="00CA63D8">
        <w:rPr>
          <w:rFonts w:ascii="Garamond" w:hAnsi="Garamond"/>
          <w:b/>
          <w:bCs/>
          <w:sz w:val="22"/>
          <w:szCs w:val="22"/>
        </w:rPr>
        <w:t xml:space="preserve">: </w:t>
      </w:r>
    </w:p>
    <w:p w14:paraId="5A85303E" w14:textId="25D54A0E" w:rsidR="0075722E" w:rsidRPr="00DF1513" w:rsidRDefault="00E46DD7" w:rsidP="00CE7F91">
      <w:pPr>
        <w:spacing w:line="480" w:lineRule="auto"/>
        <w:ind w:firstLine="720"/>
        <w:rPr>
          <w:rFonts w:ascii="Garamond" w:hAnsi="Garamond"/>
          <w:sz w:val="22"/>
          <w:szCs w:val="22"/>
        </w:rPr>
      </w:pPr>
      <w:r w:rsidRPr="00CE7F91">
        <w:rPr>
          <w:rFonts w:ascii="Garamond" w:hAnsi="Garamond"/>
          <w:sz w:val="22"/>
          <w:szCs w:val="22"/>
        </w:rPr>
        <w:t xml:space="preserve">Chinook salmon otoliths were collected from the Yukon (2015, 2016, 2019–2021), Kuskokwim (2017–2022), and </w:t>
      </w:r>
      <w:proofErr w:type="spellStart"/>
      <w:r w:rsidRPr="00CE7F91">
        <w:rPr>
          <w:rFonts w:ascii="Garamond" w:hAnsi="Garamond"/>
          <w:sz w:val="22"/>
          <w:szCs w:val="22"/>
        </w:rPr>
        <w:t>Nushagak</w:t>
      </w:r>
      <w:proofErr w:type="spellEnd"/>
      <w:r w:rsidRPr="00CE7F91">
        <w:rPr>
          <w:rFonts w:ascii="Garamond" w:hAnsi="Garamond"/>
          <w:sz w:val="22"/>
          <w:szCs w:val="22"/>
        </w:rPr>
        <w:t xml:space="preserve">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w:t>
      </w:r>
      <w:r w:rsidR="00DF1513" w:rsidRPr="00CE7F91">
        <w:rPr>
          <w:rFonts w:ascii="Garamond" w:hAnsi="Garamond"/>
          <w:sz w:val="22"/>
          <w:szCs w:val="22"/>
        </w:rPr>
        <w:lastRenderedPageBreak/>
        <w:t xml:space="preserve">and Game Lower Yukon Test Fishery (LYTF), </w:t>
      </w:r>
      <w:proofErr w:type="spellStart"/>
      <w:r w:rsidR="00DF1513" w:rsidRPr="00CE7F91">
        <w:rPr>
          <w:rFonts w:ascii="Garamond" w:hAnsi="Garamond"/>
          <w:sz w:val="22"/>
          <w:szCs w:val="22"/>
        </w:rPr>
        <w:t>Orutsararmiut</w:t>
      </w:r>
      <w:proofErr w:type="spellEnd"/>
      <w:r w:rsidR="00DF1513" w:rsidRPr="00CE7F91">
        <w:rPr>
          <w:rFonts w:ascii="Garamond" w:hAnsi="Garamond"/>
          <w:sz w:val="22"/>
          <w:szCs w:val="22"/>
        </w:rPr>
        <w:t xml:space="preserve"> Native Council at the Bethel Test Fishery, and </w:t>
      </w:r>
      <w:r w:rsidR="002A47CE" w:rsidRPr="002A47CE">
        <w:rPr>
          <w:rFonts w:ascii="Garamond" w:hAnsi="Garamond"/>
          <w:sz w:val="22"/>
          <w:szCs w:val="22"/>
          <w:highlight w:val="yellow"/>
        </w:rPr>
        <w:t>* insert sampling location for Nush*.</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~250 otoliths from each year were 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preformed from the core to just after the onset of the marine signature along the dorsal lobe</w:t>
      </w:r>
      <w:r w:rsidR="00CE7F91">
        <w:rPr>
          <w:rFonts w:ascii="Garamond" w:hAnsi="Garamond"/>
          <w:sz w:val="22"/>
          <w:szCs w:val="22"/>
        </w:rPr>
        <w:t xml:space="preserve"> scanning at </w:t>
      </w:r>
      <w:commentRangeStart w:id="1"/>
      <w:r w:rsidR="00CE7F91">
        <w:rPr>
          <w:rFonts w:ascii="Garamond" w:hAnsi="Garamond"/>
          <w:sz w:val="22"/>
          <w:szCs w:val="22"/>
        </w:rPr>
        <w:t xml:space="preserve">[ insert specifications here for </w:t>
      </w:r>
      <w:proofErr w:type="spellStart"/>
      <w:r w:rsidR="00CE7F91">
        <w:rPr>
          <w:rFonts w:ascii="Garamond" w:hAnsi="Garamond"/>
          <w:sz w:val="22"/>
          <w:szCs w:val="22"/>
        </w:rPr>
        <w:t>icpms</w:t>
      </w:r>
      <w:proofErr w:type="spellEnd"/>
      <w:r w:rsidR="00CE7F91">
        <w:rPr>
          <w:rFonts w:ascii="Garamond" w:hAnsi="Garamond"/>
          <w:sz w:val="22"/>
          <w:szCs w:val="22"/>
        </w:rPr>
        <w:t xml:space="preserve">]. </w:t>
      </w:r>
      <w:commentRangeEnd w:id="1"/>
      <w:r w:rsidR="002A47CE">
        <w:rPr>
          <w:rStyle w:val="CommentReference"/>
        </w:rPr>
        <w:commentReference w:id="1"/>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timeseries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p>
    <w:p w14:paraId="362240BC" w14:textId="77777777" w:rsidR="00CE7F91" w:rsidRDefault="00CE7F91" w:rsidP="00071CCC">
      <w:pPr>
        <w:rPr>
          <w:rFonts w:ascii="Garamond" w:hAnsi="Garamond"/>
          <w:b/>
          <w:bCs/>
          <w:sz w:val="22"/>
          <w:szCs w:val="22"/>
          <w:u w:val="single"/>
        </w:rPr>
      </w:pPr>
    </w:p>
    <w:p w14:paraId="5CC4E6D5" w14:textId="50FB23D5" w:rsidR="00616EA6" w:rsidRPr="00557AB9" w:rsidRDefault="004D2BA0" w:rsidP="00557AB9">
      <w:pPr>
        <w:rPr>
          <w:rFonts w:ascii="Garamond" w:hAnsi="Garamond"/>
          <w:b/>
          <w:bCs/>
          <w:sz w:val="22"/>
          <w:szCs w:val="22"/>
          <w:u w:val="single"/>
        </w:rPr>
      </w:pPr>
      <w:r w:rsidRPr="00F6547F">
        <w:rPr>
          <w:rFonts w:ascii="Garamond" w:hAnsi="Garamond"/>
          <w:b/>
          <w:bCs/>
          <w:sz w:val="22"/>
          <w:szCs w:val="22"/>
          <w:u w:val="single"/>
        </w:rPr>
        <w:t xml:space="preserve">Data preprocessing </w:t>
      </w:r>
    </w:p>
    <w:p w14:paraId="0678BE3E" w14:textId="77777777" w:rsidR="00070CB1" w:rsidRDefault="00070CB1" w:rsidP="002A47CE">
      <w:pPr>
        <w:spacing w:line="480" w:lineRule="auto"/>
        <w:ind w:firstLine="720"/>
        <w:rPr>
          <w:rFonts w:ascii="Garamond" w:hAnsi="Garamond"/>
          <w:sz w:val="22"/>
          <w:szCs w:val="22"/>
        </w:rPr>
      </w:pPr>
    </w:p>
    <w:p w14:paraId="7EC1B482" w14:textId="60EB3F53" w:rsidR="00CE7F91" w:rsidRDefault="005E7567" w:rsidP="00070CB1">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Sr, and morphological 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070CB1">
        <w:rPr>
          <w:rFonts w:ascii="Garamond" w:hAnsi="Garamond"/>
          <w:sz w:val="22"/>
          <w:szCs w:val="22"/>
        </w:rPr>
        <w:t xml:space="preserve">Natal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 </w:t>
      </w:r>
      <w:r w:rsidR="00CE7F91" w:rsidRPr="005E7567">
        <w:rPr>
          <w:rFonts w:ascii="Garamond" w:hAnsi="Garamond"/>
          <w:sz w:val="22"/>
          <w:szCs w:val="22"/>
        </w:rPr>
        <w:t>Similarly,</w:t>
      </w:r>
      <w:r w:rsidR="00CE7F91">
        <w:rPr>
          <w:rFonts w:ascii="Garamond" w:hAnsi="Garamond"/>
          <w:sz w:val="22"/>
          <w:szCs w:val="22"/>
        </w:rPr>
        <w:t xml:space="preserve"> a 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time</w:t>
      </w:r>
      <w:r w:rsidR="00616EA6">
        <w:rPr>
          <w:rFonts w:ascii="Garamond" w:hAnsi="Garamond"/>
          <w:sz w:val="22"/>
          <w:szCs w:val="22"/>
        </w:rPr>
        <w:t>s</w:t>
      </w:r>
      <w:r w:rsidR="002A47CE">
        <w:rPr>
          <w:rFonts w:ascii="Garamond" w:hAnsi="Garamond"/>
          <w:sz w:val="22"/>
          <w:szCs w:val="22"/>
        </w:rPr>
        <w:t>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6C1496">
        <w:rPr>
          <w:rFonts w:ascii="Garamond" w:hAnsi="Garamond"/>
          <w:sz w:val="22"/>
          <w:szCs w:val="22"/>
        </w:rPr>
        <w:t xml:space="preserve">2,531 timeseries (971 Yukon, 875 Kuskokwim, and 685 </w:t>
      </w:r>
      <w:proofErr w:type="spellStart"/>
      <w:r w:rsidR="006C1496">
        <w:rPr>
          <w:rFonts w:ascii="Garamond" w:hAnsi="Garamond"/>
          <w:sz w:val="22"/>
          <w:szCs w:val="22"/>
        </w:rPr>
        <w:t>Nushagak</w:t>
      </w:r>
      <w:proofErr w:type="spellEnd"/>
      <w:r w:rsidR="006C1496">
        <w:rPr>
          <w:rFonts w:ascii="Garamond" w:hAnsi="Garamond"/>
          <w:sz w:val="22"/>
          <w:szCs w:val="22"/>
        </w:rPr>
        <w:t xml:space="preserve">). </w:t>
      </w:r>
    </w:p>
    <w:p w14:paraId="3086D9BE" w14:textId="4A0C6C0A" w:rsidR="00701699" w:rsidRDefault="009E23C6" w:rsidP="00557AB9">
      <w:pPr>
        <w:spacing w:line="480" w:lineRule="auto"/>
        <w:ind w:firstLine="720"/>
        <w:rPr>
          <w:rFonts w:ascii="Garamond" w:hAnsi="Garamond"/>
          <w:sz w:val="22"/>
          <w:szCs w:val="22"/>
        </w:rPr>
      </w:pPr>
      <w:r>
        <w:rPr>
          <w:rFonts w:ascii="Garamond" w:hAnsi="Garamond"/>
          <w:sz w:val="22"/>
          <w:szCs w:val="22"/>
        </w:rPr>
        <w:lastRenderedPageBreak/>
        <w:t>To test whether</w:t>
      </w:r>
      <w:r w:rsidR="00B32AF3" w:rsidRPr="00F6547F">
        <w:rPr>
          <w:rFonts w:ascii="Garamond" w:hAnsi="Garamond"/>
          <w:sz w:val="22"/>
          <w:szCs w:val="22"/>
        </w:rPr>
        <w:t xml:space="preserve"> </w:t>
      </w:r>
      <w:r>
        <w:rPr>
          <w:rFonts w:ascii="Garamond" w:hAnsi="Garamond"/>
          <w:sz w:val="22"/>
          <w:szCs w:val="22"/>
        </w:rPr>
        <w:t xml:space="preserve">time 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 xml:space="preserve">two commonly used approaches: moving average (MA) and a generalized additive model (GAM).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 xml:space="preserve">(Wood, 2006). The maximum degrees of freedom (k) were scaled by the number of data points in each ablation line (n) by k = 10N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timeseries 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 xml:space="preserve">(700 points for non-MA and 600 points for MA-smoothed samples, respectively)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machine learning algorithms </w:t>
      </w:r>
      <w:r w:rsidR="00557AB9">
        <w:rPr>
          <w:rFonts w:ascii="Garamond" w:hAnsi="Garamond"/>
          <w:sz w:val="22"/>
          <w:szCs w:val="22"/>
        </w:rPr>
        <w:t xml:space="preserve">while minimizing warping from interpolation. </w:t>
      </w:r>
    </w:p>
    <w:p w14:paraId="3C911B8B" w14:textId="68A43331" w:rsidR="00AF5A80" w:rsidRPr="00FB146C" w:rsidRDefault="00AF5A80" w:rsidP="00AF5A80">
      <w:pPr>
        <w:spacing w:line="480" w:lineRule="auto"/>
        <w:rPr>
          <w:rFonts w:ascii="Garamond" w:hAnsi="Garamond"/>
          <w:b/>
          <w:bCs/>
          <w:sz w:val="22"/>
          <w:szCs w:val="22"/>
          <w:u w:val="single"/>
        </w:rPr>
      </w:pPr>
      <w:r w:rsidRPr="00FB146C">
        <w:rPr>
          <w:rFonts w:ascii="Garamond" w:hAnsi="Garamond"/>
          <w:b/>
          <w:bCs/>
          <w:sz w:val="22"/>
          <w:szCs w:val="22"/>
          <w:u w:val="single"/>
        </w:rPr>
        <w:t>PCA Analysis</w:t>
      </w:r>
    </w:p>
    <w:p w14:paraId="4FBA00FB" w14:textId="3BF46108" w:rsidR="00AF5A80" w:rsidRDefault="002F10A9" w:rsidP="00AF5A80">
      <w:pPr>
        <w:spacing w:line="480" w:lineRule="auto"/>
        <w:ind w:firstLine="720"/>
        <w:rPr>
          <w:sz w:val="22"/>
          <w:szCs w:val="22"/>
        </w:rPr>
      </w:pPr>
      <w:r w:rsidRPr="002F10A9">
        <w:rPr>
          <w:rFonts w:ascii="Garamond" w:hAnsi="Garamond"/>
          <w:sz w:val="22"/>
          <w:szCs w:val="22"/>
        </w:rPr>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 xml:space="preserve">timeseries </w:t>
      </w:r>
      <w:r w:rsidRPr="002F10A9">
        <w:rPr>
          <w:rFonts w:ascii="Garamond" w:hAnsi="Garamond"/>
          <w:sz w:val="22"/>
          <w:szCs w:val="22"/>
        </w:rPr>
        <w:t>into uncorrelated principal components that capture the greatest variance in the dataset, thereby highlighting variability among time-series that may contain distinguishing watershed characteristics.</w:t>
      </w:r>
      <w:r w:rsidR="00AF5A80">
        <w:rPr>
          <w:rFonts w:ascii="Garamond" w:hAnsi="Garamond"/>
          <w:sz w:val="22"/>
          <w:szCs w:val="22"/>
        </w:rPr>
        <w:t xml:space="preserve"> </w:t>
      </w:r>
      <w:r w:rsidR="00AF5A80" w:rsidRPr="00730E96">
        <w:rPr>
          <w:rFonts w:ascii="Garamond" w:hAnsi="Garamond"/>
          <w:sz w:val="22"/>
          <w:szCs w:val="22"/>
        </w:rPr>
        <w:t>95% confidence interval ellipses were added to visualize the extent of multivariate dispersion for each watershed group and to</w:t>
      </w:r>
      <w:r w:rsidR="00557AB9">
        <w:rPr>
          <w:rFonts w:ascii="Garamond" w:hAnsi="Garamond"/>
          <w:sz w:val="22"/>
          <w:szCs w:val="22"/>
        </w:rPr>
        <w:t xml:space="preserve"> visually</w:t>
      </w:r>
      <w:r w:rsidR="00AF5A80" w:rsidRPr="00730E96">
        <w:rPr>
          <w:rFonts w:ascii="Garamond" w:hAnsi="Garamond"/>
          <w:sz w:val="22"/>
          <w:szCs w:val="22"/>
        </w:rPr>
        <w:t xml:space="preserve"> assess the degree of separation between populations in reduced dimensional space</w:t>
      </w:r>
      <w:r w:rsidR="00730E96">
        <w:rPr>
          <w:rFonts w:ascii="Garamond" w:hAnsi="Garamond"/>
          <w:sz w:val="22"/>
          <w:szCs w:val="22"/>
        </w:rPr>
        <w:t xml:space="preserve"> (Figure 4). </w:t>
      </w:r>
    </w:p>
    <w:p w14:paraId="0E87D85D" w14:textId="7911D83A" w:rsidR="00CD3FB4" w:rsidRDefault="00AF5A80" w:rsidP="00070CB1">
      <w:pPr>
        <w:spacing w:line="480" w:lineRule="auto"/>
        <w:ind w:firstLine="720"/>
        <w:rPr>
          <w:rFonts w:ascii="Garamond" w:hAnsi="Garamond"/>
          <w:sz w:val="22"/>
          <w:szCs w:val="22"/>
        </w:rPr>
      </w:pPr>
      <w:r w:rsidRPr="00AE24AA">
        <w:rPr>
          <w:rFonts w:ascii="Garamond" w:hAnsi="Garamond"/>
          <w:sz w:val="22"/>
          <w:szCs w:val="22"/>
        </w:rPr>
        <w:t>To further illustrate how variability among timeseries</w:t>
      </w:r>
      <w:r w:rsidR="00730E96" w:rsidRPr="00AE24AA">
        <w:rPr>
          <w:rFonts w:ascii="Garamond" w:hAnsi="Garamond"/>
          <w:sz w:val="22"/>
          <w:szCs w:val="22"/>
        </w:rPr>
        <w:t xml:space="preserve"> can distinguish among timeseries </w:t>
      </w:r>
      <w:r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 xml:space="preserve">0.7080. PCA plots were produced to visualize clustering of both PC1 (47.46% of variance) and PC2 (20.93% of variance) as well as between PC1 and PC3 (10.23% of variance). </w:t>
      </w:r>
      <w:r w:rsidR="00070CB1">
        <w:rPr>
          <w:rFonts w:ascii="Garamond" w:hAnsi="Garamond"/>
          <w:sz w:val="22"/>
          <w:szCs w:val="22"/>
        </w:rPr>
        <w:t xml:space="preserve">We then displayed the absolutely values of </w:t>
      </w:r>
      <w:r w:rsidR="00070CB1">
        <w:rPr>
          <w:rFonts w:ascii="Garamond" w:hAnsi="Garamond"/>
          <w:sz w:val="22"/>
          <w:szCs w:val="22"/>
        </w:rPr>
        <w:lastRenderedPageBreak/>
        <w:t>the principal component loading from each point along the timeseries to identify portions of the timeseries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09D6A0ED" w14:textId="77777777" w:rsidR="00070CB1" w:rsidRPr="00CD3FB4" w:rsidRDefault="00070CB1" w:rsidP="00070CB1">
      <w:pPr>
        <w:spacing w:line="480" w:lineRule="auto"/>
        <w:ind w:firstLine="720"/>
        <w:rPr>
          <w:rFonts w:ascii="Garamond" w:hAnsi="Garamond"/>
          <w:sz w:val="22"/>
          <w:szCs w:val="22"/>
        </w:rPr>
      </w:pP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30CFA09C"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proofErr w:type="spellStart"/>
      <w:r w:rsidR="00070CB1">
        <w:rPr>
          <w:rFonts w:ascii="Garamond" w:hAnsi="Garamond"/>
          <w:sz w:val="22"/>
          <w:szCs w:val="22"/>
        </w:rPr>
        <w:t>datasets</w:t>
      </w:r>
      <w:r w:rsidR="00444663" w:rsidRPr="009B73BD">
        <w:rPr>
          <w:rFonts w:ascii="Garamond" w:hAnsi="Garamond"/>
          <w:sz w:val="22"/>
          <w:szCs w:val="22"/>
        </w:rPr>
        <w:t>ets</w:t>
      </w:r>
      <w:proofErr w:type="spellEnd"/>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e trained three supervised classification algorithms</w:t>
      </w:r>
      <w:r w:rsidR="00070CB1">
        <w:rPr>
          <w:rFonts w:ascii="Garamond" w:hAnsi="Garamond"/>
          <w:sz w:val="22"/>
          <w:szCs w:val="22"/>
        </w:rPr>
        <w:t xml:space="preserve"> on the training set for each dataset</w:t>
      </w:r>
      <w:r>
        <w:rPr>
          <w:rFonts w:ascii="Garamond" w:hAnsi="Garamond"/>
          <w:sz w:val="22"/>
          <w:szCs w:val="22"/>
        </w:rPr>
        <w:t xml:space="preserve">: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The Random Forest model was configured with 500 trees, and the number of predictors randomly sampled at each split (</w:t>
      </w:r>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 xml:space="preserve">tidy </w:t>
      </w:r>
      <w:proofErr w:type="gramStart"/>
      <w:r w:rsidRPr="00701699">
        <w:rPr>
          <w:rStyle w:val="HTMLCode"/>
          <w:rFonts w:ascii="Garamond" w:eastAsiaTheme="majorEastAsia" w:hAnsi="Garamond"/>
          <w:sz w:val="22"/>
          <w:szCs w:val="22"/>
        </w:rPr>
        <w:t>models</w:t>
      </w:r>
      <w:proofErr w:type="gramEnd"/>
      <w:r w:rsidR="00444663" w:rsidRPr="00701699">
        <w:rPr>
          <w:rFonts w:ascii="Garamond" w:hAnsi="Garamond"/>
          <w:sz w:val="22"/>
          <w:szCs w:val="22"/>
        </w:rPr>
        <w:t xml:space="preserve"> framework in </w:t>
      </w:r>
      <w:commentRangeStart w:id="2"/>
      <w:r w:rsidR="00444663" w:rsidRPr="00701699">
        <w:rPr>
          <w:rFonts w:ascii="Garamond" w:hAnsi="Garamond"/>
          <w:sz w:val="22"/>
          <w:szCs w:val="22"/>
        </w:rPr>
        <w:t>R</w:t>
      </w:r>
      <w:r w:rsidR="00444663">
        <w:rPr>
          <w:rFonts w:ascii="Garamond" w:hAnsi="Garamond"/>
          <w:sz w:val="22"/>
          <w:szCs w:val="22"/>
        </w:rPr>
        <w:t xml:space="preserve">. </w:t>
      </w:r>
      <w:commentRangeEnd w:id="2"/>
      <w:r>
        <w:rPr>
          <w:rStyle w:val="CommentReference"/>
        </w:rPr>
        <w:commentReference w:id="2"/>
      </w:r>
    </w:p>
    <w:p w14:paraId="090C2636" w14:textId="10B29DCC"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 xml:space="preserve">Sr values above 0.7150 were </w:t>
      </w:r>
      <w:r w:rsidR="00CD3FB4">
        <w:rPr>
          <w:rFonts w:ascii="Garamond" w:hAnsi="Garamond"/>
          <w:sz w:val="22"/>
          <w:szCs w:val="22"/>
        </w:rPr>
        <w:t>excluded</w:t>
      </w:r>
      <w:r w:rsidRPr="00AF5A80">
        <w:rPr>
          <w:rFonts w:ascii="Garamond" w:hAnsi="Garamond"/>
          <w:sz w:val="22"/>
          <w:szCs w:val="22"/>
        </w:rPr>
        <w:t>. Only the Yukon watershed contains enriched isotope values above this threshold and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w:t>
      </w:r>
      <w:r w:rsidR="00070CB1">
        <w:rPr>
          <w:rFonts w:ascii="Garamond" w:hAnsi="Garamond"/>
          <w:sz w:val="22"/>
          <w:szCs w:val="22"/>
        </w:rPr>
        <w:t xml:space="preserve">(Figure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77777777"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lastRenderedPageBreak/>
        <w:t>F1-Score</w:t>
      </w:r>
      <w:r w:rsidRPr="00043EBC">
        <w:rPr>
          <w:rFonts w:ascii="Garamond" w:hAnsi="Garamond"/>
          <w:sz w:val="22"/>
          <w:szCs w:val="22"/>
        </w:rPr>
        <w:t xml:space="preserve"> = 2 * (Precision * Recall) / (Precision + Recall)</w:t>
      </w:r>
    </w:p>
    <w:p w14:paraId="0461E756" w14:textId="77777777" w:rsidR="003A0BEA" w:rsidRDefault="00043EBC" w:rsidP="003A0BEA">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p>
    <w:p w14:paraId="0433F72D" w14:textId="0788DC16" w:rsidR="00070CB1" w:rsidRDefault="00043EBC" w:rsidP="00070CB1">
      <w:pPr>
        <w:pStyle w:val="NormalWeb"/>
        <w:spacing w:line="480" w:lineRule="auto"/>
        <w:ind w:firstLine="720"/>
        <w:rPr>
          <w:rFonts w:ascii="Garamond" w:hAnsi="Garamond"/>
          <w:sz w:val="22"/>
          <w:szCs w:val="22"/>
        </w:rPr>
      </w:pP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removing individuals with genetic assignments from the Middle or Upper Yukon reporting groups, which are outside of the CWAK region. </w:t>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3D905F26"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machine learning classification models produce probability estimates that do not accurately reflect the true likelihood of correct prediction. While these models may achieve high classification accuracy, their reported confidence levels may not match the true proportion of correct classifications within each confidence bin. This limits the utility of these results for decision-making based on confidence thresholds or propagation of uncertainty 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This approach adjusts the raw probability outputs to better align predicted confidence with actual classification accuracy through a non-parametric monotonic transformation. We verified calibration effectiveness through </w:t>
      </w:r>
      <w:r w:rsidR="003A0BEA">
        <w:rPr>
          <w:rFonts w:ascii="Garamond" w:hAnsi="Garamond"/>
          <w:sz w:val="22"/>
          <w:szCs w:val="22"/>
        </w:rPr>
        <w:t xml:space="preserve">visual assessment of </w:t>
      </w:r>
      <w:r w:rsidRPr="00D440B2">
        <w:rPr>
          <w:rFonts w:ascii="Garamond" w:hAnsi="Garamond"/>
          <w:sz w:val="22"/>
          <w:szCs w:val="22"/>
        </w:rPr>
        <w:t>diagrams that plot predicted probabilities against observed class frequencies across probability bins</w:t>
      </w:r>
      <w:r w:rsidR="00070CB1">
        <w:rPr>
          <w:rFonts w:ascii="Garamond" w:hAnsi="Garamond"/>
          <w:sz w:val="22"/>
          <w:szCs w:val="22"/>
        </w:rPr>
        <w:t xml:space="preserve"> (Supplemental?)</w:t>
      </w:r>
      <w:r w:rsidRPr="00D440B2">
        <w:rPr>
          <w:rFonts w:ascii="Garamond" w:hAnsi="Garamond"/>
          <w:sz w:val="22"/>
          <w:szCs w:val="22"/>
        </w:rPr>
        <w:t>. Additionally, we quantified calibration improvements using Brier scores and logarithmic loss calculated before and after calibration.</w:t>
      </w:r>
      <w:r w:rsidR="00043EBC">
        <w:rPr>
          <w:rFonts w:ascii="Garamond" w:hAnsi="Garamond"/>
          <w:sz w:val="22"/>
          <w:szCs w:val="22"/>
        </w:rPr>
        <w:t xml:space="preserve"> </w:t>
      </w:r>
      <w:r w:rsidRPr="00D440B2">
        <w:rPr>
          <w:rFonts w:ascii="Garamond" w:hAnsi="Garamond"/>
          <w:sz w:val="22"/>
          <w:szCs w:val="22"/>
        </w:rPr>
        <w:t xml:space="preserve">Calibration transformations were fitted separately for each model-data type combination and stored as reusable functions that can be applied consistently to future predictions. This ensures that probability estimates from our models accurately </w:t>
      </w:r>
      <w:r w:rsidRPr="00D440B2">
        <w:rPr>
          <w:rFonts w:ascii="Garamond" w:hAnsi="Garamond"/>
          <w:sz w:val="22"/>
          <w:szCs w:val="22"/>
        </w:rPr>
        <w:lastRenderedPageBreak/>
        <w:t>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r w:rsidR="00E2005E">
        <w:rPr>
          <w:rFonts w:ascii="Garamond" w:hAnsi="Garamond"/>
          <w:sz w:val="22"/>
          <w:szCs w:val="22"/>
        </w:rPr>
        <w:t xml:space="preserve"> we tested the accuracy obtained </w:t>
      </w:r>
      <w:r w:rsidR="000869FF">
        <w:rPr>
          <w:rFonts w:ascii="Garamond" w:hAnsi="Garamond"/>
          <w:sz w:val="22"/>
          <w:szCs w:val="22"/>
        </w:rPr>
        <w:t xml:space="preserve">from our model with an added confidence threshold. </w:t>
      </w:r>
      <w:r w:rsidR="0034572F">
        <w:rPr>
          <w:rFonts w:ascii="Garamond" w:hAnsi="Garamond"/>
          <w:sz w:val="22"/>
          <w:szCs w:val="22"/>
        </w:rPr>
        <w:t xml:space="preserve">We </w:t>
      </w:r>
      <w:r w:rsidR="000869FF">
        <w:rPr>
          <w:rFonts w:ascii="Garamond" w:hAnsi="Garamond"/>
          <w:sz w:val="22"/>
          <w:szCs w:val="22"/>
        </w:rPr>
        <w:t xml:space="preserve">evaluated the proportion of correctly assigned individuals </w:t>
      </w:r>
      <w:r w:rsidR="0034572F">
        <w:rPr>
          <w:rFonts w:ascii="Garamond" w:hAnsi="Garamond"/>
          <w:sz w:val="22"/>
          <w:szCs w:val="22"/>
        </w:rPr>
        <w:t>in which the assigned and calibrated probability value is above a given threshold value from 60-90%. From these results we recorded both class specific and overall accuracy at each threshold value</w:t>
      </w:r>
      <w:r w:rsidR="00C51A58">
        <w:rPr>
          <w:rFonts w:ascii="Garamond" w:hAnsi="Garamond"/>
          <w:sz w:val="22"/>
          <w:szCs w:val="22"/>
        </w:rPr>
        <w:t xml:space="preserve"> (Figure 6). </w:t>
      </w:r>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6B8594A3"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both </w:t>
      </w:r>
      <w:proofErr w:type="spellStart"/>
      <w:r w:rsidR="00D53F6D" w:rsidRPr="00D53F6D">
        <w:rPr>
          <w:rFonts w:ascii="Garamond" w:hAnsi="Garamond"/>
          <w:sz w:val="22"/>
          <w:szCs w:val="22"/>
        </w:rPr>
        <w:t>Nushagak</w:t>
      </w:r>
      <w:proofErr w:type="spellEnd"/>
      <w:r w:rsidR="00D53F6D" w:rsidRPr="00D53F6D">
        <w:rPr>
          <w:rFonts w:ascii="Garamond" w:hAnsi="Garamond"/>
          <w:sz w:val="22"/>
          <w:szCs w:val="22"/>
        </w:rPr>
        <w:t xml:space="preserve">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timeseries compared to the more constrained ranges observed in the other two watershed classes</w:t>
      </w:r>
    </w:p>
    <w:p w14:paraId="06F8E81E" w14:textId="6830FC19" w:rsidR="00ED3EE6" w:rsidRPr="00D53F6D" w:rsidRDefault="00D53F6D" w:rsidP="000F5F96">
      <w:pPr>
        <w:spacing w:line="480" w:lineRule="auto"/>
        <w:ind w:firstLine="720"/>
        <w:rPr>
          <w:rFonts w:ascii="Garamond" w:hAnsi="Garamond"/>
          <w:sz w:val="22"/>
          <w:szCs w:val="22"/>
        </w:rPr>
      </w:pPr>
      <w:r w:rsidRPr="00D53F6D">
        <w:rPr>
          <w:rFonts w:ascii="Garamond" w:hAnsi="Garamond"/>
          <w:sz w:val="22"/>
          <w:szCs w:val="22"/>
        </w:rPr>
        <w:t xml:space="preserve">Mapping the loadings of each principal component onto the timeseries revealed distinct regions driving class separation. The first principal component showed high loading values in the middle portion of the timeseries,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 xml:space="preserve">secondary rearing locations. The second principal component was driven by variation occurring just before the onset of the marine region, likely representing residency in mainstem tributaries during ocean migration. The relative shape at this point in the timeseries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commentRangeStart w:id="3"/>
      <w:r w:rsidR="00D70E26">
        <w:rPr>
          <w:rFonts w:ascii="Garamond" w:hAnsi="Garamond"/>
          <w:sz w:val="22"/>
          <w:szCs w:val="22"/>
        </w:rPr>
        <w:t xml:space="preserve">X, </w:t>
      </w:r>
      <w:proofErr w:type="gramStart"/>
      <w:r w:rsidR="00D70E26">
        <w:rPr>
          <w:rFonts w:ascii="Garamond" w:hAnsi="Garamond"/>
          <w:sz w:val="22"/>
          <w:szCs w:val="22"/>
        </w:rPr>
        <w:t>Y,Z</w:t>
      </w:r>
      <w:proofErr w:type="gramEnd"/>
      <w:r w:rsidR="00D70E26">
        <w:rPr>
          <w:rFonts w:ascii="Garamond" w:hAnsi="Garamond"/>
          <w:sz w:val="22"/>
          <w:szCs w:val="22"/>
        </w:rPr>
        <w:t xml:space="preserve"> </w:t>
      </w:r>
      <w:commentRangeEnd w:id="3"/>
      <w:r w:rsidR="000F5F96">
        <w:rPr>
          <w:rStyle w:val="CommentReference"/>
        </w:rPr>
        <w:commentReference w:id="3"/>
      </w:r>
      <w:r w:rsidR="00D70E26">
        <w:rPr>
          <w:rFonts w:ascii="Garamond" w:hAnsi="Garamond"/>
          <w:sz w:val="22"/>
          <w:szCs w:val="22"/>
        </w:rPr>
        <w:t xml:space="preserve">in the Yukon, Kuskokwim, and </w:t>
      </w:r>
      <w:proofErr w:type="spellStart"/>
      <w:r w:rsidR="00D70E26">
        <w:rPr>
          <w:rFonts w:ascii="Garamond" w:hAnsi="Garamond"/>
          <w:sz w:val="22"/>
          <w:szCs w:val="22"/>
        </w:rPr>
        <w:t>Nushagak</w:t>
      </w:r>
      <w:proofErr w:type="spellEnd"/>
      <w:r w:rsidR="00D70E26">
        <w:rPr>
          <w:rFonts w:ascii="Garamond" w:hAnsi="Garamond"/>
          <w:sz w:val="22"/>
          <w:szCs w:val="22"/>
        </w:rPr>
        <w:t xml:space="preserve">, respectively). Interestingly, timeseries of fish from the CWAK region within the Yukon river-basin contained a less pronounced increase in </w:t>
      </w:r>
      <w:r w:rsidR="000F5F96" w:rsidRPr="00CA63D8">
        <w:rPr>
          <w:rFonts w:ascii="Cambria Math" w:hAnsi="Cambria Math" w:cs="Cambria Math"/>
          <w:sz w:val="22"/>
          <w:szCs w:val="22"/>
        </w:rPr>
        <w:t>⁸⁷</w:t>
      </w:r>
      <w:r w:rsidR="000F5F96" w:rsidRPr="00CA63D8">
        <w:rPr>
          <w:rFonts w:ascii="Garamond" w:hAnsi="Garamond"/>
          <w:sz w:val="22"/>
          <w:szCs w:val="22"/>
        </w:rPr>
        <w:t>Sr/</w:t>
      </w:r>
      <w:r w:rsidR="000F5F96" w:rsidRPr="00CA63D8">
        <w:rPr>
          <w:rFonts w:ascii="Cambria Math" w:hAnsi="Cambria Math" w:cs="Cambria Math"/>
          <w:sz w:val="22"/>
          <w:szCs w:val="22"/>
        </w:rPr>
        <w:t>⁸⁶</w:t>
      </w:r>
      <w:r w:rsidR="000F5F96" w:rsidRPr="00CA63D8">
        <w:rPr>
          <w:rFonts w:ascii="Garamond" w:hAnsi="Garamond"/>
          <w:sz w:val="22"/>
          <w:szCs w:val="22"/>
        </w:rPr>
        <w:t>Sr</w:t>
      </w:r>
      <w:r w:rsidR="00D70E26">
        <w:rPr>
          <w:rFonts w:ascii="Garamond" w:hAnsi="Garamond"/>
          <w:sz w:val="22"/>
          <w:szCs w:val="22"/>
        </w:rPr>
        <w:t xml:space="preserve"> values before the marine onset</w:t>
      </w:r>
      <w:r w:rsidR="00D9294A">
        <w:rPr>
          <w:rFonts w:ascii="Garamond" w:hAnsi="Garamond"/>
          <w:sz w:val="22"/>
          <w:szCs w:val="22"/>
        </w:rPr>
        <w:t xml:space="preserve"> </w:t>
      </w:r>
      <w:r w:rsidR="00D70E26">
        <w:rPr>
          <w:rFonts w:ascii="Garamond" w:hAnsi="Garamond"/>
          <w:sz w:val="22"/>
          <w:szCs w:val="22"/>
        </w:rPr>
        <w:t xml:space="preserve">(Figure 5b.) </w:t>
      </w:r>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w:t>
      </w:r>
      <w:r w:rsidRPr="00D53F6D">
        <w:rPr>
          <w:rFonts w:ascii="Garamond" w:hAnsi="Garamond"/>
          <w:sz w:val="22"/>
          <w:szCs w:val="22"/>
        </w:rPr>
        <w:lastRenderedPageBreak/>
        <w:t>values at the very beginning of the timeseries</w:t>
      </w:r>
      <w:r w:rsidR="000F5F96">
        <w:rPr>
          <w:rFonts w:ascii="Garamond" w:hAnsi="Garamond"/>
          <w:sz w:val="22"/>
          <w:szCs w:val="22"/>
        </w:rPr>
        <w:t xml:space="preserve"> </w:t>
      </w:r>
      <w:r w:rsidR="000F5F96" w:rsidRPr="00D53F6D">
        <w:rPr>
          <w:rFonts w:ascii="Garamond" w:hAnsi="Garamond"/>
          <w:sz w:val="22"/>
          <w:szCs w:val="22"/>
        </w:rPr>
        <w:t xml:space="preserve">corresponding to the start of the natal origin signature. </w:t>
      </w:r>
      <w:r w:rsidR="000F5F96">
        <w:rPr>
          <w:rFonts w:ascii="Garamond" w:hAnsi="Garamond"/>
          <w:sz w:val="22"/>
          <w:szCs w:val="22"/>
        </w:rPr>
        <w:t xml:space="preserve"> as well as some variation in values towards the values just before the mainstem value described above. </w:t>
      </w:r>
      <w:r w:rsidRPr="00D53F6D">
        <w:rPr>
          <w:rFonts w:ascii="Garamond" w:hAnsi="Garamond"/>
          <w:sz w:val="22"/>
          <w:szCs w:val="22"/>
        </w:rPr>
        <w:t xml:space="preserve">The minimal discrimination among watersheds along this component </w:t>
      </w:r>
      <w:r w:rsidR="000F5F96">
        <w:rPr>
          <w:rFonts w:ascii="Garamond" w:hAnsi="Garamond"/>
          <w:sz w:val="22"/>
          <w:szCs w:val="22"/>
        </w:rPr>
        <w:t>is</w:t>
      </w:r>
      <w:r w:rsidRPr="00D53F6D">
        <w:rPr>
          <w:rFonts w:ascii="Garamond" w:hAnsi="Garamond"/>
          <w:sz w:val="22"/>
          <w:szCs w:val="22"/>
        </w:rPr>
        <w:t xml:space="preserve"> expected</w:t>
      </w:r>
      <w:r w:rsidR="00D70E26">
        <w:rPr>
          <w:rFonts w:ascii="Garamond" w:hAnsi="Garamond"/>
          <w:sz w:val="22"/>
          <w:szCs w:val="22"/>
        </w:rPr>
        <w:t xml:space="preserve"> given that all individuals in this </w:t>
      </w:r>
      <w:r w:rsidR="000F5F96">
        <w:rPr>
          <w:rFonts w:ascii="Garamond" w:hAnsi="Garamond"/>
          <w:sz w:val="22"/>
          <w:szCs w:val="22"/>
        </w:rPr>
        <w:t>subset</w:t>
      </w:r>
      <w:r w:rsidR="00D70E26">
        <w:rPr>
          <w:rFonts w:ascii="Garamond" w:hAnsi="Garamond"/>
          <w:sz w:val="22"/>
          <w:szCs w:val="22"/>
        </w:rPr>
        <w:t xml:space="preserve"> </w:t>
      </w:r>
      <w:r w:rsidRPr="00D53F6D">
        <w:rPr>
          <w:rFonts w:ascii="Garamond" w:hAnsi="Garamond"/>
          <w:sz w:val="22"/>
          <w:szCs w:val="22"/>
        </w:rPr>
        <w:t>share the same natal origin value</w:t>
      </w:r>
      <w:r w:rsidR="00D70E26">
        <w:rPr>
          <w:rFonts w:ascii="Garamond" w:hAnsi="Garamond"/>
          <w:sz w:val="22"/>
          <w:szCs w:val="22"/>
        </w:rPr>
        <w:t xml:space="preserve">. </w:t>
      </w:r>
    </w:p>
    <w:p w14:paraId="632A1589" w14:textId="77777777" w:rsidR="0038052F" w:rsidRPr="000869FF" w:rsidRDefault="0038052F" w:rsidP="0038052F">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ED0A917" w14:textId="77777777" w:rsidR="00517678" w:rsidRDefault="00517678" w:rsidP="0038052F">
      <w:pPr>
        <w:spacing w:line="480" w:lineRule="auto"/>
        <w:ind w:firstLine="720"/>
        <w:rPr>
          <w:rFonts w:ascii="Garamond" w:hAnsi="Garamond"/>
          <w:sz w:val="22"/>
          <w:szCs w:val="22"/>
        </w:rPr>
      </w:pPr>
    </w:p>
    <w:p w14:paraId="60891E68" w14:textId="39EDB1F4"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timeseries data outperformed the raw data in all cases, indicating that the noise in the raw data may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3F0D0B66"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 xml:space="preserve">The best preforming model (RF, GAM-smoothed data) displayed some variation in overall accuracy among classes. On the Total testing set 92.0% of Kuskokwim, 91.4% of </w:t>
      </w:r>
      <w:proofErr w:type="spellStart"/>
      <w:r>
        <w:rPr>
          <w:rFonts w:ascii="Garamond" w:hAnsi="Garamond"/>
          <w:sz w:val="22"/>
          <w:szCs w:val="22"/>
        </w:rPr>
        <w:t>Nushagak</w:t>
      </w:r>
      <w:proofErr w:type="spellEnd"/>
      <w:r>
        <w:rPr>
          <w:rFonts w:ascii="Garamond" w:hAnsi="Garamond"/>
          <w:sz w:val="22"/>
          <w:szCs w:val="22"/>
        </w:rPr>
        <w:t xml:space="preserve">, and 93.7% of Yukon samples were correctly identified (Figure 3). By percentage of each class the most common misclassification was </w:t>
      </w:r>
      <w:proofErr w:type="spellStart"/>
      <w:r>
        <w:rPr>
          <w:rFonts w:ascii="Garamond" w:hAnsi="Garamond"/>
          <w:sz w:val="22"/>
          <w:szCs w:val="22"/>
        </w:rPr>
        <w:t>Nushagak</w:t>
      </w:r>
      <w:proofErr w:type="spellEnd"/>
      <w:r>
        <w:rPr>
          <w:rFonts w:ascii="Garamond" w:hAnsi="Garamond"/>
          <w:sz w:val="22"/>
          <w:szCs w:val="22"/>
        </w:rPr>
        <w:t xml:space="preserve"> fish estimated to have been Kuskokwim (8.6% of Kuskokwim fish) followed by the inverse (5.6% of </w:t>
      </w:r>
      <w:proofErr w:type="spellStart"/>
      <w:r>
        <w:rPr>
          <w:rFonts w:ascii="Garamond" w:hAnsi="Garamond"/>
          <w:sz w:val="22"/>
          <w:szCs w:val="22"/>
        </w:rPr>
        <w:t>Nushagak</w:t>
      </w:r>
      <w:proofErr w:type="spellEnd"/>
      <w:r>
        <w:rPr>
          <w:rFonts w:ascii="Garamond" w:hAnsi="Garamond"/>
          <w:sz w:val="22"/>
          <w:szCs w:val="22"/>
        </w:rPr>
        <w:t xml:space="preserve"> fish). Interestingly, after removing the easiest 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w:t>
      </w:r>
      <w:proofErr w:type="spellStart"/>
      <w:r>
        <w:rPr>
          <w:rFonts w:ascii="Garamond" w:hAnsi="Garamond"/>
          <w:sz w:val="22"/>
          <w:szCs w:val="22"/>
        </w:rPr>
        <w:t>Nushagak</w:t>
      </w:r>
      <w:proofErr w:type="spellEnd"/>
      <w:r>
        <w:rPr>
          <w:rFonts w:ascii="Garamond" w:hAnsi="Garamond"/>
          <w:sz w:val="22"/>
          <w:szCs w:val="22"/>
        </w:rPr>
        <w:t xml:space="preserve"> fish did not change (91.4%) whereas Kuskokwim saw a slight increase to 92.5%. In this testing 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w:t>
      </w:r>
      <w:r>
        <w:rPr>
          <w:rFonts w:ascii="Garamond" w:hAnsi="Garamond"/>
          <w:sz w:val="22"/>
          <w:szCs w:val="22"/>
        </w:rPr>
        <w:lastRenderedPageBreak/>
        <w:t xml:space="preserve">represented only one additional individual misclassified (9 in the total analysis vs 8 in the overlapping analysis). </w:t>
      </w:r>
      <w:commentRangeStart w:id="4"/>
      <w:r>
        <w:rPr>
          <w:rFonts w:ascii="Garamond" w:hAnsi="Garamond"/>
          <w:sz w:val="22"/>
          <w:szCs w:val="22"/>
        </w:rPr>
        <w:t xml:space="preserve">Among Yukon fish, individuals within the CWAK region (Lower Yukon genetic reporting group, n = 30) were classified with 73.3% accuracy as compared to 97.9% in non CWAK fish. </w:t>
      </w:r>
      <w:commentRangeEnd w:id="4"/>
      <w:r>
        <w:rPr>
          <w:rStyle w:val="CommentReference"/>
        </w:rPr>
        <w:commentReference w:id="4"/>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probability tuning 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reliability diagrams confirmed improved alignment between predicted and observed probabilities following calibration. </w:t>
      </w:r>
    </w:p>
    <w:p w14:paraId="17923CE8" w14:textId="3752670D" w:rsidR="00C51A58" w:rsidRPr="00C51A58" w:rsidRDefault="00C51A58" w:rsidP="00C51A58">
      <w:pPr>
        <w:pStyle w:val="NoSpacing"/>
        <w:spacing w:line="480" w:lineRule="auto"/>
        <w:ind w:firstLine="720"/>
        <w:rPr>
          <w:rFonts w:ascii="Garamond" w:hAnsi="Garamond"/>
          <w:b/>
          <w:bCs/>
          <w:sz w:val="22"/>
          <w:szCs w:val="22"/>
        </w:rPr>
      </w:pPr>
      <w:r>
        <w:rPr>
          <w:rFonts w:ascii="Garamond" w:hAnsi="Garamond"/>
          <w:sz w:val="22"/>
          <w:szCs w:val="22"/>
        </w:rPr>
        <w:t xml:space="preserve">Across the range of tested thresholds, overall accuracy ranged from 91 – 79% for the total testing set and from 89.5% to 78% for the overlapping dataset. In the total dataset, Yukon classification accuracy remained well above 90%, even at the very high (&gt;90%) confidence threshold. </w:t>
      </w:r>
      <w:proofErr w:type="spellStart"/>
      <w:r>
        <w:rPr>
          <w:rFonts w:ascii="Garamond" w:hAnsi="Garamond"/>
          <w:sz w:val="22"/>
          <w:szCs w:val="22"/>
        </w:rPr>
        <w:t>Nushagak</w:t>
      </w:r>
      <w:proofErr w:type="spellEnd"/>
      <w:r>
        <w:rPr>
          <w:rFonts w:ascii="Garamond" w:hAnsi="Garamond"/>
          <w:sz w:val="22"/>
          <w:szCs w:val="22"/>
        </w:rPr>
        <w:t xml:space="preserve"> and Kuskokwim, however, fell steadily as the threshold was raised. Kuskokwim classification accuracy dropped steadily from 87% to 71% whereas </w:t>
      </w:r>
      <w:proofErr w:type="spellStart"/>
      <w:r>
        <w:rPr>
          <w:rFonts w:ascii="Garamond" w:hAnsi="Garamond"/>
          <w:sz w:val="22"/>
          <w:szCs w:val="22"/>
        </w:rPr>
        <w:t>Nushagak</w:t>
      </w:r>
      <w:proofErr w:type="spellEnd"/>
      <w:r>
        <w:rPr>
          <w:rFonts w:ascii="Garamond" w:hAnsi="Garamond"/>
          <w:sz w:val="22"/>
          <w:szCs w:val="22"/>
        </w:rPr>
        <w:t xml:space="preserve"> accuracy declined more quickly at higher probability thresholds from 92% to 75%. The overlapping dataset contained slightly different trends, with Yukon accuracy remaining relatively stable between 89% and 83% over the full range of threshold values. In this testing set </w:t>
      </w:r>
      <w:proofErr w:type="spellStart"/>
      <w:r>
        <w:rPr>
          <w:rFonts w:ascii="Garamond" w:hAnsi="Garamond"/>
          <w:sz w:val="22"/>
          <w:szCs w:val="22"/>
        </w:rPr>
        <w:t>Nushagak</w:t>
      </w:r>
      <w:proofErr w:type="spellEnd"/>
      <w:r>
        <w:rPr>
          <w:rFonts w:ascii="Garamond" w:hAnsi="Garamond"/>
          <w:sz w:val="22"/>
          <w:szCs w:val="22"/>
        </w:rPr>
        <w:t xml:space="preserve">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0C3BF8DC" w:rsidR="00733CEF" w:rsidRDefault="00523B37" w:rsidP="00733CEF">
      <w:pPr>
        <w:spacing w:line="480" w:lineRule="auto"/>
        <w:ind w:firstLine="720"/>
        <w:rPr>
          <w:rFonts w:ascii="Garamond" w:hAnsi="Garamond"/>
          <w:sz w:val="22"/>
          <w:szCs w:val="22"/>
        </w:rPr>
      </w:pPr>
      <w:r w:rsidRPr="00523B37">
        <w:rPr>
          <w:rFonts w:ascii="Garamond" w:hAnsi="Garamond"/>
          <w:sz w:val="22"/>
          <w:szCs w:val="22"/>
        </w:rPr>
        <w:lastRenderedPageBreak/>
        <w:t>Machine learning tools applied to otolith laser ablation timeseries data proved highly effective for classifying Western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machine learning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timeseries smoothing techniques significantly outperformed raw laser ablation data. </w:t>
      </w:r>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timeseries analysis</w:t>
      </w:r>
      <w:r w:rsidR="00733CEF">
        <w:rPr>
          <w:rFonts w:ascii="Garamond" w:hAnsi="Garamond"/>
          <w:sz w:val="22"/>
          <w:szCs w:val="22"/>
        </w:rPr>
        <w:t xml:space="preserve"> techniques to sequentially ordered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through the addition of more complex timeseries analysis techniques. </w:t>
      </w:r>
    </w:p>
    <w:p w14:paraId="7768580F" w14:textId="386E55E6" w:rsidR="002D29B3" w:rsidRPr="003C5C0F" w:rsidRDefault="00733CEF" w:rsidP="00733CEF">
      <w:pPr>
        <w:spacing w:line="480" w:lineRule="auto"/>
        <w:ind w:firstLine="720"/>
        <w:rPr>
          <w:rFonts w:ascii="Garamond" w:hAnsi="Garamond"/>
          <w:sz w:val="22"/>
          <w:szCs w:val="22"/>
        </w:rPr>
      </w:pPr>
      <w:r>
        <w:rPr>
          <w:rFonts w:ascii="Garamond" w:hAnsi="Garamond"/>
          <w:sz w:val="22"/>
          <w:szCs w:val="22"/>
        </w:rPr>
        <w:t xml:space="preserve">Among our 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w:t>
      </w:r>
      <w:proofErr w:type="spellStart"/>
      <w:r w:rsidR="00BE529C" w:rsidRPr="0073705F">
        <w:rPr>
          <w:rFonts w:ascii="Garamond" w:hAnsi="Garamond"/>
          <w:sz w:val="22"/>
          <w:szCs w:val="22"/>
        </w:rPr>
        <w:t>Nushagak</w:t>
      </w:r>
      <w:proofErr w:type="spellEnd"/>
      <w:r w:rsidR="00BE529C" w:rsidRPr="0073705F">
        <w:rPr>
          <w:rFonts w:ascii="Garamond" w:hAnsi="Garamond"/>
          <w:sz w:val="22"/>
          <w:szCs w:val="22"/>
        </w:rPr>
        <w:t xml:space="preserve">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values and closer spatial proximity between these watersheds. In contrast, Yukon fish exhibited distinct otolith patterns due to the watershed's extreme spatial scale, broader range of isotope values, and extended migration timing</w:t>
      </w:r>
      <w:r>
        <w:rPr>
          <w:rFonts w:ascii="Garamond" w:hAnsi="Garamond"/>
          <w:sz w:val="22"/>
          <w:szCs w:val="22"/>
        </w:rPr>
        <w:t>. This likely resulted in otolith timeseries which were distinct compared distinct compared to the other watersheds either because of distinct natal origin values or prominent features indicating 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xml:space="preserve">, which is further supported by </w:t>
      </w:r>
      <w:r w:rsidR="0073705F" w:rsidRPr="0073705F">
        <w:rPr>
          <w:rFonts w:ascii="Garamond" w:hAnsi="Garamond"/>
          <w:sz w:val="22"/>
          <w:szCs w:val="22"/>
        </w:rPr>
        <w:t>supported by higher misclassification rates among CWAK individuals compared to 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w:t>
      </w:r>
      <w:r>
        <w:rPr>
          <w:rFonts w:ascii="Garamond" w:hAnsi="Garamond"/>
          <w:sz w:val="22"/>
          <w:szCs w:val="22"/>
        </w:rPr>
        <w:lastRenderedPageBreak/>
        <w:t xml:space="preserve">(i.e. Figure 5b, column 4) are more likely to be misclassified with Kuskokwim or </w:t>
      </w:r>
      <w:proofErr w:type="spellStart"/>
      <w:r>
        <w:rPr>
          <w:rFonts w:ascii="Garamond" w:hAnsi="Garamond"/>
          <w:sz w:val="22"/>
          <w:szCs w:val="22"/>
        </w:rPr>
        <w:t>Nushagak</w:t>
      </w:r>
      <w:proofErr w:type="spellEnd"/>
      <w:r>
        <w:rPr>
          <w:rFonts w:ascii="Garamond" w:hAnsi="Garamond"/>
          <w:sz w:val="22"/>
          <w:szCs w:val="22"/>
        </w:rPr>
        <w:t xml:space="preserve"> fish, resulting in lower overall accuracy. </w:t>
      </w:r>
      <w:r w:rsidR="00B753DE" w:rsidRPr="003C5C0F">
        <w:rPr>
          <w:rFonts w:ascii="Garamond" w:hAnsi="Garamond"/>
          <w:sz w:val="22"/>
          <w:szCs w:val="22"/>
        </w:rPr>
        <w:t xml:space="preserve">Still, </w:t>
      </w:r>
      <w:r>
        <w:rPr>
          <w:rFonts w:ascii="Garamond" w:hAnsi="Garamond"/>
          <w:sz w:val="22"/>
          <w:szCs w:val="22"/>
        </w:rPr>
        <w:t>PCA analysis suggests that other features in the timeseries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 xml:space="preserve">when used alongside other </w:t>
      </w:r>
      <w:r w:rsidR="00B753DE" w:rsidRPr="003C5C0F">
        <w:rPr>
          <w:rFonts w:ascii="Garamond" w:hAnsi="Garamond"/>
          <w:sz w:val="22"/>
          <w:szCs w:val="22"/>
        </w:rPr>
        <w:t>timeseries analysis techniques</w:t>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7C21E374" w14:textId="201AED59" w:rsidR="0064576D" w:rsidRPr="00F72276" w:rsidRDefault="00624A8A" w:rsidP="00F72276">
      <w:pPr>
        <w:spacing w:before="100" w:beforeAutospacing="1" w:after="100" w:afterAutospacing="1" w:line="240" w:lineRule="auto"/>
        <w:outlineLvl w:val="1"/>
        <w:rPr>
          <w:rFonts w:ascii="Times New Roman" w:eastAsia="Times New Roman" w:hAnsi="Times New Roman" w:cs="Times New Roman"/>
          <w:b/>
          <w:bCs/>
          <w:kern w:val="0"/>
          <w:sz w:val="20"/>
          <w:szCs w:val="20"/>
          <w14:ligatures w14:val="none"/>
        </w:rPr>
      </w:pPr>
      <w:r w:rsidRPr="00624A8A">
        <w:rPr>
          <w:rFonts w:ascii="Times New Roman" w:eastAsia="Times New Roman" w:hAnsi="Times New Roman" w:cs="Times New Roman"/>
          <w:b/>
          <w:bCs/>
          <w:kern w:val="0"/>
          <w:sz w:val="20"/>
          <w:szCs w:val="20"/>
          <w14:ligatures w14:val="none"/>
        </w:rPr>
        <w:t>Implications for Stock Assessment and Management</w:t>
      </w:r>
    </w:p>
    <w:p w14:paraId="18270C1A" w14:textId="245F6E94" w:rsidR="00E5472C" w:rsidRDefault="00D27C7B" w:rsidP="009B7B97">
      <w:pPr>
        <w:pStyle w:val="whitespace-normal"/>
        <w:spacing w:line="480" w:lineRule="auto"/>
        <w:ind w:firstLine="720"/>
        <w:rPr>
          <w:rFonts w:ascii="Garamond" w:hAnsi="Garamond"/>
          <w:sz w:val="22"/>
          <w:szCs w:val="22"/>
        </w:rPr>
      </w:pPr>
      <w:r w:rsidRPr="009B7B97">
        <w:rPr>
          <w:rFonts w:ascii="Garamond" w:hAnsi="Garamond"/>
        </w:rPr>
        <w:t xml:space="preserve">A tool to estimate provenance of marine-caught Chinook salmon in Western Alaska has the potential to expand assessment </w:t>
      </w:r>
      <w:r w:rsidR="009B7B97" w:rsidRPr="009B7B97">
        <w:rPr>
          <w:rFonts w:ascii="Garamond" w:hAnsi="Garamond"/>
        </w:rPr>
        <w:t xml:space="preserve">of hypotheses of declining population health by allowing for an explicit assessment of marine mortality on stock specific health. </w:t>
      </w:r>
      <w:r w:rsidRPr="009B7B97">
        <w:rPr>
          <w:rFonts w:ascii="Garamond" w:hAnsi="Garamond"/>
        </w:rPr>
        <w:t xml:space="preserve">The models presented here provide an immediately available tool </w:t>
      </w:r>
      <w:r w:rsidR="009B7B97" w:rsidRPr="009B7B97">
        <w:rPr>
          <w:rFonts w:ascii="Garamond" w:hAnsi="Garamond"/>
        </w:rPr>
        <w:t xml:space="preserve">that can be used alongside </w:t>
      </w:r>
      <w:r w:rsidRPr="009B7B97">
        <w:rPr>
          <w:rFonts w:ascii="Garamond" w:hAnsi="Garamond"/>
        </w:rPr>
        <w:t>otolith LA-ICPMS data</w:t>
      </w:r>
      <w:r w:rsidR="009B7B97" w:rsidRPr="009B7B97">
        <w:rPr>
          <w:rFonts w:ascii="Garamond" w:hAnsi="Garamond"/>
        </w:rPr>
        <w:t xml:space="preserve">. Because of the size of this dataset and the temporal scale of sampling efforts, we expect that this model will perform well on new datasets despite shifting patterns of habitat use throughout the basin which may alter the shape of otolith timeseries data. </w:t>
      </w:r>
      <w:r w:rsidR="00E5472C" w:rsidRPr="005E5F5B">
        <w:rPr>
          <w:rFonts w:ascii="Garamond" w:hAnsi="Garamond"/>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Pr>
          <w:rFonts w:ascii="Garamond" w:hAnsi="Garamond"/>
        </w:rPr>
        <w:t xml:space="preserve"> Even with extremely high confidence threshold values, our model achieved between ~70% and ~85% accuracy for all classes. The exception to this is the Yukon classification on the “Total” testing set, in which distinct </w:t>
      </w:r>
      <w:r w:rsidR="009B7B97" w:rsidRPr="00CA63D8">
        <w:rPr>
          <w:rFonts w:ascii="Cambria Math" w:hAnsi="Cambria Math" w:cs="Cambria Math"/>
          <w:sz w:val="22"/>
          <w:szCs w:val="22"/>
        </w:rPr>
        <w:t>⁸⁷</w:t>
      </w:r>
      <w:r w:rsidR="009B7B97" w:rsidRPr="00CA63D8">
        <w:rPr>
          <w:rFonts w:ascii="Garamond" w:hAnsi="Garamond"/>
          <w:sz w:val="22"/>
          <w:szCs w:val="22"/>
        </w:rPr>
        <w:t>Sr/</w:t>
      </w:r>
      <w:r w:rsidR="009B7B97" w:rsidRPr="00CA63D8">
        <w:rPr>
          <w:rFonts w:ascii="Cambria Math" w:hAnsi="Cambria Math" w:cs="Cambria Math"/>
          <w:sz w:val="22"/>
          <w:szCs w:val="22"/>
        </w:rPr>
        <w:t>⁸⁶</w:t>
      </w:r>
      <w:r w:rsidR="009B7B97" w:rsidRPr="00CA63D8">
        <w:rPr>
          <w:rFonts w:ascii="Garamond" w:hAnsi="Garamond"/>
          <w:sz w:val="22"/>
          <w:szCs w:val="22"/>
        </w:rPr>
        <w:t>Sr</w:t>
      </w:r>
      <w:r w:rsidR="009B7B97">
        <w:rPr>
          <w:rFonts w:ascii="Garamond" w:hAnsi="Garamond"/>
          <w:sz w:val="22"/>
          <w:szCs w:val="22"/>
        </w:rPr>
        <w:t xml:space="preserve"> values in the Yukon buoy correct classification with extremely high confidence values. </w:t>
      </w:r>
    </w:p>
    <w:p w14:paraId="75A7E217" w14:textId="01142C45" w:rsidR="00E5472C" w:rsidRPr="00F72276" w:rsidRDefault="0064576D" w:rsidP="0064576D">
      <w:pPr>
        <w:pStyle w:val="whitespace-normal"/>
        <w:spacing w:line="480" w:lineRule="auto"/>
        <w:ind w:firstLine="720"/>
        <w:rPr>
          <w:rFonts w:ascii="Garamond" w:hAnsi="Garamond"/>
          <w:sz w:val="22"/>
          <w:szCs w:val="22"/>
        </w:rPr>
      </w:pPr>
      <w:r w:rsidRPr="00F72276">
        <w:rPr>
          <w:rFonts w:ascii="Garamond" w:hAnsi="Garamond"/>
          <w:sz w:val="22"/>
          <w:szCs w:val="22"/>
        </w:rPr>
        <w:t xml:space="preserve">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w:t>
      </w:r>
      <w:r w:rsidRPr="00F72276">
        <w:rPr>
          <w:rFonts w:ascii="Garamond" w:hAnsi="Garamond"/>
          <w:sz w:val="22"/>
          <w:szCs w:val="22"/>
        </w:rPr>
        <w:lastRenderedPageBreak/>
        <w:t>increasingly endangered status of Chinook salmon in this region.</w:t>
      </w:r>
      <w:r w:rsidRPr="00F72276">
        <w:rPr>
          <w:rFonts w:ascii="Garamond" w:hAnsi="Garamond"/>
          <w:sz w:val="22"/>
          <w:szCs w:val="22"/>
        </w:rPr>
        <w:t xml:space="preserve"> </w:t>
      </w:r>
      <w:r w:rsidRPr="00F72276">
        <w:rPr>
          <w:rFonts w:ascii="Garamond" w:hAnsi="Garamond"/>
          <w:sz w:val="22"/>
          <w:szCs w:val="22"/>
        </w:rPr>
        <w:t>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16CB72DD" w14:textId="1FA79619" w:rsidR="00D971E7" w:rsidRPr="00F72276" w:rsidRDefault="00D971E7" w:rsidP="00D971E7">
      <w:pPr>
        <w:spacing w:before="100" w:beforeAutospacing="1" w:after="100" w:afterAutospacing="1" w:line="480" w:lineRule="auto"/>
        <w:ind w:firstLine="720"/>
        <w:outlineLvl w:val="1"/>
        <w:rPr>
          <w:rFonts w:ascii="Garamond" w:hAnsi="Garamond"/>
          <w:sz w:val="22"/>
          <w:szCs w:val="22"/>
        </w:rPr>
      </w:pPr>
      <w:r w:rsidRPr="00F72276">
        <w:rPr>
          <w:rFonts w:ascii="Garamond" w:hAnsi="Garamond"/>
          <w:sz w:val="22"/>
          <w:szCs w:val="22"/>
        </w:rPr>
        <w:t xml:space="preserve">Cutting edge statistical tools such as machine learning models provide an opportunity to uncover new insights in ecological datasets that may be critical for management or conservation </w:t>
      </w:r>
      <w:proofErr w:type="spellStart"/>
      <w:r w:rsidRPr="00F72276">
        <w:rPr>
          <w:rFonts w:ascii="Garamond" w:hAnsi="Garamond"/>
          <w:sz w:val="22"/>
          <w:szCs w:val="22"/>
        </w:rPr>
        <w:t xml:space="preserve">efforts. </w:t>
      </w:r>
      <w:proofErr w:type="spellEnd"/>
      <w:r w:rsidRPr="00F72276">
        <w:rPr>
          <w:rFonts w:ascii="Garamond" w:hAnsi="Garamond"/>
          <w:sz w:val="22"/>
          <w:szCs w:val="22"/>
        </w:rPr>
        <w:t>In this case, e</w:t>
      </w:r>
      <w:r w:rsidRPr="00F72276">
        <w:rPr>
          <w:rFonts w:ascii="Garamond" w:hAnsi="Garamond"/>
          <w:sz w:val="22"/>
          <w:szCs w:val="22"/>
        </w:rPr>
        <w:t xml:space="preserve">nabling river-basin scale determination of provenance for marine-caught Chinook </w:t>
      </w:r>
      <w:r w:rsidRPr="00F72276">
        <w:rPr>
          <w:rFonts w:ascii="Garamond" w:hAnsi="Garamond"/>
          <w:sz w:val="22"/>
          <w:szCs w:val="22"/>
        </w:rPr>
        <w:t>salmon allows</w:t>
      </w:r>
      <w:r w:rsidRPr="00F72276">
        <w:rPr>
          <w:rFonts w:ascii="Garamond" w:hAnsi="Garamond"/>
          <w:sz w:val="22"/>
          <w:szCs w:val="22"/>
        </w:rPr>
        <w:t xml:space="preserve"> managers to connect region-wide </w:t>
      </w:r>
      <w:r w:rsidRPr="00F72276">
        <w:rPr>
          <w:rFonts w:ascii="Garamond" w:hAnsi="Garamond"/>
          <w:sz w:val="22"/>
          <w:szCs w:val="22"/>
        </w:rPr>
        <w:t xml:space="preserve">salmon population </w:t>
      </w:r>
      <w:r w:rsidRPr="00F72276">
        <w:rPr>
          <w:rFonts w:ascii="Garamond" w:hAnsi="Garamond"/>
          <w:sz w:val="22"/>
          <w:szCs w:val="22"/>
        </w:rPr>
        <w:t>patterns with</w:t>
      </w:r>
      <w:r w:rsidRPr="00F72276">
        <w:rPr>
          <w:rFonts w:ascii="Garamond" w:hAnsi="Garamond"/>
          <w:sz w:val="22"/>
          <w:szCs w:val="22"/>
        </w:rPr>
        <w:t xml:space="preserve"> river-specific population health. In doing so, </w:t>
      </w:r>
      <w:r w:rsidRPr="00F72276">
        <w:rPr>
          <w:rFonts w:ascii="Garamond" w:hAnsi="Garamond"/>
          <w:sz w:val="22"/>
          <w:szCs w:val="22"/>
        </w:rPr>
        <w:t xml:space="preserve">researchers </w:t>
      </w:r>
      <w:r w:rsidRPr="00F72276">
        <w:rPr>
          <w:rFonts w:ascii="Garamond" w:hAnsi="Garamond"/>
          <w:sz w:val="22"/>
          <w:szCs w:val="22"/>
        </w:rPr>
        <w:t xml:space="preserve">may </w:t>
      </w:r>
      <w:r w:rsidRPr="00F72276">
        <w:rPr>
          <w:rFonts w:ascii="Garamond" w:hAnsi="Garamond"/>
          <w:sz w:val="22"/>
          <w:szCs w:val="22"/>
        </w:rPr>
        <w:t xml:space="preserve">better understand </w:t>
      </w:r>
      <w:r w:rsidRPr="00F72276">
        <w:rPr>
          <w:rFonts w:ascii="Garamond" w:hAnsi="Garamond"/>
          <w:sz w:val="22"/>
          <w:szCs w:val="22"/>
        </w:rPr>
        <w:t xml:space="preserve">how ecosystem processes at several spatial scales and across ecosystems are interconnected to informing overall ecosystem health. </w:t>
      </w:r>
      <w:r w:rsidR="00FB68F4" w:rsidRPr="00F72276">
        <w:rPr>
          <w:rFonts w:ascii="Garamond" w:hAnsi="Garamond"/>
          <w:sz w:val="22"/>
          <w:szCs w:val="22"/>
        </w:rPr>
        <w:t xml:space="preserve">Developing this knowledge of ecosystem function </w:t>
      </w:r>
      <w:r w:rsidR="00FB68F4" w:rsidRPr="00F72276">
        <w:rPr>
          <w:rFonts w:ascii="Garamond" w:hAnsi="Garamond"/>
          <w:sz w:val="22"/>
          <w:szCs w:val="22"/>
        </w:rPr>
        <w:t xml:space="preserve">across scales </w:t>
      </w:r>
      <w:r w:rsidR="00FB68F4" w:rsidRPr="00F72276">
        <w:rPr>
          <w:rFonts w:ascii="Garamond" w:hAnsi="Garamond"/>
          <w:sz w:val="22"/>
          <w:szCs w:val="22"/>
        </w:rPr>
        <w:t>is essential for informing management and conservation strategies that sustain the services provided by healthy, functioning ecosystems.</w:t>
      </w:r>
    </w:p>
    <w:p w14:paraId="3BAC1256" w14:textId="77777777" w:rsidR="00D971E7" w:rsidRDefault="00D971E7" w:rsidP="00D971E7">
      <w:pPr>
        <w:spacing w:before="100" w:beforeAutospacing="1" w:after="100" w:afterAutospacing="1" w:line="480" w:lineRule="auto"/>
        <w:outlineLvl w:val="1"/>
        <w:rPr>
          <w:rFonts w:ascii="Garamond" w:hAnsi="Garamond"/>
        </w:rPr>
      </w:pPr>
    </w:p>
    <w:p w14:paraId="7B48F9A1" w14:textId="1BBDCDED" w:rsidR="00985634" w:rsidRDefault="00985634" w:rsidP="00071CCC"/>
    <w:sectPr w:rsidR="0098563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1" w:author="Benjamin J. Makhlouf" w:date="2025-08-18T11:18:00Z" w:initials="b">
    <w:p w14:paraId="51CBD6D1" w14:textId="09ADC913" w:rsidR="002A47CE" w:rsidRDefault="002A47CE" w:rsidP="002A47CE">
      <w:r>
        <w:rPr>
          <w:rStyle w:val="CommentReference"/>
        </w:rPr>
        <w:annotationRef/>
      </w:r>
      <w:r>
        <w:rPr>
          <w:sz w:val="20"/>
          <w:szCs w:val="20"/>
        </w:rPr>
        <w:t>Note to self: Ask diego for the specifications for all years</w:t>
      </w:r>
    </w:p>
  </w:comment>
  <w:comment w:id="2" w:author="Benjamin J. Makhlouf" w:date="2025-09-02T09:56:00Z" w:initials="b">
    <w:p w14:paraId="4E3434D0" w14:textId="77777777"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3" w:author="Benjamin J. Makhlouf" w:date="2025-09-06T17:57:00Z" w:initials="b">
    <w:p w14:paraId="7EA423C7" w14:textId="77777777" w:rsidR="000F5F96" w:rsidRDefault="000F5F96" w:rsidP="000F5F96">
      <w:r>
        <w:rPr>
          <w:rStyle w:val="CommentReference"/>
        </w:rPr>
        <w:annotationRef/>
      </w:r>
      <w:r>
        <w:rPr>
          <w:sz w:val="20"/>
          <w:szCs w:val="20"/>
        </w:rPr>
        <w:t xml:space="preserve">Thoughts on whether to just use an average, or show the range. </w:t>
      </w:r>
    </w:p>
  </w:comment>
  <w:comment w:id="4" w:author="Benjamin J. Makhlouf" w:date="2025-09-02T10:22:00Z" w:initials="b">
    <w:p w14:paraId="16C43ACC" w14:textId="36A7533D" w:rsidR="0038052F" w:rsidRDefault="0038052F" w:rsidP="0038052F">
      <w:r>
        <w:rPr>
          <w:rStyle w:val="CommentReference"/>
        </w:rPr>
        <w:annotationRef/>
      </w:r>
      <w:r>
        <w:rPr>
          <w:sz w:val="20"/>
          <w:szCs w:val="20"/>
        </w:rPr>
        <w:t>Will do a full CWAK (All watersheds) vs non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0"/>
  <w15:commentEx w15:paraId="51CBD6D1" w15:done="0"/>
  <w15:commentEx w15:paraId="4E3434D0" w15:done="0"/>
  <w15:commentEx w15:paraId="7EA423C7" w15:done="0"/>
  <w15:commentEx w15:paraId="16C43A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6197010A" w16cex:dateUtc="2025-08-18T18:18:00Z"/>
  <w16cex:commentExtensible w16cex:durableId="208C7FE7" w16cex:dateUtc="2025-09-02T16:56:00Z"/>
  <w16cex:commentExtensible w16cex:durableId="7BF59F8C" w16cex:dateUtc="2025-09-07T00:57:00Z"/>
  <w16cex:commentExtensible w16cex:durableId="3FDF2CD4" w16cex:dateUtc="2025-09-02T17: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51CBD6D1" w16cid:durableId="6197010A"/>
  <w16cid:commentId w16cid:paraId="4E3434D0" w16cid:durableId="208C7FE7"/>
  <w16cid:commentId w16cid:paraId="7EA423C7" w16cid:durableId="7BF59F8C"/>
  <w16cid:commentId w16cid:paraId="16C43ACC" w16cid:durableId="3FDF2CD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14197"/>
    <w:rsid w:val="000318EA"/>
    <w:rsid w:val="000326A8"/>
    <w:rsid w:val="00043ACE"/>
    <w:rsid w:val="00043EBC"/>
    <w:rsid w:val="00052F65"/>
    <w:rsid w:val="00070CB1"/>
    <w:rsid w:val="00071CCC"/>
    <w:rsid w:val="00083149"/>
    <w:rsid w:val="000869FF"/>
    <w:rsid w:val="00091070"/>
    <w:rsid w:val="000941AF"/>
    <w:rsid w:val="00096BA7"/>
    <w:rsid w:val="000C2944"/>
    <w:rsid w:val="000D1B34"/>
    <w:rsid w:val="000F0779"/>
    <w:rsid w:val="000F4EE0"/>
    <w:rsid w:val="000F4F29"/>
    <w:rsid w:val="000F5F96"/>
    <w:rsid w:val="0010010D"/>
    <w:rsid w:val="00103E0E"/>
    <w:rsid w:val="00112ED8"/>
    <w:rsid w:val="00135A3B"/>
    <w:rsid w:val="00154136"/>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92609"/>
    <w:rsid w:val="002948A2"/>
    <w:rsid w:val="002A47CE"/>
    <w:rsid w:val="002C12CC"/>
    <w:rsid w:val="002D29B3"/>
    <w:rsid w:val="002E41F6"/>
    <w:rsid w:val="002F10A9"/>
    <w:rsid w:val="002F5E0E"/>
    <w:rsid w:val="002F666C"/>
    <w:rsid w:val="002F6934"/>
    <w:rsid w:val="00302CA2"/>
    <w:rsid w:val="0031165E"/>
    <w:rsid w:val="00311BF2"/>
    <w:rsid w:val="0032184B"/>
    <w:rsid w:val="0034572F"/>
    <w:rsid w:val="00354445"/>
    <w:rsid w:val="003606FC"/>
    <w:rsid w:val="00364186"/>
    <w:rsid w:val="003642FE"/>
    <w:rsid w:val="0038052F"/>
    <w:rsid w:val="0038560E"/>
    <w:rsid w:val="00386D82"/>
    <w:rsid w:val="003A0BEA"/>
    <w:rsid w:val="003A4B5F"/>
    <w:rsid w:val="003A63D4"/>
    <w:rsid w:val="003A69C6"/>
    <w:rsid w:val="003A7A96"/>
    <w:rsid w:val="003B0A46"/>
    <w:rsid w:val="003C5C0F"/>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97545"/>
    <w:rsid w:val="004B1012"/>
    <w:rsid w:val="004C0AA3"/>
    <w:rsid w:val="004C2541"/>
    <w:rsid w:val="004C4DA5"/>
    <w:rsid w:val="004D2BA0"/>
    <w:rsid w:val="004D6CDE"/>
    <w:rsid w:val="004E5235"/>
    <w:rsid w:val="00511B5E"/>
    <w:rsid w:val="0051389E"/>
    <w:rsid w:val="00517678"/>
    <w:rsid w:val="00523B37"/>
    <w:rsid w:val="00525222"/>
    <w:rsid w:val="00526D9D"/>
    <w:rsid w:val="00527EB9"/>
    <w:rsid w:val="00530E86"/>
    <w:rsid w:val="00533C00"/>
    <w:rsid w:val="0053609D"/>
    <w:rsid w:val="00542302"/>
    <w:rsid w:val="00557AB9"/>
    <w:rsid w:val="00560622"/>
    <w:rsid w:val="00563F6D"/>
    <w:rsid w:val="005672B1"/>
    <w:rsid w:val="005A0FE2"/>
    <w:rsid w:val="005A2FFF"/>
    <w:rsid w:val="005B3BF5"/>
    <w:rsid w:val="005C1DE3"/>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63F4"/>
    <w:rsid w:val="006D0CB1"/>
    <w:rsid w:val="006D1DD4"/>
    <w:rsid w:val="006D218F"/>
    <w:rsid w:val="006D3221"/>
    <w:rsid w:val="006E1563"/>
    <w:rsid w:val="006E32E4"/>
    <w:rsid w:val="006F084E"/>
    <w:rsid w:val="006F3408"/>
    <w:rsid w:val="006F600C"/>
    <w:rsid w:val="00701699"/>
    <w:rsid w:val="00711B8E"/>
    <w:rsid w:val="00721D27"/>
    <w:rsid w:val="00726EC4"/>
    <w:rsid w:val="00730E96"/>
    <w:rsid w:val="00733CEF"/>
    <w:rsid w:val="0073705F"/>
    <w:rsid w:val="00737BCD"/>
    <w:rsid w:val="00746012"/>
    <w:rsid w:val="0075722E"/>
    <w:rsid w:val="00780305"/>
    <w:rsid w:val="007803F1"/>
    <w:rsid w:val="0078300E"/>
    <w:rsid w:val="00793ED4"/>
    <w:rsid w:val="00795E53"/>
    <w:rsid w:val="00796E6F"/>
    <w:rsid w:val="007C6AED"/>
    <w:rsid w:val="007D5270"/>
    <w:rsid w:val="007F08A6"/>
    <w:rsid w:val="007F1A2B"/>
    <w:rsid w:val="00802938"/>
    <w:rsid w:val="00813C70"/>
    <w:rsid w:val="0081488C"/>
    <w:rsid w:val="00820C00"/>
    <w:rsid w:val="008310CB"/>
    <w:rsid w:val="00841057"/>
    <w:rsid w:val="00841F42"/>
    <w:rsid w:val="008475B7"/>
    <w:rsid w:val="00882F20"/>
    <w:rsid w:val="00884ECC"/>
    <w:rsid w:val="00886C18"/>
    <w:rsid w:val="00892DEA"/>
    <w:rsid w:val="00894C0A"/>
    <w:rsid w:val="008A1DA2"/>
    <w:rsid w:val="008A52C4"/>
    <w:rsid w:val="008A53F5"/>
    <w:rsid w:val="008A545E"/>
    <w:rsid w:val="008A7985"/>
    <w:rsid w:val="008C5595"/>
    <w:rsid w:val="008C5FCA"/>
    <w:rsid w:val="008C6234"/>
    <w:rsid w:val="008C7400"/>
    <w:rsid w:val="008D0D27"/>
    <w:rsid w:val="008E7FFA"/>
    <w:rsid w:val="00907410"/>
    <w:rsid w:val="00911D52"/>
    <w:rsid w:val="009157FF"/>
    <w:rsid w:val="0092735E"/>
    <w:rsid w:val="009326D5"/>
    <w:rsid w:val="00941848"/>
    <w:rsid w:val="00945E61"/>
    <w:rsid w:val="0095522F"/>
    <w:rsid w:val="0095592C"/>
    <w:rsid w:val="00960D9E"/>
    <w:rsid w:val="00965651"/>
    <w:rsid w:val="00967D0B"/>
    <w:rsid w:val="009743E7"/>
    <w:rsid w:val="00985634"/>
    <w:rsid w:val="0099371C"/>
    <w:rsid w:val="00997FB9"/>
    <w:rsid w:val="009A02DB"/>
    <w:rsid w:val="009A29F5"/>
    <w:rsid w:val="009B0B8C"/>
    <w:rsid w:val="009B4729"/>
    <w:rsid w:val="009B73BD"/>
    <w:rsid w:val="009B7B97"/>
    <w:rsid w:val="009C5E47"/>
    <w:rsid w:val="009D0CB2"/>
    <w:rsid w:val="009E23C6"/>
    <w:rsid w:val="009F51C3"/>
    <w:rsid w:val="00A0360F"/>
    <w:rsid w:val="00A043C9"/>
    <w:rsid w:val="00A113DB"/>
    <w:rsid w:val="00A16CAA"/>
    <w:rsid w:val="00A31015"/>
    <w:rsid w:val="00A42A3A"/>
    <w:rsid w:val="00A4709E"/>
    <w:rsid w:val="00A4712A"/>
    <w:rsid w:val="00A53E07"/>
    <w:rsid w:val="00A60C7C"/>
    <w:rsid w:val="00A83F4D"/>
    <w:rsid w:val="00A8751C"/>
    <w:rsid w:val="00AA6FED"/>
    <w:rsid w:val="00AA7224"/>
    <w:rsid w:val="00AB079F"/>
    <w:rsid w:val="00AB4F2C"/>
    <w:rsid w:val="00AE24AA"/>
    <w:rsid w:val="00AF5A80"/>
    <w:rsid w:val="00B008EE"/>
    <w:rsid w:val="00B119FB"/>
    <w:rsid w:val="00B2797F"/>
    <w:rsid w:val="00B30111"/>
    <w:rsid w:val="00B31CD2"/>
    <w:rsid w:val="00B32AF3"/>
    <w:rsid w:val="00B335D4"/>
    <w:rsid w:val="00B753DE"/>
    <w:rsid w:val="00B84DE8"/>
    <w:rsid w:val="00B936A6"/>
    <w:rsid w:val="00B96193"/>
    <w:rsid w:val="00BB5BBB"/>
    <w:rsid w:val="00BD2714"/>
    <w:rsid w:val="00BD3BE0"/>
    <w:rsid w:val="00BD5921"/>
    <w:rsid w:val="00BE529C"/>
    <w:rsid w:val="00BF2E8A"/>
    <w:rsid w:val="00C02555"/>
    <w:rsid w:val="00C1569E"/>
    <w:rsid w:val="00C16ECB"/>
    <w:rsid w:val="00C2398D"/>
    <w:rsid w:val="00C265F6"/>
    <w:rsid w:val="00C26DD3"/>
    <w:rsid w:val="00C426E7"/>
    <w:rsid w:val="00C51A58"/>
    <w:rsid w:val="00C73537"/>
    <w:rsid w:val="00C9741A"/>
    <w:rsid w:val="00CA34D3"/>
    <w:rsid w:val="00CA63D8"/>
    <w:rsid w:val="00CD36CA"/>
    <w:rsid w:val="00CD3FB4"/>
    <w:rsid w:val="00CE7F91"/>
    <w:rsid w:val="00CF0294"/>
    <w:rsid w:val="00CF0435"/>
    <w:rsid w:val="00CF5C6C"/>
    <w:rsid w:val="00D210C3"/>
    <w:rsid w:val="00D25194"/>
    <w:rsid w:val="00D27C7B"/>
    <w:rsid w:val="00D440B2"/>
    <w:rsid w:val="00D53F6D"/>
    <w:rsid w:val="00D55132"/>
    <w:rsid w:val="00D70E26"/>
    <w:rsid w:val="00D7690A"/>
    <w:rsid w:val="00D848A0"/>
    <w:rsid w:val="00D86BCC"/>
    <w:rsid w:val="00D9294A"/>
    <w:rsid w:val="00D971E7"/>
    <w:rsid w:val="00D97F1C"/>
    <w:rsid w:val="00DA7891"/>
    <w:rsid w:val="00DB0B6F"/>
    <w:rsid w:val="00DC7070"/>
    <w:rsid w:val="00DE161A"/>
    <w:rsid w:val="00DE389D"/>
    <w:rsid w:val="00DF1513"/>
    <w:rsid w:val="00E06D65"/>
    <w:rsid w:val="00E2005E"/>
    <w:rsid w:val="00E22B3F"/>
    <w:rsid w:val="00E454BB"/>
    <w:rsid w:val="00E45DBA"/>
    <w:rsid w:val="00E46DD7"/>
    <w:rsid w:val="00E50AAB"/>
    <w:rsid w:val="00E51F5E"/>
    <w:rsid w:val="00E5472C"/>
    <w:rsid w:val="00E673AF"/>
    <w:rsid w:val="00E71422"/>
    <w:rsid w:val="00E73D9A"/>
    <w:rsid w:val="00EC7467"/>
    <w:rsid w:val="00ED165F"/>
    <w:rsid w:val="00ED3EE6"/>
    <w:rsid w:val="00EE450C"/>
    <w:rsid w:val="00F001C8"/>
    <w:rsid w:val="00F044CE"/>
    <w:rsid w:val="00F06C0C"/>
    <w:rsid w:val="00F13113"/>
    <w:rsid w:val="00F15670"/>
    <w:rsid w:val="00F436E6"/>
    <w:rsid w:val="00F52F54"/>
    <w:rsid w:val="00F64010"/>
    <w:rsid w:val="00F6547F"/>
    <w:rsid w:val="00F67738"/>
    <w:rsid w:val="00F72276"/>
    <w:rsid w:val="00F75B08"/>
    <w:rsid w:val="00F864E5"/>
    <w:rsid w:val="00F94D1D"/>
    <w:rsid w:val="00FA1987"/>
    <w:rsid w:val="00FA6CD2"/>
    <w:rsid w:val="00FB146C"/>
    <w:rsid w:val="00FB68F4"/>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semiHidden/>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semiHidden/>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3278</TotalTime>
  <Pages>14</Pages>
  <Words>12218</Words>
  <Characters>69647</Characters>
  <Application>Microsoft Office Word</Application>
  <DocSecurity>0</DocSecurity>
  <Lines>580</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14</cp:revision>
  <dcterms:created xsi:type="dcterms:W3CDTF">2025-05-19T03:17:00Z</dcterms:created>
  <dcterms:modified xsi:type="dcterms:W3CDTF">2025-09-07T01:45:00Z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id="IvA4sCFE"/&gt;&lt;style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