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C91045">
      <w:pPr>
        <w:rPr>
          <w:rStyle w:val="CommentReference"/>
        </w:rPr>
      </w:pPr>
      <w:r>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w:t>
      </w:r>
      <w:proofErr w:type="spellStart"/>
      <w:r w:rsidRPr="009203B8">
        <w:rPr>
          <w:rFonts w:ascii="Garamond" w:hAnsi="Garamond"/>
          <w:sz w:val="22"/>
          <w:szCs w:val="22"/>
        </w:rPr>
        <w:t>Nushagak</w:t>
      </w:r>
      <w:proofErr w:type="spellEnd"/>
      <w:r w:rsidRPr="009203B8">
        <w:rPr>
          <w:rFonts w:ascii="Garamond" w:hAnsi="Garamond"/>
          <w:sz w:val="22"/>
          <w:szCs w:val="22"/>
        </w:rPr>
        <w:t xml:space="preserve">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of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5D0E99E9" w14:textId="77777777" w:rsidR="00F205AF" w:rsidRDefault="00F205AF">
      <w:pPr>
        <w:rPr>
          <w:rFonts w:ascii="Garamond" w:hAnsi="Garamond"/>
          <w:b/>
          <w:bCs/>
          <w:sz w:val="16"/>
          <w:szCs w:val="16"/>
        </w:rPr>
      </w:pPr>
    </w:p>
    <w:p w14:paraId="15E7C314" w14:textId="3E6A4B97" w:rsidR="00F205AF" w:rsidRDefault="00F205AF">
      <w:pPr>
        <w:rPr>
          <w:rFonts w:ascii="Garamond" w:hAnsi="Garamond"/>
          <w:b/>
          <w:bCs/>
          <w:sz w:val="16"/>
          <w:szCs w:val="16"/>
        </w:rPr>
      </w:pPr>
      <w:r w:rsidRPr="00F205AF">
        <w:rPr>
          <w:rFonts w:ascii="Garamond" w:hAnsi="Garamond"/>
          <w:b/>
          <w:bCs/>
          <w:noProof/>
          <w:sz w:val="16"/>
          <w:szCs w:val="16"/>
        </w:rPr>
        <w:drawing>
          <wp:inline distT="0" distB="0" distL="0" distR="0" wp14:anchorId="0EE2AE9C" wp14:editId="060AFD3D">
            <wp:extent cx="5943600" cy="2054225"/>
            <wp:effectExtent l="0" t="0" r="0" b="3175"/>
            <wp:docPr id="887724946"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24946" name="Picture 1" descr="A close-up of a graph&#10;&#10;AI-generated content may be incorrect."/>
                    <pic:cNvPicPr/>
                  </pic:nvPicPr>
                  <pic:blipFill>
                    <a:blip r:embed="rId5"/>
                    <a:stretch>
                      <a:fillRect/>
                    </a:stretch>
                  </pic:blipFill>
                  <pic:spPr>
                    <a:xfrm>
                      <a:off x="0" y="0"/>
                      <a:ext cx="5943600" cy="2054225"/>
                    </a:xfrm>
                    <a:prstGeom prst="rect">
                      <a:avLst/>
                    </a:prstGeom>
                  </pic:spPr>
                </pic:pic>
              </a:graphicData>
            </a:graphic>
          </wp:inline>
        </w:drawing>
      </w:r>
    </w:p>
    <w:p w14:paraId="1F779B26" w14:textId="7459421F" w:rsidR="00AE3280" w:rsidRDefault="00AE3280">
      <w:pPr>
        <w:rPr>
          <w:rFonts w:ascii="Garamond" w:hAnsi="Garamond"/>
          <w:sz w:val="16"/>
          <w:szCs w:val="16"/>
        </w:rPr>
      </w:pPr>
      <w:r w:rsidRPr="00E97198">
        <w:rPr>
          <w:rFonts w:ascii="Garamond" w:hAnsi="Garamond"/>
          <w:b/>
          <w:bCs/>
          <w:sz w:val="22"/>
          <w:szCs w:val="22"/>
        </w:rPr>
        <w:t xml:space="preserve">Figure </w:t>
      </w:r>
      <w:r w:rsidR="001149D8" w:rsidRPr="00E97198">
        <w:rPr>
          <w:rFonts w:ascii="Garamond" w:hAnsi="Garamond"/>
          <w:b/>
          <w:bCs/>
          <w:sz w:val="22"/>
          <w:szCs w:val="22"/>
        </w:rPr>
        <w:t>2</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668105C7">
            <wp:extent cx="5962810" cy="298140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988578" cy="2994289"/>
                    </a:xfrm>
                    <a:prstGeom prst="rect">
                      <a:avLst/>
                    </a:prstGeom>
                  </pic:spPr>
                </pic:pic>
              </a:graphicData>
            </a:graphic>
          </wp:inline>
        </w:drawing>
      </w:r>
      <w:r w:rsidR="0073759D">
        <w:rPr>
          <w:rFonts w:ascii="Garamond" w:hAnsi="Garamond"/>
          <w:sz w:val="16"/>
          <w:szCs w:val="16"/>
        </w:rPr>
        <w:t xml:space="preserve"> </w:t>
      </w:r>
    </w:p>
    <w:p w14:paraId="5337DE8C" w14:textId="60609923" w:rsidR="0073759D" w:rsidRPr="008E7174" w:rsidRDefault="00CF4DC7">
      <w:pPr>
        <w:rPr>
          <w:rFonts w:ascii="Garamond" w:hAnsi="Garamond"/>
          <w:sz w:val="22"/>
          <w:szCs w:val="22"/>
        </w:rPr>
      </w:pPr>
      <w:r w:rsidRPr="008E7174">
        <w:rPr>
          <w:rFonts w:ascii="Garamond" w:hAnsi="Garamond"/>
          <w:b/>
          <w:bCs/>
          <w:sz w:val="22"/>
          <w:szCs w:val="22"/>
        </w:rPr>
        <w:t>Figure 3:</w:t>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B8CF4B2">
            <wp:simplePos x="0" y="0"/>
            <wp:positionH relativeFrom="column">
              <wp:posOffset>-222885</wp:posOffset>
            </wp:positionH>
            <wp:positionV relativeFrom="paragraph">
              <wp:posOffset>268605</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35CCA671" w14:textId="0D784289" w:rsidR="00B767B5" w:rsidRPr="008E7174" w:rsidRDefault="00B767B5" w:rsidP="00B767B5">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4</w:t>
      </w:r>
      <w:r w:rsidRPr="008E7174">
        <w:rPr>
          <w:rFonts w:ascii="Garamond" w:hAnsi="Garamond"/>
          <w:b/>
          <w:bCs/>
          <w:sz w:val="22"/>
          <w:szCs w:val="22"/>
        </w:rPr>
        <w:t>:</w:t>
      </w:r>
      <w:r w:rsidRPr="008E7174">
        <w:rPr>
          <w:rFonts w:ascii="Garamond" w:hAnsi="Garamond"/>
          <w:sz w:val="22"/>
          <w:szCs w:val="22"/>
        </w:rPr>
        <w:t xml:space="preserve"> Principal Component analysis of </w:t>
      </w:r>
      <w:r w:rsidR="001C1637" w:rsidRPr="008E7174">
        <w:rPr>
          <w:rFonts w:ascii="Garamond" w:hAnsi="Garamond"/>
          <w:sz w:val="22"/>
          <w:szCs w:val="22"/>
        </w:rPr>
        <w:t>gam smoothed timeseries data (n = 2,531). Significant clustering is evident, but with overlap between all watersheds. Yukon (Blue points) contain a much larger range of values</w:t>
      </w:r>
      <w:r w:rsidR="00B75C35" w:rsidRPr="008E7174">
        <w:rPr>
          <w:rFonts w:ascii="Garamond" w:hAnsi="Garamond"/>
          <w:sz w:val="22"/>
          <w:szCs w:val="22"/>
        </w:rPr>
        <w:t xml:space="preserve">, indicative of the large range in natal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B75C35" w:rsidRPr="008E7174">
        <w:rPr>
          <w:rFonts w:ascii="Garamond" w:hAnsi="Garamond"/>
          <w:sz w:val="22"/>
          <w:szCs w:val="22"/>
        </w:rPr>
        <w:t xml:space="preserve">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1BB0E1A5" w:rsidR="00816FED" w:rsidRDefault="008E7174" w:rsidP="00FB057B">
      <w:pPr>
        <w:rPr>
          <w:rFonts w:ascii="Garamond" w:hAnsi="Garamond"/>
          <w:sz w:val="16"/>
          <w:szCs w:val="16"/>
        </w:rPr>
      </w:pPr>
      <w:r>
        <w:rPr>
          <w:rFonts w:ascii="Garamond" w:hAnsi="Garamond"/>
          <w:noProof/>
          <w:sz w:val="16"/>
          <w:szCs w:val="16"/>
        </w:rPr>
        <w:lastRenderedPageBreak/>
        <w:drawing>
          <wp:inline distT="0" distB="0" distL="0" distR="0" wp14:anchorId="6BCD3F3F" wp14:editId="7EB9A63C">
            <wp:extent cx="6409834" cy="3273398"/>
            <wp:effectExtent l="0" t="0" r="3810" b="3810"/>
            <wp:docPr id="219536095"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36095" name="Picture 2" descr="A group of graphs showing different types of data&#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38129" cy="3287848"/>
                    </a:xfrm>
                    <a:prstGeom prst="rect">
                      <a:avLst/>
                    </a:prstGeom>
                  </pic:spPr>
                </pic:pic>
              </a:graphicData>
            </a:graphic>
          </wp:inline>
        </w:drawing>
      </w:r>
    </w:p>
    <w:p w14:paraId="6D561395" w14:textId="77777777" w:rsidR="00816FED" w:rsidRDefault="00816FED" w:rsidP="00FB057B">
      <w:pPr>
        <w:rPr>
          <w:rFonts w:ascii="Garamond" w:hAnsi="Garamond"/>
          <w:sz w:val="16"/>
          <w:szCs w:val="16"/>
        </w:rPr>
      </w:pPr>
    </w:p>
    <w:p w14:paraId="64813424" w14:textId="3DC1821D" w:rsidR="009A55CD" w:rsidRPr="008E7174" w:rsidRDefault="00DB4EE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5</w:t>
      </w:r>
      <w:r w:rsidRPr="008E7174">
        <w:rPr>
          <w:rFonts w:ascii="Garamond" w:hAnsi="Garamond"/>
          <w:b/>
          <w:bCs/>
          <w:sz w:val="22"/>
          <w:szCs w:val="22"/>
        </w:rPr>
        <w:t>:</w:t>
      </w:r>
      <w:r w:rsidR="00BB24FE" w:rsidRPr="008E7174">
        <w:rPr>
          <w:rFonts w:ascii="Garamond" w:hAnsi="Garamond"/>
          <w:b/>
          <w:bCs/>
          <w:sz w:val="22"/>
          <w:szCs w:val="22"/>
        </w:rPr>
        <w:t xml:space="preserve"> </w:t>
      </w:r>
      <w:r w:rsidR="00BB24FE" w:rsidRPr="008E7174">
        <w:rPr>
          <w:rFonts w:ascii="Garamond" w:hAnsi="Garamond"/>
          <w:sz w:val="22"/>
          <w:szCs w:val="22"/>
        </w:rPr>
        <w:t>A)</w:t>
      </w:r>
      <w:r w:rsidRPr="008E7174">
        <w:rPr>
          <w:rFonts w:ascii="Garamond" w:hAnsi="Garamond"/>
          <w:sz w:val="22"/>
          <w:szCs w:val="22"/>
        </w:rPr>
        <w:t xml:space="preserve"> Principal component analysis of all samples with a natal origin </w:t>
      </w:r>
      <w:r w:rsidR="008E7174" w:rsidRPr="008E7174">
        <w:rPr>
          <w:rFonts w:ascii="Cambria Math" w:hAnsi="Cambria Math" w:cs="Cambria Math"/>
          <w:sz w:val="22"/>
          <w:szCs w:val="22"/>
        </w:rPr>
        <w:t>⁸⁷</w:t>
      </w:r>
      <w:r w:rsidR="008E7174" w:rsidRPr="008E7174">
        <w:rPr>
          <w:rFonts w:ascii="Garamond" w:hAnsi="Garamond"/>
          <w:sz w:val="22"/>
          <w:szCs w:val="22"/>
        </w:rPr>
        <w:t>Sr/</w:t>
      </w:r>
      <w:r w:rsidR="008E7174" w:rsidRPr="008E7174">
        <w:rPr>
          <w:rFonts w:ascii="Cambria Math" w:hAnsi="Cambria Math" w:cs="Cambria Math"/>
          <w:sz w:val="22"/>
          <w:szCs w:val="22"/>
        </w:rPr>
        <w:t>⁸⁶</w:t>
      </w:r>
      <w:r w:rsidR="008E7174" w:rsidRPr="008E7174">
        <w:rPr>
          <w:rFonts w:ascii="Garamond" w:hAnsi="Garamond"/>
          <w:sz w:val="22"/>
          <w:szCs w:val="22"/>
        </w:rPr>
        <w:t>Sr</w:t>
      </w:r>
      <w:r w:rsidRPr="008E7174">
        <w:rPr>
          <w:rFonts w:ascii="Garamond" w:hAnsi="Garamond"/>
          <w:sz w:val="22"/>
          <w:szCs w:val="22"/>
        </w:rPr>
        <w:t xml:space="preserve"> of 0.708</w:t>
      </w:r>
      <w:r w:rsidR="008E7174" w:rsidRPr="008E7174">
        <w:rPr>
          <w:rFonts w:ascii="Garamond" w:hAnsi="Garamond"/>
          <w:sz w:val="22"/>
          <w:szCs w:val="22"/>
        </w:rPr>
        <w:t xml:space="preserve">0 </w:t>
      </w:r>
      <w:r w:rsidRPr="008E7174">
        <w:rPr>
          <w:rFonts w:ascii="Garamond" w:hAnsi="Garamond"/>
          <w:sz w:val="22"/>
          <w:szCs w:val="22"/>
        </w:rPr>
        <w:t>- 0.</w:t>
      </w:r>
      <w:r w:rsidR="00BB24FE" w:rsidRPr="008E7174">
        <w:rPr>
          <w:rFonts w:ascii="Garamond" w:hAnsi="Garamond"/>
          <w:sz w:val="22"/>
          <w:szCs w:val="22"/>
        </w:rPr>
        <w:t xml:space="preserve">7085. Clustering among watersheds is evident between principal </w:t>
      </w:r>
      <w:commentRangeStart w:id="0"/>
      <w:commentRangeStart w:id="1"/>
      <w:r w:rsidR="00BB24FE" w:rsidRPr="008E7174">
        <w:rPr>
          <w:rFonts w:ascii="Garamond" w:hAnsi="Garamond"/>
          <w:sz w:val="22"/>
          <w:szCs w:val="22"/>
        </w:rPr>
        <w:t>components</w:t>
      </w:r>
      <w:commentRangeEnd w:id="0"/>
      <w:r w:rsidR="00F2384D" w:rsidRPr="008E7174">
        <w:rPr>
          <w:rStyle w:val="CommentReference"/>
          <w:rFonts w:ascii="Garamond" w:hAnsi="Garamond"/>
          <w:sz w:val="22"/>
          <w:szCs w:val="22"/>
        </w:rPr>
        <w:commentReference w:id="0"/>
      </w:r>
      <w:commentRangeEnd w:id="1"/>
      <w:r w:rsidR="00F2384D" w:rsidRPr="008E7174">
        <w:rPr>
          <w:rStyle w:val="CommentReference"/>
          <w:rFonts w:ascii="Garamond" w:hAnsi="Garamond"/>
          <w:sz w:val="22"/>
          <w:szCs w:val="22"/>
        </w:rPr>
        <w:commentReference w:id="1"/>
      </w:r>
      <w:r w:rsidR="00BB24FE" w:rsidRPr="008E7174">
        <w:rPr>
          <w:rFonts w:ascii="Garamond" w:hAnsi="Garamond"/>
          <w:sz w:val="22"/>
          <w:szCs w:val="22"/>
        </w:rPr>
        <w:t xml:space="preserve"> 1 and 2 (</w:t>
      </w:r>
      <w:r w:rsidR="00303ACB" w:rsidRPr="008E7174">
        <w:rPr>
          <w:rFonts w:ascii="Garamond" w:hAnsi="Garamond"/>
          <w:sz w:val="22"/>
          <w:szCs w:val="22"/>
        </w:rPr>
        <w:t>68.39</w:t>
      </w:r>
      <w:r w:rsidR="00BB24FE" w:rsidRPr="008E7174">
        <w:rPr>
          <w:rFonts w:ascii="Garamond" w:hAnsi="Garamond"/>
          <w:sz w:val="22"/>
          <w:szCs w:val="22"/>
        </w:rPr>
        <w:t>% of variance), as well as between principal components 2 and 3 (</w:t>
      </w:r>
      <w:r w:rsidR="00303ACB" w:rsidRPr="008E7174">
        <w:rPr>
          <w:rFonts w:ascii="Garamond" w:hAnsi="Garamond"/>
          <w:sz w:val="22"/>
          <w:szCs w:val="22"/>
        </w:rPr>
        <w:t>31.16%</w:t>
      </w:r>
      <w:r w:rsidR="00BB24FE" w:rsidRPr="008E7174">
        <w:rPr>
          <w:rFonts w:ascii="Garamond" w:hAnsi="Garamond"/>
          <w:sz w:val="22"/>
          <w:szCs w:val="22"/>
        </w:rPr>
        <w:t xml:space="preserve"> </w:t>
      </w:r>
      <w:r w:rsidR="00303ACB" w:rsidRPr="008E7174">
        <w:rPr>
          <w:rFonts w:ascii="Garamond" w:hAnsi="Garamond"/>
          <w:sz w:val="22"/>
          <w:szCs w:val="22"/>
        </w:rPr>
        <w:t xml:space="preserve">of </w:t>
      </w:r>
      <w:r w:rsidR="00BB24FE" w:rsidRPr="008E7174">
        <w:rPr>
          <w:rFonts w:ascii="Garamond" w:hAnsi="Garamond"/>
          <w:sz w:val="22"/>
          <w:szCs w:val="22"/>
        </w:rPr>
        <w:t xml:space="preserve">variance). There is </w:t>
      </w:r>
      <w:r w:rsidR="00B75C35" w:rsidRPr="008E7174">
        <w:rPr>
          <w:rFonts w:ascii="Garamond" w:hAnsi="Garamond"/>
          <w:sz w:val="22"/>
          <w:szCs w:val="22"/>
        </w:rPr>
        <w:t>s</w:t>
      </w:r>
      <w:r w:rsidR="00BB24FE" w:rsidRPr="008E7174">
        <w:rPr>
          <w:rFonts w:ascii="Garamond" w:hAnsi="Garamond"/>
          <w:sz w:val="22"/>
          <w:szCs w:val="22"/>
        </w:rPr>
        <w:t>ome overlap between all three watersheds in both cases. B) Sample otolith LA timeseries colored by the absolute value of the PCA loadings at associated</w:t>
      </w:r>
      <w:r w:rsidR="00303ACB" w:rsidRPr="008E7174">
        <w:rPr>
          <w:rFonts w:ascii="Garamond" w:hAnsi="Garamond"/>
          <w:sz w:val="22"/>
          <w:szCs w:val="22"/>
        </w:rPr>
        <w:t xml:space="preserve"> timeseries</w:t>
      </w:r>
      <w:r w:rsidR="00BB24FE" w:rsidRPr="008E7174">
        <w:rPr>
          <w:rFonts w:ascii="Garamond" w:hAnsi="Garamond"/>
          <w:sz w:val="22"/>
          <w:szCs w:val="22"/>
        </w:rPr>
        <w:t xml:space="preserve"> indices. PC1 (top row) shows high loading on the middle section of the timeseries after the natal origin region. PC2 is driven by the region of the timeseries towards the marine entry</w:t>
      </w:r>
      <w:r w:rsidR="00303ACB" w:rsidRPr="008E7174">
        <w:rPr>
          <w:rFonts w:ascii="Garamond" w:hAnsi="Garamond"/>
          <w:sz w:val="22"/>
          <w:szCs w:val="22"/>
        </w:rPr>
        <w:t xml:space="preserve">, likely the result of mainstem migration to the ocean. </w:t>
      </w:r>
      <w:r w:rsidR="008E7174" w:rsidRPr="008E7174">
        <w:rPr>
          <w:rFonts w:ascii="Garamond" w:hAnsi="Garamond"/>
          <w:sz w:val="22"/>
          <w:szCs w:val="22"/>
        </w:rPr>
        <w:t xml:space="preserve">Separation along </w:t>
      </w:r>
      <w:r w:rsidR="00BB24FE" w:rsidRPr="008E7174">
        <w:rPr>
          <w:rFonts w:ascii="Garamond" w:hAnsi="Garamond"/>
          <w:sz w:val="22"/>
          <w:szCs w:val="22"/>
        </w:rPr>
        <w:t xml:space="preserve">PC3 is driven by the very beginning of the timeseries, which is the region associated with the natal origin. </w:t>
      </w:r>
      <w:r w:rsidR="008E7174" w:rsidRPr="008E7174">
        <w:rPr>
          <w:rFonts w:ascii="Garamond" w:hAnsi="Garamond"/>
          <w:sz w:val="22"/>
          <w:szCs w:val="22"/>
        </w:rPr>
        <w:t xml:space="preserve">Notably, </w:t>
      </w:r>
      <w:r w:rsidR="00303ACB" w:rsidRPr="008E7174">
        <w:rPr>
          <w:rFonts w:ascii="Garamond" w:hAnsi="Garamond"/>
          <w:sz w:val="22"/>
          <w:szCs w:val="22"/>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715EE988">
            <wp:extent cx="6415719" cy="3207860"/>
            <wp:effectExtent l="0" t="0" r="0" b="5715"/>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02262" cy="3251131"/>
                    </a:xfrm>
                    <a:prstGeom prst="rect">
                      <a:avLst/>
                    </a:prstGeom>
                  </pic:spPr>
                </pic:pic>
              </a:graphicData>
            </a:graphic>
          </wp:inline>
        </w:drawing>
      </w:r>
    </w:p>
    <w:p w14:paraId="1042AA6F" w14:textId="766D4910"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with an imposed probability threshold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1"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D29C92" w15:done="0"/>
  <w15:commentEx w15:paraId="40117E77" w15:paraIdParent="0DD29C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7D3936"/>
    <w:rsid w:val="00816FED"/>
    <w:rsid w:val="00850A4E"/>
    <w:rsid w:val="0087450A"/>
    <w:rsid w:val="008E7174"/>
    <w:rsid w:val="00907410"/>
    <w:rsid w:val="009203B8"/>
    <w:rsid w:val="009A55CD"/>
    <w:rsid w:val="009E03F9"/>
    <w:rsid w:val="00A152A4"/>
    <w:rsid w:val="00A46D4F"/>
    <w:rsid w:val="00A4712A"/>
    <w:rsid w:val="00A97906"/>
    <w:rsid w:val="00AB7F1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372A3"/>
    <w:rsid w:val="00E410EE"/>
    <w:rsid w:val="00E454BB"/>
    <w:rsid w:val="00E56807"/>
    <w:rsid w:val="00E8171A"/>
    <w:rsid w:val="00E97198"/>
    <w:rsid w:val="00EA6A2B"/>
    <w:rsid w:val="00ED1482"/>
    <w:rsid w:val="00ED3CD0"/>
    <w:rsid w:val="00F205AF"/>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image" Target="media/image4.png"/><Relationship Id="rId12" Type="http://schemas.microsoft.com/office/2018/08/relationships/commentsExtensible" Target="commentsExtensible.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emf"/><Relationship Id="rId11" Type="http://schemas.microsoft.com/office/2016/09/relationships/commentsIds" Target="commentsIds.xml"/><Relationship Id="rId5" Type="http://schemas.openxmlformats.org/officeDocument/2006/relationships/image" Target="media/image2.png"/><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image" Target="media/image1.png"/><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5</Pages>
  <Words>478</Words>
  <Characters>2725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15</cp:revision>
  <dcterms:created xsi:type="dcterms:W3CDTF">2025-10-08T21:50:00Z</dcterms:created>
  <dcterms:modified xsi:type="dcterms:W3CDTF">2025-10-13T18:45:00Z</dcterms:modified>
</cp:coreProperties>
</file>