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5FE944C0"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{"citationID":"hAKyMnYj","properties":{"formattedCitation":"(Jordan &amp; Mitchell, 2015)","plainCitation":"(Jordan &amp; Mitchell, 2015)","noteIndex":0},"citationItems":[{"id":5625,"uris":["http://zotero.org/users/8421274/items/JN9KDS24"],"itemData":{"id":5625,"type":"article-journal","abstract":"Machine learning addresses the question of how to build computers that improve automatically through experience. It is one of today’s most rapidly growing technical fields, lying at the intersection of computer science and statistics, and at the core of artificial intelligence and data science. Recent progress in machine learning has been driven both by the development of new learning algorithms and theory and by the ongoing explosion in the availability of online data and low-cost computation. The adoption of data-intensive machine-learning methods can be found throughout science, technology and commerce, leading to more evidence-based decision-making across many walks of life, including health care, manufacturing, education, financial modeling, policing, and marketing.","container-title":"Science","DOI":"10.1126/science.aaa8415","issue":"6245","note":"publisher: American Association for the Advancement of Science","page":"255-260","source":"www-science-org.offcampus.lib.washington.edu (Atypon)","title":"Machine learning: Trends, perspectives, and prospects","title-short":"Machine learning","volume":"349","author":[{"family":"Jordan","given":"M. I."},{"family":"Mitchell","given":"T. M."}],"issued":{"date-parts":[["2015",7,17]]}}}],"schema":"https://github.com/citation-style-language/schema/raw/master/csl-citation.json"}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(Jordan &amp; Mitchell, 2015)</w:t>
      </w:r>
      <w:r w:rsidR="00526D9D">
        <w:rPr>
          <w:rFonts w:ascii="Garamond" w:hAnsi="Garamond"/>
          <w:sz w:val="22"/>
          <w:szCs w:val="22"/>
        </w:rPr>
        <w:fldChar w:fldCharType="end"/>
      </w:r>
      <w:r w:rsidRPr="008310CB">
        <w:rPr>
          <w:rFonts w:ascii="Garamond" w:hAnsi="Garamond"/>
          <w:sz w:val="22"/>
          <w:szCs w:val="22"/>
        </w:rPr>
        <w:t>.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w:t>
      </w:r>
      <w:r w:rsidR="00526D9D">
        <w:rPr>
          <w:rFonts w:ascii="Garamond" w:hAnsi="Garamond"/>
          <w:sz w:val="22"/>
          <w:szCs w:val="22"/>
        </w:rPr>
        <w:t xml:space="preserve"> </w:t>
      </w:r>
      <w:r w:rsidR="00526D9D">
        <w:rPr>
          <w:rFonts w:ascii="Garamond" w:hAnsi="Garamond"/>
          <w:sz w:val="22"/>
          <w:szCs w:val="22"/>
        </w:rPr>
        <w:fldChar w:fldCharType="begin"/>
      </w:r>
      <w:r w:rsidR="00526D9D">
        <w:rPr>
          <w:rFonts w:ascii="Garamond" w:hAnsi="Garamond"/>
          <w:sz w:val="22"/>
          <w:szCs w:val="22"/>
        </w:rPr>
        <w:instrText xml:space="preserve"> ADDIN ZOTERO_ITEM CSL_CITATION {"citationID":"fArRVoWn","properties":{"formattedCitation":"(Peters et al., 2014; Pichler &amp; Hartig, 2022)","plainCitation":"(Peters et al., 2014; Pichler &amp; Hartig, 2022)","noteIndex":0},"citationItems":[{"id":5632,"uris":["http://zotero.org/users/8421274/items/8P8UTT5H"],"itemData":{"id":5632,"type":"article-journal","abstract":"Most efforts to harness the power of big data for ecology and environmental sciences focus on data and metadata sharing, standardization, and accuracy. However, many scientists have not accepted the data deluge as an integral part of their research because the current scientific method is not scalable to large, complex datasets. Here, we explain how integrating a data-intensive, machine learning approach with a hypothesis-driven, mechanistic approach can lead to a novel knowledge, learning, analysis system (KLAS) for discovery and problem solving. Machine learning leads to more efficient, user-friendly analytics as the streams of data increase while hypothesis-driven decisions lead to the strategic design of experiments to fill knowledge gaps and to elucidate mechanisms. KLAS will transform ecology and environmental sciences by shortening the time lag between individual discoveries and leaps in knowledge by the scientific community, and will lead to paradigm shifts predicated on open access data and analytics in a machine learning environment.","container-title":"ECOSPHERE","DOI":"10.1890/ES13-00359.1","ISSN":"2150-8925","issue":"6","journalAbbreviation":"Ecosphere","language":"English","note":"number-of-pages: 15\npublisher-place: Hoboken\npublisher: Wiley\nWeb of Science ID: WOS:000338925000001","page":"67","source":"Clarivate Analytics Web of Science","title":"Harnessing the power of big data: infusing the scientific method with machine learning to transform ecology","title-short":"Harnessing the power of big data","volume":"5","author":[{"family":"Peters","given":"Debra P. C."},{"family":"Havstad","given":"Kris M."},{"family":"Cushing","given":"Judy"},{"family":"Tweedie","given":"Craig"},{"family":"Fuentes","given":"Olac"},{"family":"Villanueva-Rosales","given":"Natalia"}],"issued":{"date-parts":[["2014",6]]}}},{"id":3055,"uris":["http://zotero.org/users/8421274/items/8HIWJIVW"],"itemData":{"id":3055,"type":"article-journal","abstract":"The popularity of machine learning (ML), deep learning (DL) and artificial intelligence (AI) has risen sharply in recent years. Despite this spike in popularity, the inner workings of ML and DL algorithms are often perceived as opaque, and their relationship to classical data analysis tools remains debated. Although it is often assumed that ML and DL excel primarily at making predictions, ML and DL can also be used for analytical tasks traditionally addressed with statistical models. Moreover, most recent discussions and reviews on ML focus mainly on DL, failing to synthesise the wealth of ML algorithms with different advantages and general principles. Here, we provide a comprehensive overview of the field of ML and DL, starting by summarizing its historical developments, existing algorithm families, differences to traditional statistical tools, and universal ML principles. We then discuss why and when ML and DL models excel at prediction tasks and where they could offer alternatives to traditional statistical methods for inference, highlighting current and emerging applications for ecological problems. Finally, we summarize emerging trends such as scientific and causal ML, explainable AI, and responsible AI that may significantly impact ecological data analysis in the future. We conclude that ML and DL are powerful new tools for predictive modelling and data analysis. The superior performance of ML and DL algorithms compared to statistical models can be explained by their higher flexibility and automatic data-dependent complexity optimization. However, their use for causal inference is still disputed as the focus of ML and DL methods on predictions creates challenges for the interpretation of these models. Nevertheless, we expect ML and DL to become an indispensable tool in ecology and evolution, comparable to other traditional statistical tools.","container-title":"Methods in Ecology and Evolution","DOI":"10.1111/2041-210X.14061","ISSN":"2041-210X","issue":"n/a","language":"en","note":"_eprint: https://onlinelibrary.wiley.com/doi/pdf/10.1111/2041-210X.14061","source":"Wiley Online Library","title":"Machine learning and deep learning—A review for ecologists","URL":"https://onlinelibrary.wiley.com/doi/abs/10.1111/2041-210X.14061","volume":"n/a","author":[{"family":"Pichler","given":"Maximilian"},{"family":"Hartig","given":"Florian"}],"accessed":{"date-parts":[["2023",2,23]]},"issued":{"date-parts":[["2022",12,5]]}}}],"schema":"https://github.com/citation-style-language/schema/raw/master/csl-citation.json"} </w:instrText>
      </w:r>
      <w:r w:rsidR="00526D9D">
        <w:rPr>
          <w:rFonts w:ascii="Garamond" w:hAnsi="Garamond"/>
          <w:sz w:val="22"/>
          <w:szCs w:val="22"/>
        </w:rPr>
        <w:fldChar w:fldCharType="separate"/>
      </w:r>
      <w:r w:rsidR="00526D9D">
        <w:rPr>
          <w:rFonts w:ascii="Garamond" w:hAnsi="Garamond"/>
          <w:noProof/>
          <w:sz w:val="22"/>
          <w:szCs w:val="22"/>
        </w:rPr>
        <w:t>(Peters et al., 2014; Pichler &amp; Hartig, 2022)</w:t>
      </w:r>
      <w:r w:rsidR="00526D9D">
        <w:rPr>
          <w:rFonts w:ascii="Garamond" w:hAnsi="Garamond"/>
          <w:sz w:val="22"/>
          <w:szCs w:val="22"/>
        </w:rPr>
        <w:fldChar w:fldCharType="end"/>
      </w:r>
      <w:r w:rsidRPr="008310CB">
        <w:rPr>
          <w:rFonts w:ascii="Garamond" w:hAnsi="Garamond"/>
          <w:sz w:val="22"/>
          <w:szCs w:val="22"/>
        </w:rPr>
        <w:t xml:space="preserv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these </w:t>
      </w:r>
      <w:r w:rsidR="00813C70">
        <w:rPr>
          <w:rFonts w:ascii="Garamond" w:hAnsi="Garamond"/>
          <w:sz w:val="22"/>
          <w:szCs w:val="22"/>
        </w:rPr>
        <w:t>tools</w:t>
      </w:r>
      <w:r w:rsidR="008C5595">
        <w:rPr>
          <w:rFonts w:ascii="Garamond" w:hAnsi="Garamond"/>
          <w:sz w:val="22"/>
          <w:szCs w:val="22"/>
        </w:rPr>
        <w:t xml:space="preserve"> ha</w:t>
      </w:r>
      <w:r w:rsidR="00813C70">
        <w:rPr>
          <w:rFonts w:ascii="Garamond" w:hAnsi="Garamond"/>
          <w:sz w:val="22"/>
          <w:szCs w:val="22"/>
        </w:rPr>
        <w:t>s</w:t>
      </w:r>
      <w:r w:rsidR="008C5595">
        <w:rPr>
          <w:rFonts w:ascii="Garamond" w:hAnsi="Garamond"/>
          <w:sz w:val="22"/>
          <w:szCs w:val="22"/>
        </w:rPr>
        <w:t xml:space="preserve"> improved data collection (</w:t>
      </w:r>
      <w:r w:rsidR="004139BE">
        <w:rPr>
          <w:rFonts w:ascii="Garamond" w:hAnsi="Garamond"/>
          <w:sz w:val="22"/>
          <w:szCs w:val="22"/>
        </w:rPr>
        <w:t>i.e.</w:t>
      </w:r>
      <w:r w:rsidR="008C5595">
        <w:rPr>
          <w:rFonts w:ascii="Garamond" w:hAnsi="Garamond"/>
          <w:sz w:val="22"/>
          <w:szCs w:val="22"/>
        </w:rPr>
        <w:t xml:space="preserve">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allowed for novel insights from existing datasets</w:t>
      </w:r>
      <w:r w:rsidR="00526D9D">
        <w:rPr>
          <w:rFonts w:ascii="Garamond" w:hAnsi="Garamond"/>
          <w:sz w:val="22"/>
          <w:szCs w:val="22"/>
        </w:rPr>
        <w:t xml:space="preserve"> </w:t>
      </w:r>
      <w:r w:rsidR="00526D9D">
        <w:rPr>
          <w:rFonts w:ascii="Garamond" w:hAnsi="Garamond"/>
          <w:sz w:val="22"/>
          <w:szCs w:val="22"/>
        </w:rPr>
        <w:fldChar w:fldCharType="begin"/>
      </w:r>
      <w:r w:rsidR="004139BE">
        <w:rPr>
          <w:rFonts w:ascii="Garamond" w:hAnsi="Garamond"/>
          <w:sz w:val="22"/>
          <w:szCs w:val="22"/>
        </w:rPr>
        <w:instrText xml:space="preserve"> ADDIN ZOTERO_ITEM CSL_CITATION {"citationID":"pJaMhPSf","properties":{"formattedCitation":"(Gladju et al., 2022; K\\uc0\\u252{}hn et al., 2024)","plainCitation":"(Gladju et al., 2022; Kühn et al., 2024)","noteIndex":0},"citationItems":[{"id":5633,"uris":["http://zotero.org/users/8421274/items/NIF7PTLP"],"itemData":{"id":5633,"type":"article-journal","abstract":"Aquaculture and fisheries sectors are finding ingenious ways to grow and meet the soaring human demand for nutrient-rich fish and seafood by efficiently utilizing the vast water resources and biodiversity of aquatic life on earth. This includes the progressive integration of information technology, data science and artificial intel-ligence with fishing and fish farming methods to enable intensification of aquaculture production, sustainable exploitation of natural fishery resources and mechanization-automation of allied activities. Exclusive data min-ing and machine learning systems are being developed to process complex datasets and perform intelligent tasks like analysing cause-effect associations, forecasting problems and providing smart-precision solutions for farming and catching fish. Considering the intensifying research and growing interest of stakeholders, in this review, we have consolidated basic information on the various practical applications of data mining and machine learning in aquaculture and fisheries domains from representative selection of scientific literature. This includes an overview of research and applications in (1) aquaculture activities such as monitoring and control of the production en-vironment, optimization of feed use, fish biomass monitoring and disease prevention; (2) fisheries management aspects such as resource assessment, fishing, catch monitoring and regulation; (3) environment monitoring related to hydrology, primary production and aquatic pollution; (4) automation of fish processing and quality assurance systems; and (5) fish market intelligence, price forecasting and socioeconomics. While aquaculture has been rel-atively faster in integrating data mining and machine learning tools with advanced farming systems, capture fisheries is finding reliable methods to sort the complexities in data collection and processing. Finally, we have pointed out some of the challenges and future perspectives related to large-scale adoption.","container-title":"SMART AGRICULTURAL TECHNOLOGY","DOI":"10.1016/j.atech.2022.100061","ISSN":"2772-3755","journalAbbreviation":"Smart Agric. Technol.","language":"English","note":"number-of-pages: 15\npublisher-place: Amsterdam\npublisher: Elsevier\nWeb of Science ID: WOS:001134374800002","page":"100061","source":"Clarivate Analytics Web of Science","title":"Applications of data mining and machine learning framework in aquaculture and fisheries: A review","title-short":"Applications of data mining and machine learning framework in aquaculture and fisheries","volume":"2","author":[{"family":"Gladju","given":"J."},{"family":"Kamalam","given":"Biju Sam"},{"family":"Kanagaraj","given":"A."}],"issued":{"date-parts":[["2022",12]]}}},{"id":4756,"uris":["http://zotero.org/users/8421274/items/FPURRU5M"],"itemData":{"id":4756,"type":"article-journal","abstract":"Fisheries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526D9D">
        <w:rPr>
          <w:rFonts w:ascii="Garamond" w:hAnsi="Garamond"/>
          <w:sz w:val="22"/>
          <w:szCs w:val="22"/>
        </w:rPr>
        <w:fldChar w:fldCharType="separate"/>
      </w:r>
      <w:r w:rsidR="004139BE" w:rsidRPr="004139BE">
        <w:rPr>
          <w:rFonts w:ascii="Garamond" w:hAnsi="Garamond" w:cs="Times New Roman"/>
          <w:kern w:val="0"/>
          <w:sz w:val="22"/>
        </w:rPr>
        <w:t>(</w:t>
      </w:r>
      <w:proofErr w:type="spellStart"/>
      <w:r w:rsidR="004139BE" w:rsidRPr="004139BE">
        <w:rPr>
          <w:rFonts w:ascii="Garamond" w:hAnsi="Garamond" w:cs="Times New Roman"/>
          <w:kern w:val="0"/>
          <w:sz w:val="22"/>
        </w:rPr>
        <w:t>Gladju</w:t>
      </w:r>
      <w:proofErr w:type="spellEnd"/>
      <w:r w:rsidR="004139BE" w:rsidRPr="004139BE">
        <w:rPr>
          <w:rFonts w:ascii="Garamond" w:hAnsi="Garamond" w:cs="Times New Roman"/>
          <w:kern w:val="0"/>
          <w:sz w:val="22"/>
        </w:rPr>
        <w:t xml:space="preserve"> et al., 2022; Kühn et al., 2024)</w:t>
      </w:r>
      <w:r w:rsidR="00526D9D">
        <w:rPr>
          <w:rFonts w:ascii="Garamond" w:hAnsi="Garamond"/>
          <w:sz w:val="22"/>
          <w:szCs w:val="22"/>
        </w:rPr>
        <w:fldChar w:fldCharType="end"/>
      </w:r>
      <w:r w:rsidR="004139BE">
        <w:rPr>
          <w:rFonts w:ascii="Garamond" w:hAnsi="Garamond"/>
          <w:sz w:val="22"/>
          <w:szCs w:val="22"/>
        </w:rPr>
        <w:fldChar w:fldCharType="begin"/>
      </w:r>
      <w:r w:rsidR="004139BE">
        <w:rPr>
          <w:rFonts w:ascii="Garamond" w:hAnsi="Garamond"/>
          <w:sz w:val="22"/>
          <w:szCs w:val="22"/>
        </w:rPr>
        <w:instrText xml:space="preserve"> ADDIN ZOTERO_ITEM CSL_CITATION {"citationID":"i0m2U680","properties":{"formattedCitation":"(K\\uc0\\u252{}hn et al., 2024)","plainCitation":"(Kühn et al., 2024)","noteIndex":0},"citationItems":[{"id":4756,"uris":["http://zotero.org/users/8421274/items/FPURRU5M"],"itemData":{"id":4756,"type":"article-journal","abstract":"Fisheries science aims to understand and manage marine natural resources. It relies on resource-intensive sampling and data analysis. Within this context, the emergence of machine learning (ML) systems holds significant promise for understanding disparate components of these marine ecosystems and gaining a greater understanding of their dynamics. The goal of this paper is to present a review of ML applications in fisheries science. It highlights both their advantages over conventional approaches and their drawbacks, particularly in terms of operationality and possible robustness issues. This review is organized from small to large scales. It begins with genomics and subsequently expands to individuals (catch items), aggregations of different species in situ, on-board processing, stock/populations assessment and dynamics, spatial mapping, fishing-related organizational units, and finally ecosystem dynamics. Each field has its own set of challenges, such as pre-processing steps, the quantity and quality of training data, the necessity of appropriate model validation, and knowing where ML algorithms are more limited, and we discuss some of these discipline-specific challenges. The scope of discussion of applied methods ranges from conventional statistical methods to data-specific approaches that use a higher level of semantics. The paper concludes with the potential implications of ML applications on management decisions and a summary of the benefits and challenges of using these techniques in fisheries.","container-title":"Reviews in Fisheries Science &amp; Aquaculture","DOI":"10.1080/23308249.2024.2423189","ISSN":"2330-8249","issue":"0","note":"publisher: Taylor &amp; Francis\n_eprint: https://doi.org/10.1080/23308249.2024.2423189","page":"1-24","source":"Taylor and Francis+NEJM","title":"Machine Learning Applications for Fisheries—At Scales from Genomics to Ecosystems","volume":"0","author":[{"family":"Kühn","given":"Bernhard"},{"family":"Cayetano","given":"Arjay"},{"family":"Fincham","given":"Jennifer I."},{"family":"Moustahfid","given":"Hassan"},{"family":"Sokolova","given":"Maria"},{"family":"Trifonova","given":"Neda"},{"family":"Watson","given":"Jordan T."},{"family":"Fernandes-Salvador","given":"Jose A."},{"family":"Uusitalo","given":"Laura"}],"issued":{"date-parts":[["2024"]]}}}],"schema":"https://github.com/citation-style-language/schema/raw/master/csl-citation.json"} </w:instrText>
      </w:r>
      <w:r w:rsidR="004139BE">
        <w:rPr>
          <w:rFonts w:ascii="Garamond" w:hAnsi="Garamond"/>
          <w:sz w:val="22"/>
          <w:szCs w:val="22"/>
        </w:rPr>
        <w:fldChar w:fldCharType="separate"/>
      </w:r>
      <w:r w:rsidR="004139BE">
        <w:rPr>
          <w:rFonts w:ascii="Garamond" w:hAnsi="Garamond"/>
          <w:sz w:val="22"/>
          <w:szCs w:val="22"/>
        </w:rPr>
        <w:fldChar w:fldCharType="end"/>
      </w:r>
      <w:r w:rsidR="004139BE">
        <w:rPr>
          <w:rFonts w:ascii="Garamond" w:hAnsi="Garamond"/>
          <w:sz w:val="22"/>
          <w:szCs w:val="22"/>
        </w:rPr>
        <w:t>.</w:t>
      </w:r>
      <w:r w:rsidR="00443445">
        <w:rPr>
          <w:rFonts w:ascii="Garamond" w:hAnsi="Garamond"/>
          <w:sz w:val="22"/>
          <w:szCs w:val="22"/>
        </w:rPr>
        <w:t xml:space="preserve">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w:t>
      </w:r>
      <w:r w:rsidR="004139BE">
        <w:rPr>
          <w:rFonts w:ascii="Garamond" w:hAnsi="Garamond"/>
          <w:sz w:val="22"/>
          <w:szCs w:val="22"/>
        </w:rPr>
        <w:t xml:space="preserve">has empowered </w:t>
      </w:r>
      <w:r w:rsidR="00813C70" w:rsidRPr="009157FF">
        <w:rPr>
          <w:rFonts w:ascii="Garamond" w:hAnsi="Garamond"/>
          <w:sz w:val="22"/>
          <w:szCs w:val="22"/>
        </w:rPr>
        <w:t xml:space="preserve">researchers to pursue novel approaches </w:t>
      </w:r>
      <w:r w:rsidR="004139BE">
        <w:rPr>
          <w:rFonts w:ascii="Garamond" w:hAnsi="Garamond"/>
          <w:sz w:val="22"/>
          <w:szCs w:val="22"/>
        </w:rPr>
        <w:t xml:space="preserve">and accelerated efforts to address urgent challenges in </w:t>
      </w:r>
      <w:r w:rsidR="00813C70" w:rsidRPr="009157FF">
        <w:rPr>
          <w:rFonts w:ascii="Garamond" w:hAnsi="Garamond"/>
          <w:sz w:val="22"/>
          <w:szCs w:val="22"/>
        </w:rPr>
        <w:t>fisheries sciences.</w:t>
      </w:r>
    </w:p>
    <w:p w14:paraId="0EB693CE" w14:textId="00FF6886" w:rsidR="009A29F5" w:rsidRDefault="004139BE" w:rsidP="00F864E5">
      <w:pPr>
        <w:spacing w:line="480" w:lineRule="auto"/>
        <w:ind w:firstLine="720"/>
        <w:rPr>
          <w:rFonts w:ascii="Garamond" w:hAnsi="Garamond"/>
          <w:sz w:val="22"/>
          <w:szCs w:val="22"/>
        </w:rPr>
      </w:pPr>
      <w:r>
        <w:rPr>
          <w:rFonts w:ascii="Garamond" w:hAnsi="Garamond"/>
          <w:sz w:val="22"/>
          <w:szCs w:val="22"/>
        </w:rPr>
        <w:t>One ongoing fisheries research challenge is the need to understand the cause and impact of recent stock collapses of Pacific Salmon in western Alaska</w:t>
      </w:r>
      <w:r w:rsidR="002F5E0E">
        <w:rPr>
          <w:rFonts w:ascii="Garamond" w:hAnsi="Garamond"/>
          <w:sz w:val="22"/>
          <w:szCs w:val="22"/>
        </w:rPr>
        <w:t xml:space="preserve"> </w:t>
      </w:r>
      <w:r w:rsidR="002F5E0E">
        <w:rPr>
          <w:rFonts w:ascii="Garamond" w:hAnsi="Garamond"/>
          <w:sz w:val="22"/>
          <w:szCs w:val="22"/>
        </w:rPr>
        <w:fldChar w:fldCharType="begin"/>
      </w:r>
      <w:r w:rsidR="00F864E5">
        <w:rPr>
          <w:rFonts w:ascii="Garamond" w:hAnsi="Garamond"/>
          <w:sz w:val="22"/>
          <w:szCs w:val="22"/>
        </w:rPr>
        <w:instrText xml:space="preserve"> ADDIN ZOTERO_ITEM CSL_CITATION {"citationID":"lDhcmwYS","properties":{"formattedCitation":"(Feddern et al., 2023; Lamborn et al., 2025; Ohlberger et al., 2018; Schindler et al., 2013)","plainCitation":"(Feddern et al., 2023; Lamborn et al., 2025;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E"},{"family":"Lewis","given":"Bert"}],"issued":{"date-parts":[["2018"]]}}},{"id":5649,"uris":["http://zotero.org/users/8421274/items/LYMQJ7VS"],"itemData":{"id":5649,"type":"article-journal","language":"en","source":"Zotero","title":"Arctic-Yukon-Kuskokwim Sustainable Salmon Initiative Arctic-Yukon-Kuskokwim Chinook Salmon Research Action Plan: Evidence of Decline of Chinook Salmon Populations and Recommendations for Future Research. Prepared for the AYK Sustainable Salmon Initiative (Anchorage, AK). v + 70 pp","author":[{"family":"Schindler","given":"D"},{"family":"Krueger","given":"C"},{"family":"Bisson","given":"P"},{"family":"Bradford","given":"M"},{"family":"Clark","given":"B"},{"family":"Conitz","given":"J"},{"family":"Howard","given":"K"},{"family":"Jones","given":"M"},{"family":"Murphy","given":"J"},{"family":"Myers","given":"K"},{"family":"Scheuerell","given":"M"},{"family":"Volk","given":"E"},{"family":"Winton","given":"J"}],"issued":{"date-parts":[["2013",8]]}}}],"schema":"https://github.com/citation-style-language/schema/raw/master/csl-citation.json"} </w:instrText>
      </w:r>
      <w:r w:rsidR="002F5E0E">
        <w:rPr>
          <w:rFonts w:ascii="Garamond" w:hAnsi="Garamond"/>
          <w:sz w:val="22"/>
          <w:szCs w:val="22"/>
        </w:rPr>
        <w:fldChar w:fldCharType="separate"/>
      </w:r>
      <w:r w:rsidR="00F864E5">
        <w:rPr>
          <w:rFonts w:ascii="Garamond" w:hAnsi="Garamond"/>
          <w:noProof/>
          <w:sz w:val="22"/>
          <w:szCs w:val="22"/>
        </w:rPr>
        <w:t>(Feddern et al., 2023; Lamborn et al., 2025; Ohlberger et al., 2018; Schindler et al., 2013)</w:t>
      </w:r>
      <w:r w:rsidR="002F5E0E">
        <w:rPr>
          <w:rFonts w:ascii="Garamond" w:hAnsi="Garamond"/>
          <w:sz w:val="22"/>
          <w:szCs w:val="22"/>
        </w:rPr>
        <w:fldChar w:fldCharType="end"/>
      </w:r>
      <w:r w:rsidR="002F5E0E">
        <w:rPr>
          <w:rFonts w:ascii="Garamond" w:hAnsi="Garamond"/>
          <w:sz w:val="22"/>
          <w:szCs w:val="22"/>
        </w:rPr>
        <w:t xml:space="preserve">. </w:t>
      </w:r>
      <w:r w:rsidR="00F864E5">
        <w:rPr>
          <w:rFonts w:ascii="Garamond" w:hAnsi="Garamond"/>
          <w:sz w:val="22"/>
          <w:szCs w:val="22"/>
        </w:rPr>
        <w:t>S</w:t>
      </w:r>
      <w:r w:rsidRPr="004139BE">
        <w:rPr>
          <w:rFonts w:ascii="Garamond" w:hAnsi="Garamond"/>
          <w:sz w:val="22"/>
          <w:szCs w:val="22"/>
        </w:rPr>
        <w:t>almon</w:t>
      </w:r>
      <w:r w:rsidR="00F864E5">
        <w:rPr>
          <w:rFonts w:ascii="Garamond" w:hAnsi="Garamond"/>
          <w:sz w:val="22"/>
          <w:szCs w:val="22"/>
        </w:rPr>
        <w:t xml:space="preserve"> in this region</w:t>
      </w:r>
      <w:r w:rsidRPr="004139BE">
        <w:rPr>
          <w:rFonts w:ascii="Garamond" w:hAnsi="Garamond"/>
          <w:sz w:val="22"/>
          <w:szCs w:val="22"/>
        </w:rPr>
        <w:t xml:space="preserve"> su</w:t>
      </w:r>
      <w:r w:rsidR="002F5E0E">
        <w:rPr>
          <w:rFonts w:ascii="Garamond" w:hAnsi="Garamond"/>
          <w:sz w:val="22"/>
          <w:szCs w:val="22"/>
        </w:rPr>
        <w:t xml:space="preserve">pport </w:t>
      </w:r>
      <w:r w:rsidRPr="004139BE">
        <w:rPr>
          <w:rFonts w:ascii="Garamond" w:hAnsi="Garamond"/>
          <w:sz w:val="22"/>
          <w:szCs w:val="22"/>
        </w:rPr>
        <w:t xml:space="preserve">a lucrative commercial fishery and provide subsistence harvests and cultural value for dozens of </w:t>
      </w:r>
      <w:r w:rsidR="002F5E0E">
        <w:rPr>
          <w:rFonts w:ascii="Garamond" w:hAnsi="Garamond"/>
          <w:sz w:val="22"/>
          <w:szCs w:val="22"/>
        </w:rPr>
        <w:t>i</w:t>
      </w:r>
      <w:r w:rsidRPr="004139BE">
        <w:rPr>
          <w:rFonts w:ascii="Garamond" w:hAnsi="Garamond"/>
          <w:sz w:val="22"/>
          <w:szCs w:val="22"/>
        </w:rPr>
        <w:t>ndigenous communities</w:t>
      </w:r>
      <w:r w:rsidR="002F5E0E">
        <w:rPr>
          <w:rFonts w:ascii="Garamond" w:hAnsi="Garamond"/>
          <w:sz w:val="22"/>
          <w:szCs w:val="22"/>
        </w:rPr>
        <w:t xml:space="preserve"> </w:t>
      </w:r>
      <w:r w:rsidR="002F5E0E">
        <w:rPr>
          <w:rFonts w:ascii="Garamond" w:hAnsi="Garamond"/>
          <w:sz w:val="22"/>
          <w:szCs w:val="22"/>
        </w:rPr>
        <w:fldChar w:fldCharType="begin"/>
      </w:r>
      <w:r w:rsidR="00525222">
        <w:rPr>
          <w:rFonts w:ascii="Garamond" w:hAnsi="Garamond"/>
          <w:sz w:val="22"/>
          <w:szCs w:val="22"/>
        </w:rPr>
        <w:instrText xml:space="preserve"> ADDIN ZOTERO_ITEM CSL_CITATION {"citationID":"WNxsp5Xb","properties":{"formattedCitation":"(Esquible, 2024; Moncrieff, 2017)","plainCitation":"(Esquible, 2024; Moncrieff, 2017)","noteIndex":0},"citationItems":[{"id":5642,"uris":["http://zotero.org/users/8421274/items/IM4GUPIR"],"itemData":{"id":5642,"type":"thesis","abstract":"This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id":4522,"uris":["http://zotero.org/users/8421274/items/XNEKH7SB"],"itemData":{"id":4522,"type":"report","publisher":"Yukon River Drainage Fisheries Association. Anchorage, Alaska","title":"How People of the Yukon River Value Salmon: A case study on the lower, middle, and upper portions of the Yukon river. Final report to the North Pacific Research Board project #1413","URL":"https://www.yukonsalmon.org/wp-content/uploads/Value-of-Salmon-Final-Report.pdf","author":[{"family":"Moncrieff","given":"C.F."}],"accessed":{"date-parts":[["2024",9,12]]},"issued":{"date-parts":[["2017",10]]}}}],"schema":"https://github.com/citation-style-language/schema/raw/master/csl-citation.json"} </w:instrText>
      </w:r>
      <w:r w:rsidR="002F5E0E">
        <w:rPr>
          <w:rFonts w:ascii="Garamond" w:hAnsi="Garamond"/>
          <w:sz w:val="22"/>
          <w:szCs w:val="22"/>
        </w:rPr>
        <w:fldChar w:fldCharType="separate"/>
      </w:r>
      <w:r w:rsidR="00525222">
        <w:rPr>
          <w:rFonts w:ascii="Garamond" w:hAnsi="Garamond"/>
          <w:noProof/>
          <w:sz w:val="22"/>
          <w:szCs w:val="22"/>
        </w:rPr>
        <w:t>(Esquible, 2024; Moncrieff, 2017)</w:t>
      </w:r>
      <w:r w:rsidR="002F5E0E">
        <w:rPr>
          <w:rFonts w:ascii="Garamond" w:hAnsi="Garamond"/>
          <w:sz w:val="22"/>
          <w:szCs w:val="22"/>
        </w:rPr>
        <w:fldChar w:fldCharType="end"/>
      </w:r>
      <w:r w:rsidR="00525222">
        <w:rPr>
          <w:rFonts w:ascii="Garamond" w:hAnsi="Garamond"/>
          <w:sz w:val="22"/>
          <w:szCs w:val="22"/>
        </w:rPr>
        <w:t xml:space="preserve">. </w:t>
      </w:r>
      <w:r w:rsidR="00F864E5" w:rsidRPr="00F864E5">
        <w:rPr>
          <w:rFonts w:ascii="Garamond" w:hAnsi="Garamond"/>
          <w:sz w:val="22"/>
          <w:szCs w:val="22"/>
        </w:rPr>
        <w:t>However, r</w:t>
      </w:r>
      <w:r w:rsidR="00215662" w:rsidRPr="00F864E5">
        <w:rPr>
          <w:rFonts w:ascii="Garamond" w:hAnsi="Garamond"/>
          <w:sz w:val="22"/>
          <w:szCs w:val="22"/>
        </w:rPr>
        <w:t>ecent declines</w:t>
      </w:r>
      <w:r w:rsidR="00F864E5" w:rsidRPr="00F864E5">
        <w:rPr>
          <w:rFonts w:ascii="Garamond" w:hAnsi="Garamond"/>
          <w:sz w:val="22"/>
          <w:szCs w:val="22"/>
        </w:rPr>
        <w:t xml:space="preserve"> in Chinook ( </w:t>
      </w:r>
      <w:r w:rsidR="00F864E5" w:rsidRPr="00F864E5">
        <w:rPr>
          <w:rFonts w:ascii="Garamond" w:hAnsi="Garamond"/>
          <w:i/>
          <w:iCs/>
          <w:sz w:val="22"/>
          <w:szCs w:val="22"/>
        </w:rPr>
        <w:t xml:space="preserve">Oncorhynchus </w:t>
      </w:r>
      <w:proofErr w:type="spellStart"/>
      <w:r w:rsidR="00F864E5" w:rsidRPr="00F864E5">
        <w:rPr>
          <w:rFonts w:ascii="Garamond" w:hAnsi="Garamond"/>
          <w:i/>
          <w:iCs/>
          <w:sz w:val="22"/>
          <w:szCs w:val="22"/>
        </w:rPr>
        <w:t>tshawytscha</w:t>
      </w:r>
      <w:r w:rsidR="00F864E5" w:rsidRPr="00F864E5">
        <w:rPr>
          <w:rFonts w:ascii="Garamond" w:hAnsi="Garamond"/>
          <w:sz w:val="22"/>
          <w:szCs w:val="22"/>
        </w:rPr>
        <w:t xml:space="preserve">) </w:t>
      </w:r>
      <w:proofErr w:type="spellEnd"/>
      <w:r w:rsidR="00F864E5" w:rsidRPr="00F864E5">
        <w:rPr>
          <w:rFonts w:ascii="Garamond" w:hAnsi="Garamond"/>
          <w:sz w:val="22"/>
          <w:szCs w:val="22"/>
        </w:rPr>
        <w:t>and chum (</w:t>
      </w:r>
      <w:r w:rsidR="00F864E5" w:rsidRPr="00F864E5">
        <w:rPr>
          <w:rFonts w:ascii="Garamond" w:hAnsi="Garamond"/>
          <w:i/>
          <w:iCs/>
          <w:sz w:val="22"/>
          <w:szCs w:val="22"/>
        </w:rPr>
        <w:t>Oncorhynchus keta</w:t>
      </w:r>
      <w:r w:rsidR="00F864E5" w:rsidRPr="00F864E5">
        <w:rPr>
          <w:rFonts w:ascii="Garamond" w:hAnsi="Garamond"/>
          <w:sz w:val="22"/>
          <w:szCs w:val="22"/>
        </w:rPr>
        <w:t>) salmon</w:t>
      </w:r>
      <w:r w:rsidR="00215662" w:rsidRPr="00F864E5">
        <w:rPr>
          <w:rFonts w:ascii="Garamond" w:hAnsi="Garamond"/>
          <w:sz w:val="22"/>
          <w:szCs w:val="22"/>
        </w:rPr>
        <w:t xml:space="preserve"> have </w:t>
      </w:r>
      <w:r w:rsidR="00F864E5">
        <w:rPr>
          <w:rFonts w:ascii="Garamond" w:hAnsi="Garamond"/>
          <w:sz w:val="22"/>
          <w:szCs w:val="22"/>
        </w:rPr>
        <w:t xml:space="preserve">led to a </w:t>
      </w:r>
      <w:r w:rsidR="00215662" w:rsidRPr="00F864E5">
        <w:rPr>
          <w:rFonts w:ascii="Garamond" w:hAnsi="Garamond"/>
          <w:sz w:val="22"/>
          <w:szCs w:val="22"/>
        </w:rPr>
        <w:t>region-wide crisis</w:t>
      </w:r>
      <w:r w:rsidR="002F5E0E" w:rsidRPr="00F864E5">
        <w:rPr>
          <w:rFonts w:ascii="Garamond" w:hAnsi="Garamond"/>
          <w:sz w:val="22"/>
          <w:szCs w:val="22"/>
        </w:rPr>
        <w:t xml:space="preserve"> of economic uncertainty</w:t>
      </w:r>
      <w:r w:rsidR="00215662" w:rsidRPr="00F864E5">
        <w:rPr>
          <w:rFonts w:ascii="Garamond" w:hAnsi="Garamond"/>
          <w:sz w:val="22"/>
          <w:szCs w:val="22"/>
        </w:rPr>
        <w:t>,</w:t>
      </w:r>
      <w:r w:rsidR="002F5E0E" w:rsidRPr="00F864E5">
        <w:rPr>
          <w:rFonts w:ascii="Garamond" w:hAnsi="Garamond"/>
          <w:sz w:val="22"/>
          <w:szCs w:val="22"/>
        </w:rPr>
        <w:t xml:space="preserve"> </w:t>
      </w:r>
      <w:r w:rsidR="00215662" w:rsidRPr="00F864E5">
        <w:rPr>
          <w:rFonts w:ascii="Garamond" w:hAnsi="Garamond"/>
          <w:sz w:val="22"/>
          <w:szCs w:val="22"/>
        </w:rPr>
        <w:t>food insecurity, and a loss of an important cultural resource</w:t>
      </w:r>
      <w:r w:rsidR="00525222" w:rsidRPr="00F864E5">
        <w:rPr>
          <w:rFonts w:ascii="Garamond" w:hAnsi="Garamond"/>
          <w:sz w:val="22"/>
          <w:szCs w:val="22"/>
        </w:rPr>
        <w:t xml:space="preserve"> </w:t>
      </w:r>
      <w:r w:rsidR="00525222" w:rsidRPr="00F864E5">
        <w:rPr>
          <w:rFonts w:ascii="Garamond" w:hAnsi="Garamond"/>
          <w:sz w:val="22"/>
          <w:szCs w:val="22"/>
        </w:rPr>
        <w:fldChar w:fldCharType="begin"/>
      </w:r>
      <w:r w:rsidR="00525222" w:rsidRPr="00F864E5">
        <w:rPr>
          <w:rFonts w:ascii="Garamond" w:hAnsi="Garamond"/>
          <w:sz w:val="22"/>
          <w:szCs w:val="22"/>
        </w:rPr>
        <w:instrText xml:space="preserve"> ADDIN ZOTERO_ITEM CSL_CITATION {"citationID":"CRrkE0aE","properties":{"formattedCitation":"(Brown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25222" w:rsidRPr="00F864E5">
        <w:rPr>
          <w:rFonts w:ascii="Garamond" w:hAnsi="Garamond"/>
          <w:sz w:val="22"/>
          <w:szCs w:val="22"/>
        </w:rPr>
        <w:fldChar w:fldCharType="separate"/>
      </w:r>
      <w:r w:rsidR="00525222" w:rsidRPr="00F864E5">
        <w:rPr>
          <w:rFonts w:ascii="Garamond" w:hAnsi="Garamond"/>
          <w:noProof/>
          <w:sz w:val="22"/>
          <w:szCs w:val="22"/>
        </w:rPr>
        <w:t>(Brown &amp; Godduhn, 2015)</w:t>
      </w:r>
      <w:r w:rsidR="00525222" w:rsidRPr="00F864E5">
        <w:rPr>
          <w:rFonts w:ascii="Garamond" w:hAnsi="Garamond"/>
          <w:sz w:val="22"/>
          <w:szCs w:val="22"/>
        </w:rPr>
        <w:fldChar w:fldCharType="end"/>
      </w:r>
      <w:r w:rsidR="00F864E5">
        <w:rPr>
          <w:rFonts w:ascii="Garamond" w:hAnsi="Garamond"/>
          <w:sz w:val="22"/>
          <w:szCs w:val="22"/>
        </w:rPr>
        <w:t xml:space="preserve">. </w:t>
      </w:r>
      <w:r w:rsidR="00302CA2" w:rsidRPr="00302CA2">
        <w:rPr>
          <w:rFonts w:ascii="Garamond" w:hAnsi="Garamond"/>
          <w:sz w:val="22"/>
          <w:szCs w:val="22"/>
        </w:rPr>
        <w:t xml:space="preserve">As a result, there is an urgent need to explore hypotheses related to the stock collapse </w:t>
      </w:r>
      <w:r w:rsidR="00F864E5">
        <w:rPr>
          <w:rFonts w:ascii="Garamond" w:hAnsi="Garamond"/>
          <w:sz w:val="22"/>
          <w:szCs w:val="22"/>
        </w:rPr>
        <w:t xml:space="preserve">and </w:t>
      </w:r>
      <w:r w:rsidR="00302CA2" w:rsidRPr="00302CA2">
        <w:rPr>
          <w:rFonts w:ascii="Garamond" w:hAnsi="Garamond"/>
          <w:sz w:val="22"/>
          <w:szCs w:val="22"/>
        </w:rPr>
        <w:t>assess the spatial distribution of impacts across the region.</w:t>
      </w:r>
      <w:r w:rsidR="00215662">
        <w:rPr>
          <w:rFonts w:ascii="Garamond" w:hAnsi="Garamond"/>
          <w:sz w:val="22"/>
          <w:szCs w:val="22"/>
        </w:rPr>
        <w:t xml:space="preserve"> </w:t>
      </w:r>
      <w:r w:rsidR="00F864E5">
        <w:rPr>
          <w:rFonts w:ascii="Garamond" w:hAnsi="Garamond"/>
          <w:sz w:val="22"/>
          <w:szCs w:val="22"/>
        </w:rPr>
        <w:t xml:space="preserve">Several plausibly hypotheses have been put forth for the declines which are based on the marine mortality through </w:t>
      </w:r>
      <w:r w:rsidR="00215662">
        <w:rPr>
          <w:rFonts w:ascii="Garamond" w:hAnsi="Garamond"/>
          <w:sz w:val="22"/>
          <w:szCs w:val="22"/>
        </w:rPr>
        <w:t xml:space="preserve">shifting food-web dynamics, thermal stress, density-dependent processes, or bycatch in federal trawl fisheries. </w:t>
      </w:r>
      <w:r w:rsidR="00302CA2">
        <w:rPr>
          <w:rFonts w:ascii="Garamond" w:hAnsi="Garamond"/>
          <w:sz w:val="22"/>
          <w:szCs w:val="22"/>
        </w:rPr>
        <w:t>However, f</w:t>
      </w:r>
      <w:r w:rsidR="00215662">
        <w:rPr>
          <w:rFonts w:ascii="Garamond" w:hAnsi="Garamond"/>
          <w:sz w:val="22"/>
          <w:szCs w:val="22"/>
        </w:rPr>
        <w:t>ull</w:t>
      </w:r>
      <w:r w:rsidR="00302CA2">
        <w:rPr>
          <w:rFonts w:ascii="Garamond" w:hAnsi="Garamond"/>
          <w:sz w:val="22"/>
          <w:szCs w:val="22"/>
        </w:rPr>
        <w:t>y</w:t>
      </w:r>
      <w:r w:rsidR="00215662">
        <w:rPr>
          <w:rFonts w:ascii="Garamond" w:hAnsi="Garamond"/>
          <w:sz w:val="22"/>
          <w:szCs w:val="22"/>
        </w:rPr>
        <w:t xml:space="preserve"> assessing these hypotheses</w:t>
      </w:r>
      <w:r w:rsidR="00302CA2">
        <w:rPr>
          <w:rFonts w:ascii="Garamond" w:hAnsi="Garamond"/>
          <w:sz w:val="22"/>
          <w:szCs w:val="22"/>
        </w:rPr>
        <w:t xml:space="preserve"> </w:t>
      </w:r>
      <w:r w:rsidR="00215662">
        <w:rPr>
          <w:rFonts w:ascii="Garamond" w:hAnsi="Garamond"/>
          <w:sz w:val="22"/>
          <w:szCs w:val="22"/>
        </w:rPr>
        <w:t>is limited by an inability to understand the provenance of fish caught in the marine environment</w:t>
      </w:r>
      <w:r w:rsidR="009A29F5">
        <w:rPr>
          <w:rFonts w:ascii="Garamond" w:hAnsi="Garamond"/>
          <w:sz w:val="22"/>
          <w:szCs w:val="22"/>
        </w:rPr>
        <w:t xml:space="preserve">. Methods such as genetic stock identification (GSI) offer provenance estimates at relatively </w:t>
      </w:r>
      <w:r w:rsidR="009A29F5">
        <w:rPr>
          <w:rFonts w:ascii="Garamond" w:hAnsi="Garamond"/>
          <w:sz w:val="22"/>
          <w:szCs w:val="22"/>
        </w:rPr>
        <w:lastRenderedPageBreak/>
        <w:t>coarse spatial scales</w:t>
      </w:r>
      <w:r w:rsidR="00EC7467" w:rsidRPr="00EC7467">
        <w:rPr>
          <w:rFonts w:ascii="Garamond" w:hAnsi="Garamond"/>
          <w:sz w:val="22"/>
          <w:szCs w:val="22"/>
        </w:rPr>
        <w:t xml:space="preserve"> (i.e., coastal western Alaska)</w:t>
      </w:r>
      <w:r w:rsidR="009A29F5">
        <w:rPr>
          <w:rFonts w:ascii="Garamond" w:hAnsi="Garamond"/>
          <w:sz w:val="22"/>
          <w:szCs w:val="22"/>
        </w:rPr>
        <w:t xml:space="preserve"> </w:t>
      </w:r>
      <w:r w:rsidR="00EC7467" w:rsidRPr="00EC7467">
        <w:rPr>
          <w:rFonts w:ascii="Garamond" w:hAnsi="Garamond"/>
          <w:sz w:val="22"/>
          <w:szCs w:val="22"/>
        </w:rPr>
        <w:t xml:space="preserve">but cannot </w:t>
      </w:r>
      <w:r w:rsidR="003A7A96" w:rsidRPr="00EC7467">
        <w:rPr>
          <w:rFonts w:ascii="Garamond" w:hAnsi="Garamond"/>
          <w:sz w:val="22"/>
          <w:szCs w:val="22"/>
        </w:rPr>
        <w:t>reliably</w:t>
      </w:r>
      <w:r w:rsidR="00EC7467" w:rsidRPr="00EC7467">
        <w:rPr>
          <w:rFonts w:ascii="Garamond" w:hAnsi="Garamond"/>
          <w:sz w:val="22"/>
          <w:szCs w:val="22"/>
        </w:rPr>
        <w:t xml:space="preserve"> </w:t>
      </w:r>
      <w:r w:rsidR="009A29F5">
        <w:rPr>
          <w:rFonts w:ascii="Garamond" w:hAnsi="Garamond"/>
          <w:sz w:val="22"/>
          <w:szCs w:val="22"/>
        </w:rPr>
        <w:t>distinguish between rivers within current genetic baselines for</w:t>
      </w:r>
      <w:r w:rsidR="00302CA2">
        <w:rPr>
          <w:rFonts w:ascii="Garamond" w:hAnsi="Garamond"/>
          <w:sz w:val="22"/>
          <w:szCs w:val="22"/>
        </w:rPr>
        <w:t xml:space="preserve"> Chinook salmon</w:t>
      </w:r>
      <w:r w:rsidR="009A29F5">
        <w:rPr>
          <w:rFonts w:ascii="Garamond" w:hAnsi="Garamond"/>
          <w:sz w:val="22"/>
          <w:szCs w:val="22"/>
        </w:rPr>
        <w:t xml:space="preserve">. </w:t>
      </w:r>
    </w:p>
    <w:p w14:paraId="20AAF5DF" w14:textId="12001061" w:rsidR="00820C00" w:rsidRPr="00820C00" w:rsidRDefault="00820C00" w:rsidP="00894C0A">
      <w:pPr>
        <w:spacing w:line="480" w:lineRule="auto"/>
        <w:ind w:firstLine="720"/>
        <w:rPr>
          <w:rFonts w:ascii="Garamond" w:hAnsi="Garamond"/>
          <w:sz w:val="22"/>
          <w:szCs w:val="22"/>
        </w:rPr>
      </w:pPr>
      <w:r w:rsidRPr="00820C00">
        <w:rPr>
          <w:rFonts w:ascii="Garamond" w:hAnsi="Garamond"/>
          <w:sz w:val="22"/>
          <w:szCs w:val="22"/>
        </w:rPr>
        <w:t>Isotope-based methods for estimating provenance from otoliths (ear stones found in fish) have shown promise as an alternative approach that can provide more refined spatial resolution than genetics in some cases. The relative ratio of strontium-87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is an isotopic tracer that is heterogeneously distributed across geologically diverse landscapes, faithfully incorporated into otoliths, and has been shown to be temporally stable in Alaskan watersheds.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 xml:space="preserve">Despite its precision, this method is limited by the level of isotopic heterogeneity relative to the spatial scale of interest. In Western Alaska, individual watersheds contain sufficient isotopic heterogeneity to estimate provenance with reasonable certainty. However, at the regional scale encompassing all three watersheds, there is significant overlap in isotope ratios across the major river systems, leading to high uncertainty and preventing reliable provenance estimation using natal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values from otoliths. </w:t>
      </w:r>
    </w:p>
    <w:p w14:paraId="6B62FC2C" w14:textId="12F81AB4"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along the growth axis of the otolith represent an integrated time series from early development until capture. These data contain information on sequential habitat use, relative growth among habitats, and even the migration history of the mother. In some cases, these sequential habitat signatures can be used to reconstruct complete life history characteristics. However, when fish move rapidly through several environments</w:t>
      </w:r>
      <w:r>
        <w:rPr>
          <w:rFonts w:ascii="Garamond" w:hAnsi="Garamond"/>
          <w:sz w:val="22"/>
          <w:szCs w:val="22"/>
        </w:rPr>
        <w:t xml:space="preserve">, </w:t>
      </w:r>
      <w:r w:rsidRPr="00820C00">
        <w:rPr>
          <w:rFonts w:ascii="Garamond" w:hAnsi="Garamond"/>
          <w:sz w:val="22"/>
          <w:szCs w:val="22"/>
        </w:rPr>
        <w:t>as occurs during salmon out-migration</w:t>
      </w:r>
      <w:r>
        <w:rPr>
          <w:rFonts w:ascii="Garamond" w:hAnsi="Garamond"/>
          <w:sz w:val="22"/>
          <w:szCs w:val="22"/>
        </w:rPr>
        <w:t xml:space="preserve">, </w:t>
      </w:r>
      <w:r w:rsidRPr="00820C00">
        <w:rPr>
          <w:rFonts w:ascii="Garamond" w:hAnsi="Garamond"/>
          <w:sz w:val="22"/>
          <w:szCs w:val="22"/>
        </w:rPr>
        <w:t>otolith isotope ratios may not sufficiently equilibrate to reflect the water values of each habitat. The result is patterns in otolith isotope data that may not be interpretable by directly relating them to landscape values but may contain stock- or watershed-specific life history characteristics. However, the subtlety of these patterns and the number of potential combinations make manual interpretation logistically unfeasible</w:t>
      </w:r>
      <w:r w:rsidR="0038560E" w:rsidRPr="00820C00">
        <w:rPr>
          <w:rFonts w:ascii="Garamond" w:hAnsi="Garamond"/>
          <w:sz w:val="22"/>
          <w:szCs w:val="22"/>
        </w:rPr>
        <w:t xml:space="preserve">. </w:t>
      </w:r>
    </w:p>
    <w:p w14:paraId="53B2682F" w14:textId="77777777"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lastRenderedPageBreak/>
        <w:t>Machine learning tools are particularly well-suited to interpreting complex, multidimensional patterns in datasets. These methods have only recently been applied to otolith chemical analysis and have shown promising performance relative to traditional techniques. Concurrently, there is increasing recognition of the wealth of data found in complete otolith laser ablation (LA) datasets. Applying machine learning tools directly to otolith LA time-series data provides an opportunity to uncover subtle patterns in otherwise noisy datasets that may help illuminate important life history characteristics.</w:t>
      </w:r>
    </w:p>
    <w:p w14:paraId="7E53B155" w14:textId="452E44EE"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Here, we apply machine learning classification algorithms to otolith LA time-series data from Chinook salmon with known watersheds of origin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tools to determine stock of origin, and 2) develop a classification model to reliably estimate river of origin for marine-caught Chinook salmon in western Alaska</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3DC482AA"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 </w:t>
      </w:r>
      <w:proofErr w:type="gramStart"/>
      <w:r w:rsidR="00DF1513" w:rsidRPr="00CE7F91">
        <w:rPr>
          <w:rFonts w:ascii="Garamond" w:hAnsi="Garamond"/>
          <w:sz w:val="22"/>
          <w:szCs w:val="22"/>
        </w:rPr>
        <w:t>NUSHAGAK ]</w:t>
      </w:r>
      <w:proofErr w:type="gramEnd"/>
      <w:r w:rsidR="00DF1513" w:rsidRPr="00CE7F91">
        <w:rPr>
          <w:rFonts w:ascii="Garamond" w:hAnsi="Garamond"/>
          <w:sz w:val="22"/>
          <w:szCs w:val="22"/>
        </w:rPr>
        <w:t xml:space="preserve">. 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DF1513" w:rsidRPr="00CE7F91">
        <w:rPr>
          <w:rFonts w:ascii="Garamond" w:hAnsi="Garamond"/>
          <w:sz w:val="22"/>
          <w:szCs w:val="22"/>
        </w:rPr>
        <w:t xml:space="preserve">. Otoliths were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 which were processed at the Keck Lab 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 xml:space="preserve">was preformed from the core to just after the onset of the marine signature along the dorsal </w:t>
      </w:r>
      <w:r w:rsidR="00CE7F91" w:rsidRPr="00CE7F91">
        <w:rPr>
          <w:rFonts w:ascii="Garamond" w:hAnsi="Garamond"/>
          <w:sz w:val="22"/>
          <w:szCs w:val="22"/>
        </w:rPr>
        <w:lastRenderedPageBreak/>
        <w:t>lobe</w:t>
      </w:r>
      <w:r w:rsidR="00CE7F91">
        <w:rPr>
          <w:rFonts w:ascii="Garamond" w:hAnsi="Garamond"/>
          <w:sz w:val="22"/>
          <w:szCs w:val="22"/>
        </w:rPr>
        <w:t xml:space="preserve"> scanning at [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The resulting dataset </w:t>
      </w:r>
      <w:proofErr w:type="gramStart"/>
      <w:r w:rsidR="00CE7F91">
        <w:rPr>
          <w:rFonts w:ascii="Garamond" w:hAnsi="Garamond"/>
          <w:sz w:val="22"/>
          <w:szCs w:val="22"/>
        </w:rPr>
        <w:t>include</w:t>
      </w:r>
      <w:proofErr w:type="gramEnd"/>
      <w:r w:rsidR="00CE7F91">
        <w:rPr>
          <w:rFonts w:ascii="Garamond" w:hAnsi="Garamond"/>
          <w:sz w:val="22"/>
          <w:szCs w:val="22"/>
        </w:rPr>
        <w:t xml:space="preserve"> a transect of both Sr8786 and Sr88 for all individuals. </w:t>
      </w:r>
      <w:r w:rsidR="0075722E" w:rsidRPr="0075722E">
        <w:rPr>
          <w:rFonts w:ascii="Garamond" w:hAnsi="Garamond"/>
          <w:sz w:val="22"/>
          <w:szCs w:val="22"/>
        </w:rPr>
        <w:t xml:space="preserve">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70B33A32" w:rsidR="00CE7F91" w:rsidRDefault="005E7567" w:rsidP="00CE7F9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CE7F91">
        <w:rPr>
          <w:rFonts w:ascii="Garamond" w:hAnsi="Garamond"/>
          <w:sz w:val="22"/>
          <w:szCs w:val="22"/>
        </w:rPr>
        <w:t xml:space="preserve">LA data include only data </w:t>
      </w:r>
      <w:r w:rsidRPr="005E7567">
        <w:rPr>
          <w:rFonts w:ascii="Garamond" w:hAnsi="Garamond"/>
          <w:sz w:val="22"/>
          <w:szCs w:val="22"/>
        </w:rPr>
        <w:t xml:space="preserve">between </w:t>
      </w:r>
      <w:r w:rsidR="00CE7F91">
        <w:rPr>
          <w:rFonts w:ascii="Garamond" w:hAnsi="Garamond"/>
          <w:sz w:val="22"/>
          <w:szCs w:val="22"/>
        </w:rPr>
        <w:t>the 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CE7F91">
        <w:rPr>
          <w:rFonts w:ascii="Garamond" w:hAnsi="Garamond"/>
          <w:sz w:val="22"/>
          <w:szCs w:val="22"/>
        </w:rPr>
        <w:t xml:space="preserve">values closer to the global marine Sr8786 value </w:t>
      </w:r>
      <w:r w:rsidRPr="005E7567">
        <w:rPr>
          <w:rFonts w:ascii="Garamond" w:hAnsi="Garamond"/>
          <w:sz w:val="22"/>
          <w:szCs w:val="22"/>
        </w:rPr>
        <w:t>(0.7092)</w:t>
      </w:r>
      <w:r w:rsidR="00CE7F91">
        <w:rPr>
          <w:rFonts w:ascii="Garamond" w:hAnsi="Garamond"/>
          <w:sz w:val="22"/>
          <w:szCs w:val="22"/>
        </w:rPr>
        <w:t xml:space="preserve"> than the freshwater region.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dark annuli on the otolith, a rapid increase in Sr88, and a shift in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CE7F91">
        <w:rPr>
          <w:rFonts w:ascii="Garamond" w:hAnsi="Garamond"/>
          <w:sz w:val="22"/>
          <w:szCs w:val="22"/>
        </w:rPr>
        <w:t xml:space="preserve"> global marine value</w:t>
      </w:r>
      <w:r w:rsidRPr="005E7567">
        <w:rPr>
          <w:rFonts w:ascii="Garamond" w:hAnsi="Garamond"/>
          <w:sz w:val="22"/>
          <w:szCs w:val="22"/>
        </w:rPr>
        <w:t xml:space="preserve">. </w:t>
      </w:r>
      <w:r w:rsidR="00CE7F91">
        <w:rPr>
          <w:rFonts w:ascii="Garamond" w:hAnsi="Garamond"/>
          <w:sz w:val="22"/>
          <w:szCs w:val="22"/>
        </w:rPr>
        <w:t xml:space="preserve">Selection of trimming locations were randomized and blinded to avoid </w:t>
      </w:r>
      <w:r w:rsidRPr="005E7567">
        <w:rPr>
          <w:rFonts w:ascii="Garamond" w:hAnsi="Garamond"/>
          <w:sz w:val="22"/>
          <w:szCs w:val="22"/>
        </w:rPr>
        <w:t xml:space="preserve">confounding by repeated patterns within a single class. </w:t>
      </w:r>
      <w:r w:rsidR="009E23C6">
        <w:rPr>
          <w:rFonts w:ascii="Garamond" w:hAnsi="Garamond"/>
          <w:sz w:val="22"/>
          <w:szCs w:val="22"/>
        </w:rPr>
        <w:t xml:space="preserve">Trimming </w:t>
      </w:r>
      <w:r w:rsidR="00CE7F91">
        <w:rPr>
          <w:rFonts w:ascii="Garamond" w:hAnsi="Garamond"/>
          <w:sz w:val="22"/>
          <w:szCs w:val="22"/>
        </w:rPr>
        <w:t xml:space="preserve">locations were manually checked </w:t>
      </w:r>
      <w:r w:rsidR="009E23C6">
        <w:rPr>
          <w:rFonts w:ascii="Garamond" w:hAnsi="Garamond"/>
          <w:sz w:val="22"/>
          <w:szCs w:val="22"/>
        </w:rPr>
        <w:t>for all individuals. Samples with significant error from sample prep or laser ablation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or without a clear core signal were removed from the dataset. </w:t>
      </w:r>
      <w:r w:rsidR="000F0779">
        <w:rPr>
          <w:rFonts w:ascii="Garamond" w:hAnsi="Garamond"/>
          <w:sz w:val="22"/>
          <w:szCs w:val="22"/>
        </w:rPr>
        <w:t xml:space="preserve">The resulting dataset contained [Insert final numbers </w:t>
      </w:r>
      <w:proofErr w:type="gramStart"/>
      <w:r w:rsidR="000F0779">
        <w:rPr>
          <w:rFonts w:ascii="Garamond" w:hAnsi="Garamond"/>
          <w:sz w:val="22"/>
          <w:szCs w:val="22"/>
        </w:rPr>
        <w:t>here ]</w:t>
      </w:r>
      <w:proofErr w:type="gramEnd"/>
      <w:r w:rsidR="000F0779">
        <w:rPr>
          <w:rFonts w:ascii="Garamond" w:hAnsi="Garamond"/>
          <w:sz w:val="22"/>
          <w:szCs w:val="22"/>
        </w:rPr>
        <w:t xml:space="preserve"> </w:t>
      </w:r>
    </w:p>
    <w:p w14:paraId="3086D9BE" w14:textId="5451C6C0" w:rsidR="00701699" w:rsidRDefault="009E23C6" w:rsidP="0070169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0F0779">
        <w:rPr>
          <w:rFonts w:ascii="Garamond" w:hAnsi="Garamond"/>
          <w:sz w:val="22"/>
          <w:szCs w:val="22"/>
        </w:rPr>
        <w:t xml:space="preserve">We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moving average window. The GAM was fit using thin plate regression </w:t>
      </w:r>
      <w:r w:rsidR="00B32AF3" w:rsidRPr="00F6547F">
        <w:rPr>
          <w:rFonts w:ascii="Garamond" w:hAnsi="Garamond"/>
          <w:sz w:val="22"/>
          <w:szCs w:val="22"/>
        </w:rPr>
        <w:t>and penalized iteratively re-weighted least squared (P-IRLS) to maximize goodness of fit</w:t>
      </w:r>
      <w:r w:rsidR="000F0779">
        <w:rPr>
          <w:rFonts w:ascii="Garamond" w:hAnsi="Garamond"/>
          <w:sz w:val="22"/>
          <w:szCs w:val="22"/>
        </w:rPr>
        <w:t xml:space="preserve"> and a</w:t>
      </w:r>
      <w:r w:rsidR="00B32AF3" w:rsidRPr="00F6547F">
        <w:rPr>
          <w:rFonts w:ascii="Garamond" w:hAnsi="Garamond"/>
          <w:sz w:val="22"/>
          <w:szCs w:val="22"/>
        </w:rPr>
        <w:t xml:space="preserve"> GCV method was used to minimize over fitting (Wood,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r w:rsidR="00701699">
        <w:rPr>
          <w:rFonts w:ascii="Garamond" w:hAnsi="Garamond"/>
          <w:sz w:val="22"/>
          <w:szCs w:val="22"/>
        </w:rPr>
        <w:t xml:space="preserve">Variation in size among individuals result in timeseries of different length among samples. However, many machine learning algorithms require </w:t>
      </w:r>
      <w:r w:rsidR="00F6547F">
        <w:rPr>
          <w:rFonts w:ascii="Garamond" w:hAnsi="Garamond"/>
          <w:sz w:val="22"/>
          <w:szCs w:val="22"/>
        </w:rPr>
        <w:t xml:space="preserve">fixed dimension vectors with a consistent length. To overcome this limitation </w:t>
      </w:r>
      <w:r w:rsidR="00701699">
        <w:rPr>
          <w:rFonts w:ascii="Garamond" w:hAnsi="Garamond"/>
          <w:sz w:val="22"/>
          <w:szCs w:val="22"/>
        </w:rPr>
        <w:t xml:space="preserve">all samples were interpolated to a common length which was the calculated average length of all timeseries </w:t>
      </w:r>
      <w:proofErr w:type="gramStart"/>
      <w:r w:rsidR="00701699">
        <w:rPr>
          <w:rFonts w:ascii="Garamond" w:hAnsi="Garamond"/>
          <w:sz w:val="22"/>
          <w:szCs w:val="22"/>
        </w:rPr>
        <w:t>( 700</w:t>
      </w:r>
      <w:proofErr w:type="gramEnd"/>
      <w:r w:rsidR="00701699">
        <w:rPr>
          <w:rFonts w:ascii="Garamond" w:hAnsi="Garamond"/>
          <w:sz w:val="22"/>
          <w:szCs w:val="22"/>
        </w:rPr>
        <w:t xml:space="preserve"> for non-MA and 600 for MA samples, respectively) (Hegg and Kennedy, 2021).</w:t>
      </w:r>
    </w:p>
    <w:p w14:paraId="60AC99CC" w14:textId="77777777" w:rsidR="00701699" w:rsidRDefault="00701699" w:rsidP="00701699">
      <w:pPr>
        <w:spacing w:line="480" w:lineRule="auto"/>
        <w:rPr>
          <w:rFonts w:ascii="Garamond" w:hAnsi="Garamond"/>
          <w:b/>
          <w:bCs/>
          <w:sz w:val="22"/>
          <w:szCs w:val="22"/>
          <w:u w:val="single"/>
        </w:rPr>
      </w:pP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lastRenderedPageBreak/>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p>
    <w:p w14:paraId="1FE5AA83" w14:textId="303FFE54" w:rsidR="00726EC4" w:rsidRPr="00997FB9" w:rsidRDefault="008A52C4" w:rsidP="00997FB9">
      <w:pPr>
        <w:pStyle w:val="NormalWeb"/>
        <w:spacing w:line="480" w:lineRule="auto"/>
        <w:ind w:firstLine="720"/>
        <w:rPr>
          <w:rFonts w:ascii="Garamond" w:hAnsi="Garamond"/>
          <w:sz w:val="22"/>
          <w:szCs w:val="22"/>
        </w:rPr>
      </w:pPr>
      <w:r w:rsidRPr="008A52C4">
        <w:rPr>
          <w:rFonts w:ascii="Garamond" w:hAnsi="Garamond"/>
          <w:sz w:val="22"/>
          <w:szCs w:val="22"/>
        </w:rPr>
        <w:t xml:space="preserve">Trained models were then evaluated on testing datasets in two ways. First, models were tested for accuracy and F1-score on the original 20% holdout set. Second, models were evaluated on a modified testing set with samples removed if their natal origin </w:t>
      </w:r>
      <w:r w:rsidRPr="008A52C4">
        <w:rPr>
          <w:rFonts w:ascii="Cambria Math" w:hAnsi="Cambria Math" w:cs="Cambria Math"/>
          <w:sz w:val="22"/>
          <w:szCs w:val="22"/>
        </w:rPr>
        <w:t>⁸⁷</w:t>
      </w:r>
      <w:r w:rsidRPr="008A52C4">
        <w:rPr>
          <w:rFonts w:ascii="Garamond" w:hAnsi="Garamond"/>
          <w:sz w:val="22"/>
          <w:szCs w:val="22"/>
        </w:rPr>
        <w:t>Sr/</w:t>
      </w:r>
      <w:r w:rsidRPr="008A52C4">
        <w:rPr>
          <w:rFonts w:ascii="Cambria Math" w:hAnsi="Cambria Math" w:cs="Cambria Math"/>
          <w:sz w:val="22"/>
          <w:szCs w:val="22"/>
        </w:rPr>
        <w:t>⁸⁶</w:t>
      </w:r>
      <w:r w:rsidRPr="008A52C4">
        <w:rPr>
          <w:rFonts w:ascii="Garamond" w:hAnsi="Garamond"/>
          <w:sz w:val="22"/>
          <w:szCs w:val="22"/>
        </w:rPr>
        <w:t>Sr values were below 0.7150. Only the Yukon watershed contains enriched isotope values above this threshold and can therefore be distinguished using natal origin values alone. This modified dataset therefore tests the classification accuracy of models on only those samples that are otherwise indistinguishable using natal origin values alone. Model performance was assessed using two complementary metrics. Overall accuracy measures the proportion of correct predictions across all classes, providing a straightforward assessment of model performance. The F1-score balances precision and recall, offering a more nuanced evaluation that is particularly valuable when class imbalances are present, as it accounts for both false positives and false negatives.</w:t>
      </w:r>
    </w:p>
    <w:p w14:paraId="24948C77" w14:textId="77777777" w:rsidR="002F10A9" w:rsidRDefault="002F10A9" w:rsidP="00386D82">
      <w:pPr>
        <w:spacing w:line="480" w:lineRule="auto"/>
        <w:rPr>
          <w:rFonts w:ascii="Garamond" w:hAnsi="Garamond"/>
          <w:b/>
          <w:bCs/>
          <w:sz w:val="22"/>
          <w:szCs w:val="22"/>
        </w:rPr>
      </w:pPr>
    </w:p>
    <w:p w14:paraId="58898319" w14:textId="6ECF5FA1" w:rsidR="00997FB9" w:rsidRDefault="002F10A9" w:rsidP="00386D82">
      <w:pPr>
        <w:spacing w:line="480" w:lineRule="auto"/>
        <w:rPr>
          <w:rFonts w:ascii="Garamond" w:hAnsi="Garamond"/>
          <w:b/>
          <w:bCs/>
          <w:sz w:val="22"/>
          <w:szCs w:val="22"/>
        </w:rPr>
      </w:pPr>
      <w:r>
        <w:rPr>
          <w:rFonts w:ascii="Garamond" w:hAnsi="Garamond"/>
          <w:b/>
          <w:bCs/>
          <w:sz w:val="22"/>
          <w:szCs w:val="22"/>
        </w:rPr>
        <w:t xml:space="preserve">Quantifying variability onto otolith timeseries. </w:t>
      </w:r>
    </w:p>
    <w:p w14:paraId="4E3B9B3D" w14:textId="63AB73D5" w:rsidR="00E51F5E" w:rsidRDefault="002F10A9" w:rsidP="002F10A9">
      <w:pPr>
        <w:spacing w:line="480" w:lineRule="auto"/>
        <w:ind w:firstLine="720"/>
        <w:rPr>
          <w:rFonts w:ascii="Garamond" w:hAnsi="Garamond"/>
          <w:sz w:val="22"/>
          <w:szCs w:val="22"/>
        </w:rPr>
      </w:pPr>
      <w:r w:rsidRPr="002F10A9">
        <w:rPr>
          <w:rFonts w:ascii="Garamond" w:hAnsi="Garamond"/>
          <w:sz w:val="22"/>
          <w:szCs w:val="22"/>
        </w:rPr>
        <w:t xml:space="preserve">Principal component analysis (PCA) was applied to the top-performing model to qualitatively assess clustering patterns in multivariate space. PCA transforms the original variables into uncorrelated principal </w:t>
      </w:r>
      <w:r w:rsidRPr="002F10A9">
        <w:rPr>
          <w:rFonts w:ascii="Garamond" w:hAnsi="Garamond"/>
          <w:sz w:val="22"/>
          <w:szCs w:val="22"/>
        </w:rPr>
        <w:lastRenderedPageBreak/>
        <w:t xml:space="preserve">components that capture the greatest variance in the dataset, thereby highlighting variability among time-series that may contain distinguishing watershed characteristics. The absolute values of PCA loadings for the first and second principal components were mapped onto their corresponding time-series positions to visualize regions driving this variability. Similarly, normalized feature importance values were extracted from the best-performing random forest model and mapped to corresponding time-series positions to identify the </w:t>
      </w:r>
      <w:proofErr w:type="spellStart"/>
      <w:r w:rsidRPr="002F10A9">
        <w:rPr>
          <w:rFonts w:ascii="Garamond" w:hAnsi="Garamond"/>
          <w:sz w:val="22"/>
          <w:szCs w:val="22"/>
        </w:rPr>
        <w:t>regions</w:t>
      </w:r>
      <w:proofErr w:type="spellEnd"/>
      <w:r w:rsidRPr="002F10A9">
        <w:rPr>
          <w:rFonts w:ascii="Garamond" w:hAnsi="Garamond"/>
          <w:sz w:val="22"/>
          <w:szCs w:val="22"/>
        </w:rPr>
        <w:t xml:space="preserve"> most critical for classification.</w:t>
      </w:r>
    </w:p>
    <w:p w14:paraId="33F525AD" w14:textId="77777777" w:rsidR="002F10A9" w:rsidRDefault="002F10A9" w:rsidP="004D2BA0">
      <w:pPr>
        <w:rPr>
          <w:rFonts w:ascii="Garamond" w:hAnsi="Garamond"/>
          <w:b/>
          <w:bCs/>
          <w:sz w:val="22"/>
          <w:szCs w:val="22"/>
        </w:rPr>
      </w:pPr>
    </w:p>
    <w:p w14:paraId="1E36E3FD" w14:textId="6F58B80B" w:rsidR="004D2BA0" w:rsidRDefault="004D2BA0" w:rsidP="004D2BA0">
      <w:pPr>
        <w:rPr>
          <w:rFonts w:ascii="Garamond" w:hAnsi="Garamond"/>
          <w:b/>
          <w:bCs/>
          <w:sz w:val="22"/>
          <w:szCs w:val="22"/>
        </w:rPr>
      </w:pPr>
      <w:r w:rsidRPr="005A0FE2">
        <w:rPr>
          <w:rFonts w:ascii="Garamond" w:hAnsi="Garamond"/>
          <w:b/>
          <w:bCs/>
          <w:sz w:val="22"/>
          <w:szCs w:val="22"/>
        </w:rPr>
        <w:t xml:space="preserve">Probability </w:t>
      </w:r>
      <w:r w:rsidR="002F10A9">
        <w:rPr>
          <w:rFonts w:ascii="Garamond" w:hAnsi="Garamond"/>
          <w:b/>
          <w:bCs/>
          <w:sz w:val="22"/>
          <w:szCs w:val="22"/>
        </w:rPr>
        <w:t xml:space="preserve">calibration </w:t>
      </w:r>
      <w:r w:rsidR="00527EB9">
        <w:rPr>
          <w:rFonts w:ascii="Garamond" w:hAnsi="Garamond"/>
          <w:b/>
          <w:bCs/>
          <w:sz w:val="22"/>
          <w:szCs w:val="22"/>
        </w:rPr>
        <w:t xml:space="preserve">and threshold testing </w:t>
      </w:r>
    </w:p>
    <w:p w14:paraId="095E116A" w14:textId="7BF0A356" w:rsidR="00643661" w:rsidRPr="008C5FCA" w:rsidRDefault="008C5FCA" w:rsidP="008C5FCA">
      <w:pPr>
        <w:spacing w:line="480" w:lineRule="auto"/>
        <w:ind w:firstLine="720"/>
        <w:rPr>
          <w:rFonts w:ascii="Garamond" w:hAnsi="Garamond"/>
          <w:b/>
          <w:bCs/>
          <w:sz w:val="22"/>
          <w:szCs w:val="22"/>
        </w:rPr>
      </w:pPr>
      <w:r w:rsidRPr="008C5FCA">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can be systematically over- or under-estimated, limiting their utility for decision-making in scientific applications where uncertainty quantification is critical. To calibrate predictions from our models, we used the </w:t>
      </w:r>
      <w:r w:rsidRPr="008C5FCA">
        <w:rPr>
          <w:rStyle w:val="HTMLCode"/>
          <w:rFonts w:ascii="Garamond" w:eastAsiaTheme="majorEastAsia" w:hAnsi="Garamond"/>
          <w:sz w:val="22"/>
          <w:szCs w:val="22"/>
        </w:rPr>
        <w:t>probably</w:t>
      </w:r>
      <w:r w:rsidRPr="008C5FCA">
        <w:rPr>
          <w:rFonts w:ascii="Garamond" w:hAnsi="Garamond"/>
          <w:sz w:val="22"/>
          <w:szCs w:val="22"/>
        </w:rPr>
        <w:t xml:space="preserve"> package to apply multinomial isotonic regression to our testing set, which adjusts the raw probability outputs to better align predicted confidence with actual classification accuracy. We verified that this calibration successfully improved probability estimates by visually assessing the relationship between predicted probabilities and observed class frequencies. Additionally, we calculated Brier scores and log loss for datasets before and after calibration to quantify improvements in probability calibration. Calibration factors were produced for all random forest models and applied to the testing set probabilities. These calibration factors represent the transformation function that can be stored and applied to future datasets analyzed with the same model, ensuring consistent probability calibration across new predictions.</w:t>
      </w:r>
    </w:p>
    <w:p w14:paraId="2F06F020" w14:textId="7494D8B4" w:rsidR="00643661" w:rsidRPr="005A0FE2" w:rsidRDefault="00643661" w:rsidP="004D2BA0">
      <w:pPr>
        <w:rPr>
          <w:rFonts w:ascii="Garamond" w:hAnsi="Garamond"/>
          <w:b/>
          <w:bCs/>
          <w:sz w:val="22"/>
          <w:szCs w:val="22"/>
        </w:rPr>
      </w:pPr>
    </w:p>
    <w:p w14:paraId="5DF06983" w14:textId="591DECC8" w:rsidR="00841F42" w:rsidRPr="004B1012" w:rsidRDefault="008C5FCA" w:rsidP="003E5607">
      <w:pPr>
        <w:tabs>
          <w:tab w:val="left" w:pos="3088"/>
        </w:tabs>
        <w:rPr>
          <w:rFonts w:ascii="Garamond" w:hAnsi="Garamond"/>
          <w:b/>
          <w:bCs/>
          <w:sz w:val="22"/>
          <w:szCs w:val="22"/>
        </w:rPr>
      </w:pPr>
      <w:r>
        <w:rPr>
          <w:rFonts w:ascii="Garamond" w:hAnsi="Garamond"/>
          <w:b/>
          <w:bCs/>
          <w:sz w:val="22"/>
          <w:szCs w:val="22"/>
        </w:rPr>
        <w:t xml:space="preserve">Integration with current otolith-based provenance models </w:t>
      </w:r>
    </w:p>
    <w:p w14:paraId="141B7759" w14:textId="4A55D01E" w:rsidR="00841F42" w:rsidRDefault="00841F42" w:rsidP="003E5607">
      <w:pPr>
        <w:tabs>
          <w:tab w:val="left" w:pos="3088"/>
        </w:tabs>
        <w:rPr>
          <w:rFonts w:ascii="Garamond" w:hAnsi="Garamond"/>
          <w:sz w:val="32"/>
          <w:szCs w:val="32"/>
        </w:rPr>
      </w:pPr>
      <w:r>
        <w:rPr>
          <w:rFonts w:ascii="Garamond" w:hAnsi="Garamond"/>
          <w:sz w:val="22"/>
          <w:szCs w:val="22"/>
        </w:rPr>
        <w:t xml:space="preserve">After calibration of probability </w:t>
      </w:r>
      <w:proofErr w:type="gramStart"/>
      <w:r>
        <w:rPr>
          <w:rFonts w:ascii="Garamond" w:hAnsi="Garamond"/>
          <w:sz w:val="22"/>
          <w:szCs w:val="22"/>
        </w:rPr>
        <w:t>values ,</w:t>
      </w:r>
      <w:proofErr w:type="gramEnd"/>
      <w:r>
        <w:rPr>
          <w:rFonts w:ascii="Garamond" w:hAnsi="Garamond"/>
          <w:sz w:val="22"/>
          <w:szCs w:val="22"/>
        </w:rPr>
        <w:t xml:space="preserve"> output from machine learning models can be used in other probabilistic frameworks…. Here I’ll talk about combining with current bayes theorem models… figure showing </w:t>
      </w:r>
      <w:r w:rsidR="004B1012">
        <w:rPr>
          <w:rFonts w:ascii="Garamond" w:hAnsi="Garamond"/>
          <w:sz w:val="22"/>
          <w:szCs w:val="22"/>
        </w:rPr>
        <w:t>propagating uncertainty through…</w:t>
      </w: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156D84B8" w14:textId="77777777" w:rsidR="003A63D4" w:rsidRPr="00841F42" w:rsidRDefault="003A63D4" w:rsidP="00A043C9">
      <w:pPr>
        <w:tabs>
          <w:tab w:val="left" w:pos="3088"/>
        </w:tabs>
        <w:spacing w:line="480" w:lineRule="auto"/>
        <w:rPr>
          <w:rFonts w:ascii="Garamond" w:hAnsi="Garamond"/>
          <w:sz w:val="22"/>
          <w:szCs w:val="22"/>
        </w:rPr>
      </w:pPr>
    </w:p>
    <w:p w14:paraId="30985B6B" w14:textId="41BA82D4" w:rsidR="001E36C2" w:rsidRPr="00841F42" w:rsidRDefault="00841F42" w:rsidP="00841F42">
      <w:pPr>
        <w:spacing w:line="480" w:lineRule="auto"/>
        <w:rPr>
          <w:rFonts w:ascii="Garamond" w:hAnsi="Garamond"/>
          <w:sz w:val="22"/>
          <w:szCs w:val="22"/>
        </w:rPr>
      </w:pPr>
      <w:r w:rsidRPr="00841F42">
        <w:rPr>
          <w:rFonts w:ascii="Garamond" w:hAnsi="Garamond"/>
          <w:sz w:val="22"/>
          <w:szCs w:val="22"/>
        </w:rPr>
        <w:tab/>
      </w:r>
      <w:r w:rsidR="003A63D4" w:rsidRPr="00841F42">
        <w:rPr>
          <w:rFonts w:ascii="Garamond" w:hAnsi="Garamond"/>
          <w:sz w:val="22"/>
          <w:szCs w:val="22"/>
        </w:rPr>
        <w:t>Across both the full and overlapping datasets classification accuracy ranged from 72.6% to 92.2% (Figure 1). The highest accuracy and F1-score were both achieved by applying the random forest model to the GAM smoothed dataset and tested on the full testing set. Smoothed timeseries data outperformed the raw data in all cases, indicating that the noise in the raw data may have inhibited model performance. Among machine learning approached, KNN consistently shows the lowest accuracy and F1-Score values.</w:t>
      </w:r>
      <w:r w:rsidR="001E36C2" w:rsidRPr="00841F42">
        <w:rPr>
          <w:rFonts w:ascii="Garamond" w:hAnsi="Garamond"/>
          <w:sz w:val="22"/>
          <w:szCs w:val="22"/>
        </w:rPr>
        <w:t xml:space="preserve"> In general, RF analysis outperformed both KNN and SVM, however, SVM was the highest performer on Raw datasets (89.8% accuracy on total testing set and 87.0% on overlapping testing set). Unsurprisingly, the overlapping training set performance was slightly lower than that of the total training set, with the highest classification accuracy of 90.8% as compared to 92.5%. Class specific classification rates </w:t>
      </w:r>
      <w:r>
        <w:rPr>
          <w:rFonts w:ascii="Garamond" w:hAnsi="Garamond"/>
          <w:sz w:val="22"/>
          <w:szCs w:val="22"/>
        </w:rPr>
        <w:t xml:space="preserve">for the highest preforming model (GAM, Random Forest) </w:t>
      </w:r>
      <w:r w:rsidR="001E36C2" w:rsidRPr="00841F42">
        <w:rPr>
          <w:rFonts w:ascii="Garamond" w:hAnsi="Garamond"/>
          <w:sz w:val="22"/>
          <w:szCs w:val="22"/>
        </w:rPr>
        <w:t xml:space="preserve">were X, Y, Z for Kuskokwim, </w:t>
      </w:r>
      <w:proofErr w:type="spellStart"/>
      <w:r w:rsidR="001E36C2" w:rsidRPr="00841F42">
        <w:rPr>
          <w:rFonts w:ascii="Garamond" w:hAnsi="Garamond"/>
          <w:sz w:val="22"/>
          <w:szCs w:val="22"/>
        </w:rPr>
        <w:t>Nushagak</w:t>
      </w:r>
      <w:proofErr w:type="spellEnd"/>
      <w:r w:rsidR="001E36C2" w:rsidRPr="00841F42">
        <w:rPr>
          <w:rFonts w:ascii="Garamond" w:hAnsi="Garamond"/>
          <w:sz w:val="22"/>
          <w:szCs w:val="22"/>
        </w:rPr>
        <w:t>, and Yukon watersheds respectively in the Total testing set</w:t>
      </w:r>
      <w:r w:rsidRPr="00841F42">
        <w:rPr>
          <w:rFonts w:ascii="Garamond" w:hAnsi="Garamond"/>
          <w:sz w:val="22"/>
          <w:szCs w:val="22"/>
        </w:rPr>
        <w:t xml:space="preserve"> and X, Y, Z for the same watersheds in the overlapping dataset. </w:t>
      </w:r>
      <w:proofErr w:type="gramStart"/>
      <w:r w:rsidRPr="00841F42">
        <w:rPr>
          <w:rFonts w:ascii="Garamond" w:hAnsi="Garamond"/>
          <w:sz w:val="22"/>
          <w:szCs w:val="22"/>
        </w:rPr>
        <w:t>The majority of</w:t>
      </w:r>
      <w:proofErr w:type="gramEnd"/>
      <w:r w:rsidRPr="00841F42">
        <w:rPr>
          <w:rFonts w:ascii="Garamond" w:hAnsi="Garamond"/>
          <w:sz w:val="22"/>
          <w:szCs w:val="22"/>
        </w:rPr>
        <w:t xml:space="preserve"> misclassified individuals were incorrectly assigned between the </w:t>
      </w:r>
      <w:proofErr w:type="spellStart"/>
      <w:r w:rsidRPr="00841F42">
        <w:rPr>
          <w:rFonts w:ascii="Garamond" w:hAnsi="Garamond"/>
          <w:sz w:val="22"/>
          <w:szCs w:val="22"/>
        </w:rPr>
        <w:t>Nushagak</w:t>
      </w:r>
      <w:proofErr w:type="spellEnd"/>
      <w:r w:rsidRPr="00841F42">
        <w:rPr>
          <w:rFonts w:ascii="Garamond" w:hAnsi="Garamond"/>
          <w:sz w:val="22"/>
          <w:szCs w:val="22"/>
        </w:rPr>
        <w:t xml:space="preserve"> and Kuskokwim in the total testing set. However, a significant proportion of Yukon fish were misclassified as either Kuskokwim (X percent) or </w:t>
      </w:r>
      <w:proofErr w:type="spellStart"/>
      <w:r w:rsidRPr="00841F42">
        <w:rPr>
          <w:rFonts w:ascii="Garamond" w:hAnsi="Garamond"/>
          <w:sz w:val="22"/>
          <w:szCs w:val="22"/>
        </w:rPr>
        <w:t>Nushagak</w:t>
      </w:r>
      <w:proofErr w:type="spellEnd"/>
      <w:r w:rsidRPr="00841F42">
        <w:rPr>
          <w:rFonts w:ascii="Garamond" w:hAnsi="Garamond"/>
          <w:sz w:val="22"/>
          <w:szCs w:val="22"/>
        </w:rPr>
        <w:t xml:space="preserve"> (Y percent) in the overlapping analysis. </w:t>
      </w:r>
      <w:r>
        <w:rPr>
          <w:rFonts w:ascii="Garamond" w:hAnsi="Garamond"/>
          <w:sz w:val="22"/>
          <w:szCs w:val="22"/>
        </w:rPr>
        <w:t xml:space="preserve">Interestingly, misclassification of </w:t>
      </w:r>
      <w:proofErr w:type="spellStart"/>
      <w:r>
        <w:rPr>
          <w:rFonts w:ascii="Garamond" w:hAnsi="Garamond"/>
          <w:sz w:val="22"/>
          <w:szCs w:val="22"/>
        </w:rPr>
        <w:t>Nushagak</w:t>
      </w:r>
      <w:proofErr w:type="spellEnd"/>
      <w:r>
        <w:rPr>
          <w:rFonts w:ascii="Garamond" w:hAnsi="Garamond"/>
          <w:sz w:val="22"/>
          <w:szCs w:val="22"/>
        </w:rPr>
        <w:t xml:space="preserve"> fish was limited to Kuskokwim assignment (X in Total and Y in overlapping) and no </w:t>
      </w:r>
      <w:proofErr w:type="spellStart"/>
      <w:r>
        <w:rPr>
          <w:rFonts w:ascii="Garamond" w:hAnsi="Garamond"/>
          <w:sz w:val="22"/>
          <w:szCs w:val="22"/>
        </w:rPr>
        <w:t>Nushagak</w:t>
      </w:r>
      <w:proofErr w:type="spellEnd"/>
      <w:r>
        <w:rPr>
          <w:rFonts w:ascii="Garamond" w:hAnsi="Garamond"/>
          <w:sz w:val="22"/>
          <w:szCs w:val="22"/>
        </w:rPr>
        <w:t xml:space="preserve"> fish were misclassified as Yukon in our dataset. </w:t>
      </w:r>
    </w:p>
    <w:p w14:paraId="55EFA72A" w14:textId="77777777" w:rsidR="003A63D4" w:rsidRPr="00841F42" w:rsidRDefault="003A63D4" w:rsidP="00A043C9">
      <w:pPr>
        <w:tabs>
          <w:tab w:val="left" w:pos="3088"/>
        </w:tabs>
        <w:spacing w:line="480" w:lineRule="auto"/>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55B41359" w14:textId="1A8184E9" w:rsidR="008D0D27" w:rsidRDefault="004B1012" w:rsidP="004B1012">
      <w:r>
        <w:lastRenderedPageBreak/>
        <w:tab/>
        <w:t>Principal component analysis of the GAM-smoothed Sr⁸⁷/⁸⁶ isotope ratio time series data revealed significant clustering of watershed classes in reduced-dimensional space. The first two principal components captured 97.3% of the total variance in the dataset (PC1: 92.2%, PC2: 5.1%), indicating that most of the variation among otolith isotope profiles could be explained by these primary axes of differentiation</w:t>
      </w:r>
    </w:p>
    <w:p w14:paraId="34D13AFF" w14:textId="4788C8C6" w:rsidR="004B1012" w:rsidRDefault="004B1012" w:rsidP="004B1012">
      <w:r>
        <w:tab/>
        <w:t xml:space="preserve">The first principal component primarily separated most Yukon samples from the other two watersheds. However, significant overlap exists between all three components on the left side of the principal component. The second principal component further separates the </w:t>
      </w:r>
      <w:r w:rsidR="00841057">
        <w:t xml:space="preserve">three watersheds into relatively </w:t>
      </w:r>
      <w:proofErr w:type="spellStart"/>
      <w:r w:rsidR="00841057">
        <w:t>distrinct</w:t>
      </w:r>
      <w:proofErr w:type="spellEnd"/>
      <w:r w:rsidR="00841057">
        <w:t xml:space="preserve"> clusters. However, significant overlap still exists between all three. This overlap pattern suggests that while watershed-specific isotopic signatures exist, classification boundaries are not </w:t>
      </w:r>
      <w:proofErr w:type="gramStart"/>
      <w:r w:rsidR="00841057">
        <w:t>absolute</w:t>
      </w:r>
      <w:proofErr w:type="gramEnd"/>
      <w:r w:rsidR="00841057">
        <w:t xml:space="preserve"> and individual otoliths may exhibit intermediate signatures that complicate definitive assignment.</w:t>
      </w:r>
    </w:p>
    <w:p w14:paraId="6B502497" w14:textId="77777777" w:rsidR="00841057" w:rsidRDefault="00841057" w:rsidP="004B1012"/>
    <w:p w14:paraId="087DFC9A" w14:textId="77777777" w:rsidR="00841057" w:rsidRDefault="00841057" w:rsidP="004B1012">
      <w:pPr>
        <w:rPr>
          <w:rFonts w:ascii="Garamond" w:hAnsi="Garamond"/>
        </w:rPr>
      </w:pPr>
    </w:p>
    <w:p w14:paraId="429512CA" w14:textId="709315B1" w:rsidR="001D0BCE" w:rsidRPr="001D0BCE" w:rsidRDefault="008D0D27" w:rsidP="003E5607">
      <w:pPr>
        <w:tabs>
          <w:tab w:val="left" w:pos="3088"/>
        </w:tabs>
        <w:rPr>
          <w:rFonts w:ascii="Garamond" w:hAnsi="Garamond"/>
        </w:rPr>
      </w:pPr>
      <w:r>
        <w:rPr>
          <w:rFonts w:ascii="Garamond" w:hAnsi="Garamond"/>
        </w:rPr>
        <w:t xml:space="preserve"> </w:t>
      </w:r>
    </w:p>
    <w:p w14:paraId="5E758BDC" w14:textId="77777777" w:rsidR="00ED3EE6" w:rsidRPr="001D0BCE" w:rsidRDefault="00ED3EE6" w:rsidP="003E5607">
      <w:pPr>
        <w:tabs>
          <w:tab w:val="left" w:pos="3088"/>
        </w:tabs>
        <w:rPr>
          <w:rFonts w:ascii="Garamond" w:hAnsi="Garamond"/>
          <w:b/>
          <w:bCs/>
        </w:rPr>
      </w:pPr>
    </w:p>
    <w:p w14:paraId="71BD97FB" w14:textId="25FCBE70" w:rsidR="00ED3EE6" w:rsidRPr="001D0BCE" w:rsidRDefault="00ED3EE6" w:rsidP="003E5607">
      <w:pPr>
        <w:tabs>
          <w:tab w:val="left" w:pos="3088"/>
        </w:tabs>
        <w:rPr>
          <w:rFonts w:ascii="Garamond" w:hAnsi="Garamond"/>
          <w:b/>
          <w:bCs/>
        </w:rPr>
      </w:pPr>
      <w:r w:rsidRPr="001D0BCE">
        <w:rPr>
          <w:rFonts w:ascii="Garamond" w:hAnsi="Garamond"/>
          <w:b/>
          <w:bCs/>
        </w:rPr>
        <w:t xml:space="preserve">Timeseries feature importance </w:t>
      </w:r>
    </w:p>
    <w:p w14:paraId="06F8E81E" w14:textId="77777777" w:rsidR="00ED3EE6" w:rsidRPr="001D0BCE" w:rsidRDefault="00ED3EE6" w:rsidP="003E5607">
      <w:pPr>
        <w:tabs>
          <w:tab w:val="left" w:pos="3088"/>
        </w:tabs>
        <w:rPr>
          <w:rFonts w:ascii="Garamond" w:hAnsi="Garamond"/>
          <w:b/>
          <w:bCs/>
        </w:rPr>
      </w:pPr>
    </w:p>
    <w:p w14:paraId="0C3781D8" w14:textId="77777777" w:rsidR="00793ED4" w:rsidRDefault="00793ED4" w:rsidP="003E5607">
      <w:pPr>
        <w:tabs>
          <w:tab w:val="left" w:pos="3088"/>
        </w:tabs>
        <w:rPr>
          <w:rFonts w:ascii="Garamond" w:hAnsi="Garamond"/>
          <w:b/>
          <w:bCs/>
        </w:rPr>
      </w:pPr>
    </w:p>
    <w:p w14:paraId="7E06D324" w14:textId="77777777" w:rsidR="00793ED4" w:rsidRDefault="00793ED4" w:rsidP="003E5607">
      <w:pPr>
        <w:tabs>
          <w:tab w:val="left" w:pos="3088"/>
        </w:tabs>
        <w:rPr>
          <w:rFonts w:ascii="Garamond" w:hAnsi="Garamond"/>
          <w:b/>
          <w:bCs/>
        </w:rPr>
      </w:pPr>
    </w:p>
    <w:p w14:paraId="10B15B8E" w14:textId="54F1DA40" w:rsidR="00A043C9" w:rsidRDefault="00ED3EE6" w:rsidP="003E5607">
      <w:pPr>
        <w:tabs>
          <w:tab w:val="left" w:pos="3088"/>
        </w:tabs>
        <w:rPr>
          <w:rFonts w:ascii="Garamond" w:hAnsi="Garamond"/>
          <w:b/>
          <w:bCs/>
        </w:rPr>
      </w:pPr>
      <w:r w:rsidRPr="001D0BCE">
        <w:rPr>
          <w:rFonts w:ascii="Garamond" w:hAnsi="Garamond"/>
          <w:b/>
          <w:bCs/>
        </w:rPr>
        <w:t xml:space="preserve">Probability tuning </w:t>
      </w:r>
    </w:p>
    <w:p w14:paraId="2DBF306D" w14:textId="77777777" w:rsidR="00A043C9" w:rsidRDefault="00A043C9" w:rsidP="003E5607">
      <w:pPr>
        <w:tabs>
          <w:tab w:val="left" w:pos="3088"/>
        </w:tabs>
        <w:rPr>
          <w:rFonts w:ascii="Garamond" w:hAnsi="Garamond"/>
          <w:b/>
          <w:bCs/>
        </w:rPr>
      </w:pPr>
    </w:p>
    <w:p w14:paraId="268713AE" w14:textId="087CF3E0" w:rsidR="00A043C9" w:rsidRPr="00A043C9" w:rsidRDefault="00A043C9" w:rsidP="003E5607">
      <w:pPr>
        <w:tabs>
          <w:tab w:val="left" w:pos="3088"/>
        </w:tabs>
        <w:rPr>
          <w:rFonts w:ascii="Garamond" w:hAnsi="Garamond"/>
          <w:b/>
          <w:bCs/>
        </w:rPr>
      </w:pPr>
      <w:r>
        <w:rPr>
          <w:rFonts w:ascii="Garamond" w:hAnsi="Garamond"/>
          <w:b/>
          <w:bCs/>
        </w:rPr>
        <w:t xml:space="preserve">Thresholding impacts. </w:t>
      </w:r>
    </w:p>
    <w:p w14:paraId="60C8B728" w14:textId="442860CE"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ab/>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0779"/>
    <w:rsid w:val="000F4F29"/>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92609"/>
    <w:rsid w:val="002F10A9"/>
    <w:rsid w:val="002F5E0E"/>
    <w:rsid w:val="002F666C"/>
    <w:rsid w:val="00302CA2"/>
    <w:rsid w:val="0032184B"/>
    <w:rsid w:val="00354445"/>
    <w:rsid w:val="003606FC"/>
    <w:rsid w:val="003642FE"/>
    <w:rsid w:val="0038560E"/>
    <w:rsid w:val="00386D82"/>
    <w:rsid w:val="003A63D4"/>
    <w:rsid w:val="003A69C6"/>
    <w:rsid w:val="003A7A96"/>
    <w:rsid w:val="003B0A46"/>
    <w:rsid w:val="003E5607"/>
    <w:rsid w:val="003F7E9E"/>
    <w:rsid w:val="00406C9B"/>
    <w:rsid w:val="004139BE"/>
    <w:rsid w:val="004146AA"/>
    <w:rsid w:val="00420300"/>
    <w:rsid w:val="00435068"/>
    <w:rsid w:val="00443445"/>
    <w:rsid w:val="004472CA"/>
    <w:rsid w:val="00464971"/>
    <w:rsid w:val="00477D73"/>
    <w:rsid w:val="004B1012"/>
    <w:rsid w:val="004C0AA3"/>
    <w:rsid w:val="004C2541"/>
    <w:rsid w:val="004C4DA5"/>
    <w:rsid w:val="004D2BA0"/>
    <w:rsid w:val="00525222"/>
    <w:rsid w:val="00526D9D"/>
    <w:rsid w:val="00527EB9"/>
    <w:rsid w:val="00533C00"/>
    <w:rsid w:val="0053609D"/>
    <w:rsid w:val="00542302"/>
    <w:rsid w:val="00563F6D"/>
    <w:rsid w:val="005672B1"/>
    <w:rsid w:val="005A0FE2"/>
    <w:rsid w:val="005B3BF5"/>
    <w:rsid w:val="005C1DE3"/>
    <w:rsid w:val="005E7567"/>
    <w:rsid w:val="005F0F57"/>
    <w:rsid w:val="00643661"/>
    <w:rsid w:val="006624B2"/>
    <w:rsid w:val="00683419"/>
    <w:rsid w:val="006A5948"/>
    <w:rsid w:val="006C63F4"/>
    <w:rsid w:val="006D0CB1"/>
    <w:rsid w:val="006D1DD4"/>
    <w:rsid w:val="006E1563"/>
    <w:rsid w:val="00701699"/>
    <w:rsid w:val="00726EC4"/>
    <w:rsid w:val="00737BCD"/>
    <w:rsid w:val="0075722E"/>
    <w:rsid w:val="00780305"/>
    <w:rsid w:val="007803F1"/>
    <w:rsid w:val="0078300E"/>
    <w:rsid w:val="00793ED4"/>
    <w:rsid w:val="00813C70"/>
    <w:rsid w:val="00820C00"/>
    <w:rsid w:val="008310CB"/>
    <w:rsid w:val="00841057"/>
    <w:rsid w:val="00841F42"/>
    <w:rsid w:val="008475B7"/>
    <w:rsid w:val="00882F20"/>
    <w:rsid w:val="00884ECC"/>
    <w:rsid w:val="00892DEA"/>
    <w:rsid w:val="00894C0A"/>
    <w:rsid w:val="008A52C4"/>
    <w:rsid w:val="008A53F5"/>
    <w:rsid w:val="008C5595"/>
    <w:rsid w:val="008C5FCA"/>
    <w:rsid w:val="008C6234"/>
    <w:rsid w:val="008D0D27"/>
    <w:rsid w:val="00907410"/>
    <w:rsid w:val="009157FF"/>
    <w:rsid w:val="0092735E"/>
    <w:rsid w:val="0095522F"/>
    <w:rsid w:val="00960D9E"/>
    <w:rsid w:val="00965651"/>
    <w:rsid w:val="009743E7"/>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4F2C"/>
    <w:rsid w:val="00B119FB"/>
    <w:rsid w:val="00B2797F"/>
    <w:rsid w:val="00B30111"/>
    <w:rsid w:val="00B32AF3"/>
    <w:rsid w:val="00B335D4"/>
    <w:rsid w:val="00B936A6"/>
    <w:rsid w:val="00BD3BE0"/>
    <w:rsid w:val="00BD5921"/>
    <w:rsid w:val="00BF2E8A"/>
    <w:rsid w:val="00C02555"/>
    <w:rsid w:val="00C1569E"/>
    <w:rsid w:val="00C265F6"/>
    <w:rsid w:val="00C426E7"/>
    <w:rsid w:val="00C73537"/>
    <w:rsid w:val="00C9741A"/>
    <w:rsid w:val="00CA34D3"/>
    <w:rsid w:val="00CD36CA"/>
    <w:rsid w:val="00CE7F91"/>
    <w:rsid w:val="00CF0294"/>
    <w:rsid w:val="00CF5C6C"/>
    <w:rsid w:val="00D7690A"/>
    <w:rsid w:val="00D848A0"/>
    <w:rsid w:val="00D86BCC"/>
    <w:rsid w:val="00D97F1C"/>
    <w:rsid w:val="00DA7891"/>
    <w:rsid w:val="00DB0B6F"/>
    <w:rsid w:val="00DE389D"/>
    <w:rsid w:val="00DF1513"/>
    <w:rsid w:val="00E06D65"/>
    <w:rsid w:val="00E22B3F"/>
    <w:rsid w:val="00E454BB"/>
    <w:rsid w:val="00E45DBA"/>
    <w:rsid w:val="00E46DD7"/>
    <w:rsid w:val="00E50AAB"/>
    <w:rsid w:val="00E51F5E"/>
    <w:rsid w:val="00E673AF"/>
    <w:rsid w:val="00EC7467"/>
    <w:rsid w:val="00ED165F"/>
    <w:rsid w:val="00ED3EE6"/>
    <w:rsid w:val="00EE450C"/>
    <w:rsid w:val="00F06C0C"/>
    <w:rsid w:val="00F13113"/>
    <w:rsid w:val="00F6547F"/>
    <w:rsid w:val="00F75B08"/>
    <w:rsid w:val="00F864E5"/>
    <w:rsid w:val="00FA1987"/>
    <w:rsid w:val="00FA6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1007</TotalTime>
  <Pages>8</Pages>
  <Words>6690</Words>
  <Characters>38135</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52</cp:revision>
  <dcterms:created xsi:type="dcterms:W3CDTF">2025-05-19T03:17:00Z</dcterms:created>
  <dcterms:modified xsi:type="dcterms:W3CDTF">2025-08-18T04:11:00Z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