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C25D9" w14:textId="77777777" w:rsidR="00F95217" w:rsidRDefault="00F95217">
      <w:pPr>
        <w:rPr>
          <w:rFonts w:ascii="Garamond" w:hAnsi="Garamond"/>
          <w:sz w:val="16"/>
          <w:szCs w:val="16"/>
        </w:rPr>
      </w:pPr>
    </w:p>
    <w:p w14:paraId="23B714E0" w14:textId="1189D244" w:rsidR="00F95217" w:rsidRDefault="001C732F">
      <w:pPr>
        <w:rPr>
          <w:rFonts w:ascii="Garamond" w:hAnsi="Garamond"/>
          <w:sz w:val="16"/>
          <w:szCs w:val="16"/>
        </w:rPr>
      </w:pPr>
      <w:r>
        <w:rPr>
          <w:rFonts w:ascii="Garamond" w:hAnsi="Garamond"/>
          <w:noProof/>
          <w:sz w:val="16"/>
          <w:szCs w:val="16"/>
        </w:rPr>
        <w:drawing>
          <wp:inline distT="0" distB="0" distL="0" distR="0" wp14:anchorId="16BCAFDC" wp14:editId="1C26859F">
            <wp:extent cx="4279392" cy="3306927"/>
            <wp:effectExtent l="0" t="0" r="635" b="0"/>
            <wp:docPr id="1728529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29224" name="Picture 1728529224"/>
                    <pic:cNvPicPr/>
                  </pic:nvPicPr>
                  <pic:blipFill>
                    <a:blip r:embed="rId4"/>
                    <a:stretch>
                      <a:fillRect/>
                    </a:stretch>
                  </pic:blipFill>
                  <pic:spPr>
                    <a:xfrm>
                      <a:off x="0" y="0"/>
                      <a:ext cx="4312588" cy="3332580"/>
                    </a:xfrm>
                    <a:prstGeom prst="rect">
                      <a:avLst/>
                    </a:prstGeom>
                  </pic:spPr>
                </pic:pic>
              </a:graphicData>
            </a:graphic>
          </wp:inline>
        </w:drawing>
      </w:r>
      <w:r>
        <w:rPr>
          <w:rFonts w:ascii="Garamond" w:hAnsi="Garamond"/>
          <w:noProof/>
          <w:sz w:val="16"/>
          <w:szCs w:val="16"/>
        </w:rPr>
        <w:drawing>
          <wp:inline distT="0" distB="0" distL="0" distR="0" wp14:anchorId="58F41200" wp14:editId="23CD41E6">
            <wp:extent cx="4279265" cy="3306830"/>
            <wp:effectExtent l="0" t="0" r="635" b="0"/>
            <wp:docPr id="1119687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87362" name="Picture 1119687362"/>
                    <pic:cNvPicPr/>
                  </pic:nvPicPr>
                  <pic:blipFill>
                    <a:blip r:embed="rId5"/>
                    <a:stretch>
                      <a:fillRect/>
                    </a:stretch>
                  </pic:blipFill>
                  <pic:spPr>
                    <a:xfrm>
                      <a:off x="0" y="0"/>
                      <a:ext cx="4312182" cy="3332267"/>
                    </a:xfrm>
                    <a:prstGeom prst="rect">
                      <a:avLst/>
                    </a:prstGeom>
                  </pic:spPr>
                </pic:pic>
              </a:graphicData>
            </a:graphic>
          </wp:inline>
        </w:drawing>
      </w:r>
    </w:p>
    <w:p w14:paraId="7A9F58F7" w14:textId="165A4D82" w:rsidR="00F95217" w:rsidRDefault="00ED1482">
      <w:pPr>
        <w:rPr>
          <w:rFonts w:ascii="Garamond" w:hAnsi="Garamond"/>
          <w:sz w:val="16"/>
          <w:szCs w:val="16"/>
        </w:rPr>
      </w:pPr>
      <w:commentRangeStart w:id="0"/>
      <w:r>
        <w:rPr>
          <w:rFonts w:ascii="Garamond" w:hAnsi="Garamond"/>
          <w:sz w:val="16"/>
          <w:szCs w:val="16"/>
        </w:rPr>
        <w:t xml:space="preserve">[In </w:t>
      </w:r>
      <w:proofErr w:type="gramStart"/>
      <w:r>
        <w:rPr>
          <w:rFonts w:ascii="Garamond" w:hAnsi="Garamond"/>
          <w:sz w:val="16"/>
          <w:szCs w:val="16"/>
        </w:rPr>
        <w:t xml:space="preserve">Progress] </w:t>
      </w:r>
      <w:r>
        <w:rPr>
          <w:rFonts w:ascii="Garamond" w:hAnsi="Garamond"/>
          <w:sz w:val="16"/>
          <w:szCs w:val="16"/>
        </w:rPr>
        <w:t xml:space="preserve"> Figure</w:t>
      </w:r>
      <w:proofErr w:type="gramEnd"/>
      <w:r>
        <w:rPr>
          <w:rFonts w:ascii="Garamond" w:hAnsi="Garamond"/>
          <w:sz w:val="16"/>
          <w:szCs w:val="16"/>
        </w:rPr>
        <w:t xml:space="preserve"> 1: A) Three major river systems in Western Alaska, the Yukon (Blue), Kuskokwim (Red), and </w:t>
      </w:r>
      <w:proofErr w:type="spellStart"/>
      <w:r>
        <w:rPr>
          <w:rFonts w:ascii="Garamond" w:hAnsi="Garamond"/>
          <w:sz w:val="16"/>
          <w:szCs w:val="16"/>
        </w:rPr>
        <w:t>Nushagak</w:t>
      </w:r>
      <w:proofErr w:type="spellEnd"/>
      <w:r>
        <w:rPr>
          <w:rFonts w:ascii="Garamond" w:hAnsi="Garamond"/>
          <w:sz w:val="16"/>
          <w:szCs w:val="16"/>
        </w:rPr>
        <w:t xml:space="preserve"> (Green) river-basins. Icons (will change color, location) indicate sampling locations for samples on each river. B) Sr8786 </w:t>
      </w:r>
      <w:proofErr w:type="spellStart"/>
      <w:r>
        <w:rPr>
          <w:rFonts w:ascii="Garamond" w:hAnsi="Garamond"/>
          <w:sz w:val="16"/>
          <w:szCs w:val="16"/>
        </w:rPr>
        <w:t>Isoscape</w:t>
      </w:r>
      <w:proofErr w:type="spellEnd"/>
      <w:r>
        <w:rPr>
          <w:rFonts w:ascii="Garamond" w:hAnsi="Garamond"/>
          <w:sz w:val="16"/>
          <w:szCs w:val="16"/>
        </w:rPr>
        <w:t xml:space="preserve"> of all three river-basins. Darker Colors indicate more enriched values </w:t>
      </w:r>
      <w:proofErr w:type="gramStart"/>
      <w:r>
        <w:rPr>
          <w:rFonts w:ascii="Garamond" w:hAnsi="Garamond"/>
          <w:sz w:val="16"/>
          <w:szCs w:val="16"/>
        </w:rPr>
        <w:t>( close</w:t>
      </w:r>
      <w:proofErr w:type="gramEnd"/>
      <w:r>
        <w:rPr>
          <w:rFonts w:ascii="Garamond" w:hAnsi="Garamond"/>
          <w:sz w:val="16"/>
          <w:szCs w:val="16"/>
        </w:rPr>
        <w:t xml:space="preserve"> to .740) whereas lighter values indicate less enriched </w:t>
      </w:r>
      <w:proofErr w:type="gramStart"/>
      <w:r>
        <w:rPr>
          <w:rFonts w:ascii="Garamond" w:hAnsi="Garamond"/>
          <w:sz w:val="16"/>
          <w:szCs w:val="16"/>
        </w:rPr>
        <w:t>( closer</w:t>
      </w:r>
      <w:proofErr w:type="gramEnd"/>
      <w:r>
        <w:rPr>
          <w:rFonts w:ascii="Garamond" w:hAnsi="Garamond"/>
          <w:sz w:val="16"/>
          <w:szCs w:val="16"/>
        </w:rPr>
        <w:t xml:space="preserve"> to .702). </w:t>
      </w:r>
      <w:commentRangeEnd w:id="0"/>
      <w:r>
        <w:rPr>
          <w:rStyle w:val="CommentReference"/>
        </w:rPr>
        <w:commentReference w:id="0"/>
      </w: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0DBC1E31" w14:textId="0DC11243" w:rsidR="00FB057B" w:rsidRPr="00FB057B" w:rsidRDefault="00FB057B">
      <w:pPr>
        <w:rPr>
          <w:rFonts w:ascii="Garamond" w:hAnsi="Garamond"/>
        </w:rPr>
      </w:pPr>
    </w:p>
    <w:p w14:paraId="5562A9FB" w14:textId="5E0C30D3" w:rsidR="00AE3280" w:rsidRDefault="001F7120">
      <w:r>
        <w:rPr>
          <w:noProof/>
        </w:rPr>
        <w:drawing>
          <wp:inline distT="0" distB="0" distL="0" distR="0" wp14:anchorId="4355DA06" wp14:editId="04D713A8">
            <wp:extent cx="2896473" cy="1737884"/>
            <wp:effectExtent l="0" t="0" r="0" b="2540"/>
            <wp:docPr id="1267323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3198" name="Picture 1267323198"/>
                    <pic:cNvPicPr/>
                  </pic:nvPicPr>
                  <pic:blipFill>
                    <a:blip r:embed="rId10"/>
                    <a:stretch>
                      <a:fillRect/>
                    </a:stretch>
                  </pic:blipFill>
                  <pic:spPr>
                    <a:xfrm>
                      <a:off x="0" y="0"/>
                      <a:ext cx="3006459" cy="1803876"/>
                    </a:xfrm>
                    <a:prstGeom prst="rect">
                      <a:avLst/>
                    </a:prstGeom>
                  </pic:spPr>
                </pic:pic>
              </a:graphicData>
            </a:graphic>
          </wp:inline>
        </w:drawing>
      </w:r>
      <w:r>
        <w:rPr>
          <w:noProof/>
        </w:rPr>
        <w:drawing>
          <wp:inline distT="0" distB="0" distL="0" distR="0" wp14:anchorId="14BA03D8" wp14:editId="01DBB5AF">
            <wp:extent cx="2985025" cy="1791014"/>
            <wp:effectExtent l="0" t="0" r="0" b="0"/>
            <wp:docPr id="111141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8691" name="Picture 1111418691"/>
                    <pic:cNvPicPr/>
                  </pic:nvPicPr>
                  <pic:blipFill>
                    <a:blip r:embed="rId11"/>
                    <a:stretch>
                      <a:fillRect/>
                    </a:stretch>
                  </pic:blipFill>
                  <pic:spPr>
                    <a:xfrm>
                      <a:off x="0" y="0"/>
                      <a:ext cx="3081379" cy="1848826"/>
                    </a:xfrm>
                    <a:prstGeom prst="rect">
                      <a:avLst/>
                    </a:prstGeom>
                  </pic:spPr>
                </pic:pic>
              </a:graphicData>
            </a:graphic>
          </wp:inline>
        </w:drawing>
      </w:r>
    </w:p>
    <w:p w14:paraId="1F779B26" w14:textId="5EB30CF6"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sources and model types. Accuracy indicates the proportion of each class correctly classified. F1-Score is the harmonic mean of precision and recall, providing a balanced performance measure across all watershed classes. Results compare </w:t>
      </w:r>
      <w:r w:rsidR="00303ACB">
        <w:rPr>
          <w:rFonts w:ascii="Garamond" w:hAnsi="Garamond"/>
          <w:sz w:val="16"/>
          <w:szCs w:val="16"/>
        </w:rPr>
        <w:t>two</w:t>
      </w:r>
      <w:r w:rsidRPr="00AE3280">
        <w:rPr>
          <w:rFonts w:ascii="Garamond" w:hAnsi="Garamond"/>
          <w:sz w:val="16"/>
          <w:szCs w:val="16"/>
        </w:rPr>
        <w:t xml:space="preserve"> Sr87/86 </w:t>
      </w:r>
      <w:r w:rsidR="00303ACB">
        <w:rPr>
          <w:rFonts w:ascii="Garamond" w:hAnsi="Garamond"/>
          <w:sz w:val="16"/>
          <w:szCs w:val="16"/>
        </w:rPr>
        <w:t xml:space="preserve">timeseries smoothing </w:t>
      </w:r>
      <w:r w:rsidRPr="00AE3280">
        <w:rPr>
          <w:rFonts w:ascii="Garamond" w:hAnsi="Garamond"/>
          <w:sz w:val="16"/>
          <w:szCs w:val="16"/>
        </w:rPr>
        <w:t xml:space="preserve">methods (GAM, MA) </w:t>
      </w:r>
      <w:r w:rsidR="00303ACB">
        <w:rPr>
          <w:rFonts w:ascii="Garamond" w:hAnsi="Garamond"/>
          <w:sz w:val="16"/>
          <w:szCs w:val="16"/>
        </w:rPr>
        <w:t>a</w:t>
      </w:r>
      <w:r w:rsidRPr="00AE3280">
        <w:rPr>
          <w:rFonts w:ascii="Garamond" w:hAnsi="Garamond"/>
          <w:sz w:val="16"/>
          <w:szCs w:val="16"/>
        </w:rPr>
        <w:t xml:space="preserve">nd three machine learning algorithms (Random Forest, SVM, KNN) using either all test data (Total) or only overlapping isotope ranges (Overlapping). </w:t>
      </w:r>
      <w:r w:rsidR="00303ACB">
        <w:rPr>
          <w:rFonts w:ascii="Garamond" w:hAnsi="Garamond"/>
          <w:sz w:val="16"/>
          <w:szCs w:val="16"/>
        </w:rPr>
        <w:t>Darker green colors indicate higher scores.</w:t>
      </w:r>
    </w:p>
    <w:p w14:paraId="2E664D17" w14:textId="77777777" w:rsidR="003E2C8F" w:rsidRDefault="003E2C8F">
      <w:pPr>
        <w:rPr>
          <w:rFonts w:ascii="Garamond" w:hAnsi="Garamond"/>
          <w:sz w:val="16"/>
          <w:szCs w:val="16"/>
        </w:rPr>
      </w:pPr>
    </w:p>
    <w:p w14:paraId="09E4FDDD" w14:textId="77777777" w:rsidR="006700B0" w:rsidRDefault="006700B0">
      <w:pPr>
        <w:rPr>
          <w:rFonts w:ascii="Garamond" w:hAnsi="Garamond"/>
          <w:sz w:val="16"/>
          <w:szCs w:val="16"/>
        </w:rPr>
      </w:pP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2"/>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 </w:t>
      </w:r>
    </w:p>
    <w:p w14:paraId="5337DE8C" w14:textId="56FCD1EA" w:rsidR="0073759D" w:rsidRDefault="00CF4DC7">
      <w:pPr>
        <w:rPr>
          <w:rFonts w:ascii="Garamond" w:hAnsi="Garamond"/>
          <w:sz w:val="16"/>
          <w:szCs w:val="16"/>
        </w:rPr>
      </w:pPr>
      <w:r>
        <w:rPr>
          <w:rFonts w:ascii="Garamond" w:hAnsi="Garamond"/>
          <w:sz w:val="16"/>
          <w:szCs w:val="16"/>
        </w:rPr>
        <w:t xml:space="preserve">Figure 3: </w:t>
      </w:r>
      <w:r w:rsidR="0087450A">
        <w:rPr>
          <w:rFonts w:ascii="Garamond" w:hAnsi="Garamond"/>
          <w:sz w:val="16"/>
          <w:szCs w:val="16"/>
        </w:rPr>
        <w:t>Confusion matrix from the highest preforming model (Random Forest on GAM Smoothed data) for both total test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w:t>
      </w:r>
      <w:r w:rsidR="00303ACB">
        <w:rPr>
          <w:rFonts w:ascii="Garamond" w:hAnsi="Garamond"/>
          <w:sz w:val="16"/>
          <w:szCs w:val="16"/>
        </w:rPr>
        <w:t xml:space="preserve"> labels</w:t>
      </w:r>
      <w:r w:rsidR="00445705">
        <w:rPr>
          <w:rFonts w:ascii="Garamond" w:hAnsi="Garamond"/>
          <w:sz w:val="16"/>
          <w:szCs w:val="16"/>
        </w:rPr>
        <w:t xml:space="preserve"> are the percent of the actual class identified as the predicted class. </w:t>
      </w:r>
      <w:r w:rsidR="0087450A">
        <w:rPr>
          <w:rFonts w:ascii="Garamond" w:hAnsi="Garamond"/>
          <w:sz w:val="16"/>
          <w:szCs w:val="16"/>
        </w:rPr>
        <w:t xml:space="preserve">  </w:t>
      </w:r>
    </w:p>
    <w:p w14:paraId="513BA58C" w14:textId="3AF517D7" w:rsidR="0087450A" w:rsidRDefault="0087450A">
      <w:pPr>
        <w:rPr>
          <w:rFonts w:ascii="Garamond" w:hAnsi="Garamond"/>
          <w:sz w:val="16"/>
          <w:szCs w:val="16"/>
        </w:rPr>
      </w:pPr>
    </w:p>
    <w:p w14:paraId="10273599" w14:textId="5488E85A" w:rsidR="00303ACB" w:rsidRDefault="00303ACB"/>
    <w:p w14:paraId="056FFB35" w14:textId="05EAE751" w:rsidR="00303ACB" w:rsidRPr="00303ACB" w:rsidRDefault="00303ACB">
      <w:commentRangeStart w:id="1"/>
      <w:r w:rsidRPr="00303ACB">
        <w:lastRenderedPageBreak/>
        <w:drawing>
          <wp:inline distT="0" distB="0" distL="0" distR="0" wp14:anchorId="3CC31619" wp14:editId="11D0F073">
            <wp:extent cx="2586182" cy="2159297"/>
            <wp:effectExtent l="0" t="0" r="5080" b="0"/>
            <wp:docPr id="555171451" name="Picture 1" descr="A graph of a number of indiv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1451" name="Picture 1" descr="A graph of a number of individuals&#10;&#10;AI-generated content may be incorrect."/>
                    <pic:cNvPicPr/>
                  </pic:nvPicPr>
                  <pic:blipFill>
                    <a:blip r:embed="rId13"/>
                    <a:stretch>
                      <a:fillRect/>
                    </a:stretch>
                  </pic:blipFill>
                  <pic:spPr>
                    <a:xfrm>
                      <a:off x="0" y="0"/>
                      <a:ext cx="2616291" cy="2184436"/>
                    </a:xfrm>
                    <a:prstGeom prst="rect">
                      <a:avLst/>
                    </a:prstGeom>
                  </pic:spPr>
                </pic:pic>
              </a:graphicData>
            </a:graphic>
          </wp:inline>
        </w:drawing>
      </w:r>
      <w:commentRangeEnd w:id="1"/>
      <w:r>
        <w:rPr>
          <w:rStyle w:val="CommentReference"/>
        </w:rPr>
        <w:commentReference w:id="1"/>
      </w:r>
    </w:p>
    <w:p w14:paraId="6ACB2774" w14:textId="6BE2B177" w:rsidR="0087450A" w:rsidRDefault="0087450A" w:rsidP="00B767B5">
      <w:pPr>
        <w:jc w:val="center"/>
        <w:rPr>
          <w:rFonts w:ascii="Garamond" w:hAnsi="Garamond"/>
          <w:sz w:val="16"/>
          <w:szCs w:val="16"/>
        </w:rPr>
      </w:pPr>
    </w:p>
    <w:p w14:paraId="1238D61C" w14:textId="77777777" w:rsidR="00303ACB" w:rsidRDefault="00303ACB" w:rsidP="00B767B5">
      <w:pPr>
        <w:rPr>
          <w:rFonts w:ascii="Garamond" w:hAnsi="Garamond"/>
          <w:b/>
          <w:bCs/>
          <w:sz w:val="16"/>
          <w:szCs w:val="16"/>
        </w:rPr>
      </w:pPr>
    </w:p>
    <w:p w14:paraId="60F62833" w14:textId="77777777" w:rsidR="00303ACB" w:rsidRDefault="00303ACB" w:rsidP="00B767B5">
      <w:pPr>
        <w:rPr>
          <w:rFonts w:ascii="Garamond" w:hAnsi="Garamond"/>
          <w:b/>
          <w:bCs/>
          <w:sz w:val="16"/>
          <w:szCs w:val="16"/>
        </w:rPr>
      </w:pPr>
    </w:p>
    <w:p w14:paraId="3307FF0F" w14:textId="77777777" w:rsidR="00303ACB" w:rsidRDefault="00303ACB" w:rsidP="00B767B5">
      <w:pPr>
        <w:rPr>
          <w:rFonts w:ascii="Garamond" w:hAnsi="Garamond"/>
          <w:b/>
          <w:bCs/>
          <w:sz w:val="16"/>
          <w:szCs w:val="16"/>
        </w:rPr>
      </w:pPr>
    </w:p>
    <w:p w14:paraId="674CEF1F"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drawing>
          <wp:anchor distT="0" distB="0" distL="114300" distR="114300" simplePos="0" relativeHeight="251658240" behindDoc="0" locked="0" layoutInCell="1" allowOverlap="1" wp14:anchorId="4608D8C9" wp14:editId="571A06E9">
            <wp:simplePos x="0" y="0"/>
            <wp:positionH relativeFrom="column">
              <wp:posOffset>-222250</wp:posOffset>
            </wp:positionH>
            <wp:positionV relativeFrom="paragraph">
              <wp:posOffset>271145</wp:posOffset>
            </wp:positionV>
            <wp:extent cx="4349750" cy="362521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49750" cy="3625215"/>
                    </a:xfrm>
                    <a:prstGeom prst="rect">
                      <a:avLst/>
                    </a:prstGeom>
                  </pic:spPr>
                </pic:pic>
              </a:graphicData>
            </a:graphic>
            <wp14:sizeRelH relativeFrom="page">
              <wp14:pctWidth>0</wp14:pctWidth>
            </wp14:sizeRelH>
            <wp14:sizeRelV relativeFrom="page">
              <wp14:pctHeight>0</wp14:pctHeight>
            </wp14:sizeRelV>
          </wp:anchor>
        </w:drawing>
      </w:r>
    </w:p>
    <w:p w14:paraId="35CCA671" w14:textId="23374A6D"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w:t>
      </w:r>
      <w:proofErr w:type="spellStart"/>
      <w:r w:rsidR="00B75C35">
        <w:rPr>
          <w:rFonts w:ascii="Garamond" w:hAnsi="Garamond"/>
          <w:sz w:val="16"/>
          <w:szCs w:val="16"/>
        </w:rPr>
        <w:t>Nushagak</w:t>
      </w:r>
      <w:proofErr w:type="spellEnd"/>
      <w:r w:rsidR="00B75C35">
        <w:rPr>
          <w:rFonts w:ascii="Garamond" w:hAnsi="Garamond"/>
          <w:sz w:val="16"/>
          <w:szCs w:val="16"/>
        </w:rPr>
        <w:t xml:space="preserve">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6B8B4943" w14:textId="2ED80A0F" w:rsidR="009A55CD" w:rsidRDefault="0026679E" w:rsidP="00FB057B">
      <w:pPr>
        <w:rPr>
          <w:rFonts w:ascii="Garamond" w:hAnsi="Garamond"/>
          <w:sz w:val="16"/>
          <w:szCs w:val="16"/>
        </w:rPr>
      </w:pPr>
      <w:r>
        <w:rPr>
          <w:rFonts w:ascii="Garamond" w:hAnsi="Garamond"/>
          <w:noProof/>
          <w:sz w:val="16"/>
          <w:szCs w:val="16"/>
        </w:rPr>
        <w:lastRenderedPageBreak/>
        <w:drawing>
          <wp:inline distT="0" distB="0" distL="0" distR="0" wp14:anchorId="3106B05A" wp14:editId="6D19F2B2">
            <wp:extent cx="1865515" cy="2984825"/>
            <wp:effectExtent l="0" t="0" r="1905" b="0"/>
            <wp:docPr id="1148715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15510" name="Picture 1148715510"/>
                    <pic:cNvPicPr/>
                  </pic:nvPicPr>
                  <pic:blipFill>
                    <a:blip r:embed="rId15"/>
                    <a:stretch>
                      <a:fillRect/>
                    </a:stretch>
                  </pic:blipFill>
                  <pic:spPr>
                    <a:xfrm>
                      <a:off x="0" y="0"/>
                      <a:ext cx="1930585" cy="3088937"/>
                    </a:xfrm>
                    <a:prstGeom prst="rect">
                      <a:avLst/>
                    </a:prstGeom>
                  </pic:spPr>
                </pic:pic>
              </a:graphicData>
            </a:graphic>
          </wp:inline>
        </w:drawing>
      </w:r>
      <w:r w:rsidR="005630A6">
        <w:rPr>
          <w:rFonts w:ascii="Garamond" w:hAnsi="Garamond"/>
          <w:noProof/>
          <w:sz w:val="16"/>
          <w:szCs w:val="16"/>
        </w:rPr>
        <w:drawing>
          <wp:inline distT="0" distB="0" distL="0" distR="0" wp14:anchorId="25743AE2" wp14:editId="68E07C99">
            <wp:extent cx="3980873" cy="2985654"/>
            <wp:effectExtent l="0" t="0" r="0" b="0"/>
            <wp:docPr id="114681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11189" name="Picture 1146811189"/>
                    <pic:cNvPicPr/>
                  </pic:nvPicPr>
                  <pic:blipFill>
                    <a:blip r:embed="rId16"/>
                    <a:stretch>
                      <a:fillRect/>
                    </a:stretch>
                  </pic:blipFill>
                  <pic:spPr>
                    <a:xfrm>
                      <a:off x="0" y="0"/>
                      <a:ext cx="4051417" cy="3038562"/>
                    </a:xfrm>
                    <a:prstGeom prst="rect">
                      <a:avLst/>
                    </a:prstGeom>
                  </pic:spPr>
                </pic:pic>
              </a:graphicData>
            </a:graphic>
          </wp:inline>
        </w:drawing>
      </w:r>
    </w:p>
    <w:p w14:paraId="64813424" w14:textId="6C997B3F" w:rsidR="009A55CD" w:rsidRPr="00303ACB" w:rsidRDefault="00DB4EE5" w:rsidP="00FB057B">
      <w:pPr>
        <w:rPr>
          <w:rFonts w:ascii="Garamond" w:hAnsi="Garamond"/>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7085. Clustering among watersheds is evident between principal components 1 and 2 (</w:t>
      </w:r>
      <w:r w:rsidR="00303ACB">
        <w:rPr>
          <w:rFonts w:ascii="Garamond" w:hAnsi="Garamond"/>
          <w:sz w:val="16"/>
          <w:szCs w:val="16"/>
        </w:rPr>
        <w:t>68.39</w:t>
      </w:r>
      <w:r w:rsidR="00BB24FE" w:rsidRPr="006023C1">
        <w:rPr>
          <w:rFonts w:ascii="Garamond" w:hAnsi="Garamond"/>
          <w:sz w:val="16"/>
          <w:szCs w:val="16"/>
        </w:rPr>
        <w:t>% of variance), as well as between principal components 2 and 3 (</w:t>
      </w:r>
      <w:r w:rsidR="00303ACB">
        <w:rPr>
          <w:rFonts w:ascii="Garamond" w:hAnsi="Garamond"/>
          <w:sz w:val="16"/>
          <w:szCs w:val="16"/>
        </w:rPr>
        <w:t>31.16%</w:t>
      </w:r>
      <w:r w:rsidR="00BB24FE" w:rsidRPr="006023C1">
        <w:rPr>
          <w:rFonts w:ascii="Garamond" w:hAnsi="Garamond"/>
          <w:sz w:val="16"/>
          <w:szCs w:val="16"/>
        </w:rPr>
        <w:t xml:space="preserve"> </w:t>
      </w:r>
      <w:r w:rsidR="00303ACB">
        <w:rPr>
          <w:rFonts w:ascii="Garamond" w:hAnsi="Garamond"/>
          <w:sz w:val="16"/>
          <w:szCs w:val="16"/>
        </w:rPr>
        <w:t xml:space="preserve">of </w:t>
      </w:r>
      <w:r w:rsidR="00BB24FE" w:rsidRPr="006023C1">
        <w:rPr>
          <w:rFonts w:ascii="Garamond" w:hAnsi="Garamond"/>
          <w:sz w:val="16"/>
          <w:szCs w:val="16"/>
        </w:rPr>
        <w:t xml:space="preserve">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w:t>
      </w:r>
      <w:r w:rsidR="00303ACB">
        <w:rPr>
          <w:rFonts w:ascii="Garamond" w:hAnsi="Garamond"/>
          <w:sz w:val="16"/>
          <w:szCs w:val="16"/>
        </w:rPr>
        <w:t xml:space="preserve"> timeseries</w:t>
      </w:r>
      <w:r w:rsidR="00BB24FE" w:rsidRPr="006023C1">
        <w:rPr>
          <w:rFonts w:ascii="Garamond" w:hAnsi="Garamond"/>
          <w:sz w:val="16"/>
          <w:szCs w:val="16"/>
        </w:rPr>
        <w:t xml:space="preserve"> indices. PC1 (top row) shows high loading on the middle section of the timeseries after the natal origin region. PC2 is driven by the region of the timeseries towards the marine entry</w:t>
      </w:r>
      <w:r w:rsidR="00303ACB">
        <w:rPr>
          <w:rFonts w:ascii="Garamond" w:hAnsi="Garamond"/>
          <w:sz w:val="16"/>
          <w:szCs w:val="16"/>
        </w:rPr>
        <w:t xml:space="preserve">, likely the result of mainstem migration to the ocean. </w:t>
      </w:r>
      <w:r w:rsidR="00BB24FE" w:rsidRPr="006023C1">
        <w:rPr>
          <w:rFonts w:ascii="Garamond" w:hAnsi="Garamond"/>
          <w:sz w:val="16"/>
          <w:szCs w:val="16"/>
        </w:rPr>
        <w:t>PC3 is driven by the very beginning of the timeseries, which is the region associated with the natal origin.</w:t>
      </w:r>
      <w:r w:rsidR="00BB24FE">
        <w:rPr>
          <w:rFonts w:ascii="Garamond" w:hAnsi="Garamond"/>
          <w:b/>
          <w:bCs/>
          <w:sz w:val="16"/>
          <w:szCs w:val="16"/>
        </w:rPr>
        <w:t xml:space="preserve"> </w:t>
      </w:r>
      <w:r w:rsidR="00303ACB">
        <w:rPr>
          <w:rFonts w:ascii="Garamond" w:hAnsi="Garamond"/>
          <w:sz w:val="16"/>
          <w:szCs w:val="16"/>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3E009DBF">
            <wp:extent cx="5943600" cy="2971800"/>
            <wp:effectExtent l="0" t="0" r="0" b="0"/>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1042AA6F" w14:textId="3656E0F3" w:rsidR="00BB24FE" w:rsidRPr="009A55CD"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sectPr w:rsidR="00BB24FE" w:rsidRPr="009A55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7T14:23:00Z" w:initials="b">
    <w:p w14:paraId="215C4347" w14:textId="77777777" w:rsidR="00ED1482" w:rsidRDefault="00ED1482" w:rsidP="00ED1482">
      <w:r>
        <w:rPr>
          <w:rStyle w:val="CommentReference"/>
        </w:rPr>
        <w:annotationRef/>
      </w:r>
      <w:r>
        <w:rPr>
          <w:sz w:val="20"/>
          <w:szCs w:val="20"/>
        </w:rPr>
        <w:t xml:space="preserve">Working on these. I'll change the color scheme of the isoscape and find a way to show the CWAK geographic region. </w:t>
      </w:r>
    </w:p>
  </w:comment>
  <w:comment w:id="1" w:author="bmak29" w:date="2025-09-07T15:55:00Z" w:initials="b">
    <w:p w14:paraId="78A346C0" w14:textId="77777777" w:rsidR="00303ACB" w:rsidRDefault="00303ACB" w:rsidP="00303ACB">
      <w:r>
        <w:rPr>
          <w:rStyle w:val="CommentReference"/>
        </w:rPr>
        <w:annotationRef/>
      </w:r>
      <w:r>
        <w:rPr>
          <w:sz w:val="20"/>
          <w:szCs w:val="20"/>
        </w:rPr>
        <w:t>Thoughts on adding this to the above figure. This is ONLY the CWAK individuals. The only real difference is removing Middle+ Upper Yukon individuals leading to a pretty small sample size for Yukon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5C4347" w15:done="0"/>
  <w15:commentEx w15:paraId="78A346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2C9BDF" w16cex:dateUtc="2025-09-07T21:23:00Z"/>
  <w16cex:commentExtensible w16cex:durableId="52D97608" w16cex:dateUtc="2025-09-07T22: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5C4347" w16cid:durableId="282C9BDF"/>
  <w16cid:commentId w16cid:paraId="78A346C0" w16cid:durableId="52D9760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941AF"/>
    <w:rsid w:val="001149D8"/>
    <w:rsid w:val="00166D35"/>
    <w:rsid w:val="001844EB"/>
    <w:rsid w:val="001C1637"/>
    <w:rsid w:val="001C732F"/>
    <w:rsid w:val="001E31A3"/>
    <w:rsid w:val="001F7120"/>
    <w:rsid w:val="00221780"/>
    <w:rsid w:val="002636B2"/>
    <w:rsid w:val="0026679E"/>
    <w:rsid w:val="002948A2"/>
    <w:rsid w:val="00303ACB"/>
    <w:rsid w:val="003642FE"/>
    <w:rsid w:val="00373E7A"/>
    <w:rsid w:val="003A1515"/>
    <w:rsid w:val="003B0A46"/>
    <w:rsid w:val="003E2C8F"/>
    <w:rsid w:val="00401B70"/>
    <w:rsid w:val="00445705"/>
    <w:rsid w:val="00464971"/>
    <w:rsid w:val="00521E2C"/>
    <w:rsid w:val="005630A6"/>
    <w:rsid w:val="005B243A"/>
    <w:rsid w:val="005B6B98"/>
    <w:rsid w:val="005F2894"/>
    <w:rsid w:val="006023C1"/>
    <w:rsid w:val="0064415A"/>
    <w:rsid w:val="006700B0"/>
    <w:rsid w:val="006A56D1"/>
    <w:rsid w:val="0073759D"/>
    <w:rsid w:val="00780305"/>
    <w:rsid w:val="00783125"/>
    <w:rsid w:val="00850A4E"/>
    <w:rsid w:val="0087450A"/>
    <w:rsid w:val="00907410"/>
    <w:rsid w:val="009A55CD"/>
    <w:rsid w:val="00A46D4F"/>
    <w:rsid w:val="00A4712A"/>
    <w:rsid w:val="00A97906"/>
    <w:rsid w:val="00AE3280"/>
    <w:rsid w:val="00B75C35"/>
    <w:rsid w:val="00B767B5"/>
    <w:rsid w:val="00BB24FE"/>
    <w:rsid w:val="00BD5921"/>
    <w:rsid w:val="00C9741A"/>
    <w:rsid w:val="00CB3DEB"/>
    <w:rsid w:val="00CF4DC7"/>
    <w:rsid w:val="00DB4EE5"/>
    <w:rsid w:val="00DD1806"/>
    <w:rsid w:val="00DD2C4D"/>
    <w:rsid w:val="00E22B3F"/>
    <w:rsid w:val="00E372A3"/>
    <w:rsid w:val="00E410EE"/>
    <w:rsid w:val="00E454BB"/>
    <w:rsid w:val="00E56807"/>
    <w:rsid w:val="00EA6A2B"/>
    <w:rsid w:val="00ED1482"/>
    <w:rsid w:val="00ED3CD0"/>
    <w:rsid w:val="00F95217"/>
    <w:rsid w:val="00FA6CD2"/>
    <w:rsid w:val="00FB057B"/>
    <w:rsid w:val="00FD02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semiHidden/>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semiHidden/>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5.emf"/><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emf"/><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image" Target="media/image4.emf"/><Relationship Id="rId5" Type="http://schemas.openxmlformats.org/officeDocument/2006/relationships/image" Target="media/image2.emf"/><Relationship Id="rId15" Type="http://schemas.openxmlformats.org/officeDocument/2006/relationships/image" Target="media/image8.emf"/><Relationship Id="rId10" Type="http://schemas.openxmlformats.org/officeDocument/2006/relationships/image" Target="media/image3.emf"/><Relationship Id="rId19" Type="http://schemas.microsoft.com/office/2011/relationships/people" Target="people.xml"/><Relationship Id="rId4" Type="http://schemas.openxmlformats.org/officeDocument/2006/relationships/image" Target="media/image1.emf"/><Relationship Id="rId9" Type="http://schemas.microsoft.com/office/2018/08/relationships/commentsExtensible" Target="commentsExtensible.xm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5</Pages>
  <Words>456</Words>
  <Characters>2605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5</cp:revision>
  <dcterms:created xsi:type="dcterms:W3CDTF">2025-09-02T20:08:00Z</dcterms:created>
  <dcterms:modified xsi:type="dcterms:W3CDTF">2025-09-07T23:10:00Z</dcterms:modified>
</cp:coreProperties>
</file>