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40FADD48"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{"citationID":"hAKyMnYj","properties":{"formattedCitation":"(Jordan &amp; Mitchell, 2015)","plainCitation":"(Jordan &amp; Mitchell, 2015)","noteIndex":0},"citationItems":[{"id":5625,"uris":["http://zotero.org/users/8421274/items/JN9KDS24"],"itemData":{"id":5625,"type":"article-journal","abstract":"Machine learning addresses the question of how to build computers that improve automatically through experience. It is one of today’s most rapidly growing technical fields, lying at the intersection of computer science and statistics, and at the core of artificial intelligence and data science. Recent progress in machine learning has been driven both by the development of new learning algorithms and theory and by the ongoing explosion in the availability of online data and low-cost computation. The adoption of data-intensive machine-learning methods can be found throughout science, technology and commerce, leading to more evidence-based decision-making across many walks of life, including health care, manufacturing, education, financial modeling, policing, and marketing.","container-title":"Science","DOI":"10.1126/science.aaa8415","issue":"6245","note":"publisher: American Association for the Advancement of Science","page":"255-260","source":"www-science-org.offcampus.lib.washington.edu (Atypon)","title":"Machine learning: Trends, perspectives, and prospects","title-short":"Machine learning","volume":"349","author":[{"family":"Jordan","given":"M. I."},{"family":"Mitchell","given":"T. M."}],"issued":{"date-parts":[["2015",7,17]]}}}],"schema":"https://github.com/citation-style-language/schema/raw/master/csl-citation.json"}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(Jordan &amp; Mitchell, 2015)</w:t>
      </w:r>
      <w:r w:rsidR="00526D9D">
        <w:rPr>
          <w:rFonts w:ascii="Garamond" w:hAnsi="Garamond"/>
          <w:sz w:val="22"/>
          <w:szCs w:val="22"/>
        </w:rPr>
        <w:fldChar w:fldCharType="end"/>
      </w:r>
      <w:r w:rsidRPr="008310CB">
        <w:rPr>
          <w:rFonts w:ascii="Garamond" w:hAnsi="Garamond"/>
          <w:sz w:val="22"/>
          <w:szCs w:val="22"/>
        </w:rPr>
        <w:t>.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{"citationID":"fArRVoWn","properties":{"formattedCitation":"(Peters et al., 2014; Pichler &amp; Hartig, 2022)","plainCitation":"(Peters et al., 2014; Pichler &amp; Hartig, 2022)","noteIndex":0},"citationItems":[{"id":5632,"uris":["http://zotero.org/users/8421274/items/8P8UTT5H"],"itemData":{"id":5632,"type":"article-journal","abstract":"Most efforts to harness the power of big data for ecology and environmental sciences focus on data and metadata sharing, standardization, and accuracy. However, many scientists have not accepted the data deluge as an integral part of their research because the current scientific method is not scalable to large, complex datasets. Here, we explain how integrating a data-intensive, machine learning approach with a hypothesis-driven, mechanistic approach can lead to a novel knowledge, learning, analysis system (KLAS) for discovery and problem solving. Machine learning leads to more efficient, user-friendly analytics as the streams of data increase while hypothesis-driven decisions lead to the strategic design of experiments to fill knowledge gaps and to elucidate mechanisms. KLAS will transform ecology and environmental sciences by shortening the time lag between individual discoveries and leaps in knowledge by the scientific community, and will lead to paradigm shifts predicated on open access data and analytics in a machine learning environment.","container-title":"ECOSPHERE","DOI":"10.1890/ES13-00359.1","ISSN":"2150-8925","issue":"6","journalAbbreviation":"Ecosphere","language":"English","note":"number-of-pages: 15\npublisher-place: Hoboken\npublisher: Wiley\nWeb of Science ID: WOS:000338925000001","page":"67","source":"Clarivate Analytics Web of Science","title":"Harnessing the power of big data: infusing the scientific method with machine learning to transform ecology","title-short":"Harnessing the power of big data","volume":"5","author":[{"family":"Peters","given":"Debra P. C."},{"family":"Havstad","given":"Kris M."},{"family":"Cushing","given":"Judy"},{"family":"Tweedie","given":"Craig"},{"family":"Fuentes","given":"Olac"},{"family":"Villanueva-Rosales","given":"Natalia"}],"issued":{"date-parts":[["2014",6]]}}},{"id":3055,"uris":["http://zotero.org/users/8421274/items/8HIWJIVW"],"itemData":{"id":3055,"type":"article-journal","abstract":"The popularity of machine learning (ML), deep learning (DL) and artificial intelligence (AI) has risen sharply in recent years. Despite this spike in popularity, the inner workings of ML and DL algorithms are often perceived as opaque, and their relationship to classical data analysis tools remains debated. Although it is often assumed that ML and DL excel primarily at making predictions, ML and DL can also be used for analytical tasks traditionally addressed with statistical models. Moreover, most recent discussions and reviews on ML focus mainly on DL, failing to synthesise the wealth of ML algorithms with different advantages and general principles. Here, we provide a comprehensive overview of the field of ML and DL, starting by summarizing its historical developments, existing algorithm families, differences to traditional statistical tools, and universal ML principles. We then discuss why and when ML and DL models excel at prediction tasks and where they could offer alternatives to traditional statistical methods for inference, highlighting current and emerging applications for ecological problems. Finally, we summarize emerging trends such as scientific and causal ML, explainable AI, and responsible AI that may significantly impact ecological data analysis in the future. We conclude that ML and DL are powerful new tools for predictive modelling and data analysis. The superior performance of ML and DL algorithms compared to statistical models can be explained by their higher flexibility and automatic data-dependent complexity optimization. However, their use for causal inference is still disputed as the focus of ML and DL methods on predictions creates challenges for the interpretation of these models. Nevertheless, we expect ML and DL to become an indispensable tool in ecology and evolution, comparable to other traditional statistical tools.","container-title":"Methods in Ecology and Evolution","DOI":"10.1111/2041-210X.14061","ISSN":"2041-210X","issue":"n/a","language":"en","note":"_eprint: https://onlinelibrary.wiley.com/doi/pdf/10.1111/2041-210X.14061","source":"Wiley Online Library","title":"Machine learning and deep learning—A review for ecologists","URL":"https://onlinelibrary.wiley.com/doi/abs/10.1111/2041-210X.14061","volume":"n/a","author":[{"family":"Pichler","given":"Maximilian"},{"family":"Hartig","given":"Florian"}],"accessed":{"date-parts":[["2023",2,23]]},"issued":{"date-parts":[["2022",12,5]]}}}],"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(Peters et al., 2014; Pichler &amp; Hartig, 2022)</w:t>
      </w:r>
      <w:r w:rsidR="00526D9D">
        <w:rPr>
          <w:rFonts w:ascii="Garamond" w:hAnsi="Garamond"/>
          <w:sz w:val="22"/>
          <w:szCs w:val="22"/>
        </w:rPr>
        <w:fldChar w:fldCharType="end"/>
      </w:r>
      <w:r w:rsidRPr="008310CB">
        <w:rPr>
          <w:rFonts w:ascii="Garamond" w:hAnsi="Garamond"/>
          <w:sz w:val="22"/>
          <w:szCs w:val="22"/>
        </w:rPr>
        <w:t xml:space="preserv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w:t>
      </w:r>
      <w:r w:rsidR="00E73D9A">
        <w:rPr>
          <w:rFonts w:ascii="Garamond" w:hAnsi="Garamond"/>
          <w:sz w:val="22"/>
          <w:szCs w:val="22"/>
        </w:rPr>
        <w:t xml:space="preserve">machine learning tools </w:t>
      </w:r>
      <w:r w:rsidR="008C5595">
        <w:rPr>
          <w:rFonts w:ascii="Garamond" w:hAnsi="Garamond"/>
          <w:sz w:val="22"/>
          <w:szCs w:val="22"/>
        </w:rPr>
        <w:t>ha</w:t>
      </w:r>
      <w:r w:rsidR="00813C70">
        <w:rPr>
          <w:rFonts w:ascii="Garamond" w:hAnsi="Garamond"/>
          <w:sz w:val="22"/>
          <w:szCs w:val="22"/>
        </w:rPr>
        <w:t>s</w:t>
      </w:r>
      <w:r w:rsidR="008C5595">
        <w:rPr>
          <w:rFonts w:ascii="Garamond" w:hAnsi="Garamond"/>
          <w:sz w:val="22"/>
          <w:szCs w:val="22"/>
        </w:rPr>
        <w:t xml:space="preserve"> improved data collection (</w:t>
      </w:r>
      <w:r w:rsidR="004139BE">
        <w:rPr>
          <w:rFonts w:ascii="Garamond" w:hAnsi="Garamond"/>
          <w:sz w:val="22"/>
          <w:szCs w:val="22"/>
        </w:rPr>
        <w:t>i.e.</w:t>
      </w:r>
      <w:r w:rsidR="008C5595">
        <w:rPr>
          <w:rFonts w:ascii="Garamond" w:hAnsi="Garamond"/>
          <w:sz w:val="22"/>
          <w:szCs w:val="22"/>
        </w:rPr>
        <w:t xml:space="preserve">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allowed for novel insights from existing datasets</w:t>
      </w:r>
      <w:r w:rsidR="00526D9D">
        <w:rPr>
          <w:rFonts w:ascii="Garamond" w:hAnsi="Garamond"/>
          <w:sz w:val="22"/>
          <w:szCs w:val="22"/>
        </w:rPr>
        <w:t xml:space="preserve"> </w:t>
      </w:r>
      <w:r w:rsidR="00526D9D">
        <w:rPr>
          <w:rFonts w:ascii="Garamond" w:hAnsi="Garamond"/>
          <w:sz w:val="22"/>
          <w:szCs w:val="22"/>
        </w:rPr>
        <w:fldChar w:fldCharType="begin"/>
      </w:r>
      <w:r w:rsidR="004139BE">
        <w:rPr>
          <w:rFonts w:ascii="Garamond" w:hAnsi="Garamond"/>
          <w:sz w:val="22"/>
          <w:szCs w:val="22"/>
        </w:rPr>
        <w:instrText xml:space="preserve"> ADDIN ZOTERO_ITEM CSL_CITATION {"citationID":"pJaMhPSf","properties":{"formattedCitation":"(Gladju et al., 2022; K\\uc0\\u252{}hn et al., 2024)","plainCitation":"(Gladju et al., 2022; Kühn et al., 2024)","noteIndex":0},"citationItems":[{"id":5633,"uris":["http://zotero.org/users/8421274/items/NIF7PTLP"],"itemData":{"id":5633,"type":"article-journal","abstract":"Aquaculture and fisheries sectors are finding ingenious ways to grow and meet the soaring human demand for nutrient-rich fish and seafood by efficiently utilizing the vast water resources and biodiversity of aquatic life on earth. This includes the progressive integration of information technology, data science and artificial intel-ligence with fishing and fish farming methods to enable intensification of aquaculture production, sustainable exploitation of natural fishery resources and mechanization-automation of allied activities. Exclusive data min-ing and machine learning systems are being developed to process complex datasets and perform intelligent tasks like analysing cause-effect associations, forecasting problems and providing smart-precision solutions for farming and catching fish. Considering the intensifying research and growing interest of stakeholders, in this review, we have consolidated basic information on the various practical applications of data mining and machine learning in aquaculture and fisheries domains from representative selection of scientific literature. This includes an overview of research and applications in (1) aquaculture activities such as monitoring and control of the production en-vironment, optimization of feed use, fish biomass monitoring and disease prevention; (2) fisheries management aspects such as resource assessment, fishing, catch monitoring and regulation; (3) environment monitoring related to hydrology, primary production and aquatic pollution; (4) automation of fish processing and quality assurance systems; and (5) fish market intelligence, price forecasting and socioeconomics. While aquaculture has been rel-atively faster in integrating data mining and machine learning tools with advanced farming systems, capture fisheries is finding reliable methods to sort the complexities in data collection and processing. Finally, we have pointed out some of the challenges and future perspectives related to large-scale adoption.","container-title":"SMART AGRICULTURAL TECHNOLOGY","DOI":"10.1016/j.atech.2022.100061","ISSN":"2772-3755","journalAbbreviation":"Smart Agric. Technol.","language":"English","note":"number-of-pages: 15\npublisher-place: Amsterdam\npublisher: Elsevier\nWeb of Science ID: WOS:001134374800002","page":"100061","source":"Clarivate Analytics Web of Science","title":"Applications of data mining and machine learning framework in aquaculture and fisheries: A review","title-short":"Applications of data mining and machine learning framework in aquaculture and fisheries","volume":"2","author":[{"family":"Gladju","given":"J."},{"family":"Kamalam","given":"Biju Sam"},{"family":"Kanagaraj","given":"A."}],"issued":{"date-parts":[["2022",12]]}}},{"id":4756,"uris":["http://zotero.org/users/8421274/items/FPURRU5M"],"itemData":{"id":4756,"type":"article-journal","abstract":"Fisheries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526D9D">
        <w:rPr>
          <w:rFonts w:ascii="Garamond" w:hAnsi="Garamond"/>
          <w:sz w:val="22"/>
          <w:szCs w:val="22"/>
        </w:rPr>
        <w:fldChar w:fldCharType="separate"/>
      </w:r>
      <w:r w:rsidR="004139BE" w:rsidRPr="004139BE">
        <w:rPr>
          <w:rFonts w:ascii="Garamond" w:hAnsi="Garamond" w:cs="Times New Roman"/>
          <w:kern w:val="0"/>
          <w:sz w:val="22"/>
        </w:rPr>
        <w:t>(</w:t>
      </w:r>
      <w:proofErr w:type="spellStart"/>
      <w:r w:rsidR="004139BE" w:rsidRPr="004139BE">
        <w:rPr>
          <w:rFonts w:ascii="Garamond" w:hAnsi="Garamond" w:cs="Times New Roman"/>
          <w:kern w:val="0"/>
          <w:sz w:val="22"/>
        </w:rPr>
        <w:t>Gladju</w:t>
      </w:r>
      <w:proofErr w:type="spellEnd"/>
      <w:r w:rsidR="004139BE" w:rsidRPr="004139BE">
        <w:rPr>
          <w:rFonts w:ascii="Garamond" w:hAnsi="Garamond" w:cs="Times New Roman"/>
          <w:kern w:val="0"/>
          <w:sz w:val="22"/>
        </w:rPr>
        <w:t xml:space="preserve"> et al., 2022; Kühn et al., 2024)</w:t>
      </w:r>
      <w:r w:rsidR="00526D9D">
        <w:rPr>
          <w:rFonts w:ascii="Garamond" w:hAnsi="Garamond"/>
          <w:sz w:val="22"/>
          <w:szCs w:val="22"/>
        </w:rPr>
        <w:fldChar w:fldCharType="end"/>
      </w:r>
      <w:r w:rsidR="004139BE">
        <w:rPr>
          <w:rFonts w:ascii="Garamond" w:hAnsi="Garamond"/>
          <w:sz w:val="22"/>
          <w:szCs w:val="22"/>
        </w:rPr>
        <w:fldChar w:fldCharType="begin"/>
      </w:r>
      <w:r w:rsidR="004139BE">
        <w:rPr>
          <w:rFonts w:ascii="Garamond" w:hAnsi="Garamond"/>
          <w:sz w:val="22"/>
          <w:szCs w:val="22"/>
        </w:rPr>
        <w:instrText xml:space="preserve"> ADDIN ZOTERO_ITEM CSL_CITATION {"citationID":"i0m2U680","properties":{"formattedCitation":"(K\\uc0\\u252{}hn et al., 2024)","plainCitation":"(Kühn et al., 2024)","noteIndex":0},"citationItems":[{"id":4756,"uris":["http://zotero.org/users/8421274/items/FPURRU5M"],"itemData":{"id":4756,"type":"article-journal","abstract":"Fisheries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4139BE">
        <w:rPr>
          <w:rFonts w:ascii="Garamond" w:hAnsi="Garamond"/>
          <w:sz w:val="22"/>
          <w:szCs w:val="22"/>
        </w:rPr>
        <w:fldChar w:fldCharType="separate"/>
      </w:r>
      <w:r w:rsidR="004139BE">
        <w:rPr>
          <w:rFonts w:ascii="Garamond" w:hAnsi="Garamond"/>
          <w:sz w:val="22"/>
          <w:szCs w:val="22"/>
        </w:rPr>
        <w:fldChar w:fldCharType="end"/>
      </w:r>
      <w:r w:rsidR="004139BE">
        <w:rPr>
          <w:rFonts w:ascii="Garamond" w:hAnsi="Garamond"/>
          <w:sz w:val="22"/>
          <w:szCs w:val="22"/>
        </w:rPr>
        <w:t>.</w:t>
      </w:r>
      <w:r w:rsidR="00443445">
        <w:rPr>
          <w:rFonts w:ascii="Garamond" w:hAnsi="Garamond"/>
          <w:sz w:val="22"/>
          <w:szCs w:val="22"/>
        </w:rPr>
        <w:t xml:space="preserve">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w:t>
      </w:r>
      <w:r w:rsidR="00E73D9A">
        <w:rPr>
          <w:rFonts w:ascii="Garamond" w:hAnsi="Garamond"/>
          <w:sz w:val="22"/>
          <w:szCs w:val="22"/>
        </w:rPr>
        <w:t>is</w:t>
      </w:r>
      <w:r w:rsidR="004139BE">
        <w:rPr>
          <w:rFonts w:ascii="Garamond" w:hAnsi="Garamond"/>
          <w:sz w:val="22"/>
          <w:szCs w:val="22"/>
        </w:rPr>
        <w:t xml:space="preserve"> empower</w:t>
      </w:r>
      <w:r w:rsidR="00E73D9A">
        <w:rPr>
          <w:rFonts w:ascii="Garamond" w:hAnsi="Garamond"/>
          <w:sz w:val="22"/>
          <w:szCs w:val="22"/>
        </w:rPr>
        <w:t>ing</w:t>
      </w:r>
      <w:r w:rsidR="004139BE">
        <w:rPr>
          <w:rFonts w:ascii="Garamond" w:hAnsi="Garamond"/>
          <w:sz w:val="22"/>
          <w:szCs w:val="22"/>
        </w:rPr>
        <w:t xml:space="preserve"> </w:t>
      </w:r>
      <w:r w:rsidR="00813C70" w:rsidRPr="009157FF">
        <w:rPr>
          <w:rFonts w:ascii="Garamond" w:hAnsi="Garamond"/>
          <w:sz w:val="22"/>
          <w:szCs w:val="22"/>
        </w:rPr>
        <w:t xml:space="preserve">researchers to pursue novel approaches </w:t>
      </w:r>
      <w:r w:rsidR="004139BE">
        <w:rPr>
          <w:rFonts w:ascii="Garamond" w:hAnsi="Garamond"/>
          <w:sz w:val="22"/>
          <w:szCs w:val="22"/>
        </w:rPr>
        <w:t xml:space="preserve">and accelerate efforts to address urgent challenges in </w:t>
      </w:r>
      <w:r w:rsidR="00813C70" w:rsidRPr="009157FF">
        <w:rPr>
          <w:rFonts w:ascii="Garamond" w:hAnsi="Garamond"/>
          <w:sz w:val="22"/>
          <w:szCs w:val="22"/>
        </w:rPr>
        <w:t>fisheries sciences.</w:t>
      </w:r>
    </w:p>
    <w:p w14:paraId="0E1F1ABB" w14:textId="471E167D" w:rsidR="0031165E" w:rsidRDefault="004139BE" w:rsidP="00F864E5">
      <w:pPr>
        <w:spacing w:line="480" w:lineRule="auto"/>
        <w:ind w:firstLine="720"/>
        <w:rPr>
          <w:rFonts w:ascii="Garamond" w:hAnsi="Garamond"/>
          <w:sz w:val="22"/>
          <w:szCs w:val="22"/>
        </w:rPr>
      </w:pPr>
      <w:r>
        <w:rPr>
          <w:rFonts w:ascii="Garamond" w:hAnsi="Garamond"/>
          <w:sz w:val="22"/>
          <w:szCs w:val="22"/>
        </w:rPr>
        <w:t xml:space="preserve">One ongoing fisheries research challenge is the need to understand the cause and impact of recent stock collapses of </w:t>
      </w:r>
      <w:r w:rsidR="00E73D9A">
        <w:rPr>
          <w:rFonts w:ascii="Garamond" w:hAnsi="Garamond"/>
          <w:sz w:val="22"/>
          <w:szCs w:val="22"/>
        </w:rPr>
        <w:t>Chinook</w:t>
      </w:r>
      <w:r>
        <w:rPr>
          <w:rFonts w:ascii="Garamond" w:hAnsi="Garamond"/>
          <w:sz w:val="22"/>
          <w:szCs w:val="22"/>
        </w:rPr>
        <w:t xml:space="preserve"> </w:t>
      </w:r>
      <w:r w:rsidR="0031165E">
        <w:rPr>
          <w:rFonts w:ascii="Garamond" w:hAnsi="Garamond"/>
          <w:sz w:val="22"/>
          <w:szCs w:val="22"/>
        </w:rPr>
        <w:t>s</w:t>
      </w:r>
      <w:r>
        <w:rPr>
          <w:rFonts w:ascii="Garamond" w:hAnsi="Garamond"/>
          <w:sz w:val="22"/>
          <w:szCs w:val="22"/>
        </w:rPr>
        <w:t>almon</w:t>
      </w:r>
      <w:r w:rsidR="00E73D9A">
        <w:rPr>
          <w:rFonts w:ascii="Garamond" w:hAnsi="Garamond"/>
          <w:sz w:val="22"/>
          <w:szCs w:val="22"/>
        </w:rPr>
        <w:t xml:space="preserve"> (</w:t>
      </w:r>
      <w:r w:rsidR="00E73D9A" w:rsidRPr="00F864E5">
        <w:rPr>
          <w:rFonts w:ascii="Garamond" w:hAnsi="Garamond"/>
          <w:i/>
          <w:iCs/>
          <w:sz w:val="22"/>
          <w:szCs w:val="22"/>
        </w:rPr>
        <w:t>Oncorhynchus tshawytscha</w:t>
      </w:r>
      <w:r w:rsidR="00E73D9A">
        <w:rPr>
          <w:rFonts w:ascii="Garamond" w:hAnsi="Garamond"/>
          <w:i/>
          <w:iCs/>
          <w:sz w:val="22"/>
          <w:szCs w:val="22"/>
        </w:rPr>
        <w:t>)</w:t>
      </w:r>
      <w:r>
        <w:rPr>
          <w:rFonts w:ascii="Garamond" w:hAnsi="Garamond"/>
          <w:sz w:val="22"/>
          <w:szCs w:val="22"/>
        </w:rPr>
        <w:t xml:space="preserve"> in western Alaska</w:t>
      </w:r>
      <w:r w:rsidR="002F5E0E">
        <w:rPr>
          <w:rFonts w:ascii="Garamond" w:hAnsi="Garamond"/>
          <w:sz w:val="22"/>
          <w:szCs w:val="22"/>
        </w:rPr>
        <w:t xml:space="preserve"> </w:t>
      </w:r>
      <w:r w:rsidR="002F5E0E">
        <w:rPr>
          <w:rFonts w:ascii="Garamond" w:hAnsi="Garamond"/>
          <w:sz w:val="22"/>
          <w:szCs w:val="22"/>
        </w:rPr>
        <w:fldChar w:fldCharType="begin"/>
      </w:r>
      <w:r w:rsidR="00F864E5">
        <w:rPr>
          <w:rFonts w:ascii="Garamond" w:hAnsi="Garamond"/>
          <w:sz w:val="22"/>
          <w:szCs w:val="22"/>
        </w:rPr>
        <w:instrText xml:space="preserve"> ADDIN ZOTERO_ITEM CSL_CITATION {"citationID":"lDhcmwYS","properties":{"formattedCitation":"(Feddern et al., 2023; Lamborn et al., 2025; Ohlberger et al., 2018; Schindler et al., 2013)","plainCitation":"(Feddern et al., 2023; Lamborn et al., 2025;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E"},{"family":"Lewis","given":"Bert"}],"issued":{"date-parts":[["2018"]]}}},{"id":5649,"uris":["http://zotero.org/users/8421274/items/LYMQJ7VS"],"itemData":{"id":5649,"type":"article-journal","language":"en","source":"Zotero","title":"Arctic-Yukon-Kuskokwim Sustainable Salmon Initiative Arctic-Yukon-Kuskokwim Chinook Salmon Research Action Plan: Evidence of Decline of Chinook Salmon Populations and Recommendations for Future Research. Prepared for the AYK Sustainable Salmon Initiative (Anchorage, AK). v + 70 pp","author":[{"family":"Schindler","given":"D"},{"family":"Krueger","given":"C"},{"family":"Bisson","given":"P"},{"family":"Bradford","given":"M"},{"family":"Clark","given":"B"},{"family":"Conitz","given":"J"},{"family":"Howard","given":"K"},{"family":"Jones","given":"M"},{"family":"Murphy","given":"J"},{"family":"Myers","given":"K"},{"family":"Scheuerell","given":"M"},{"family":"Volk","given":"E"},{"family":"Winton","given":"J"}],"issued":{"date-parts":[["2013",8]]}}}],"schema":"https://github.com/citation-style-language/schema/raw/master/csl-citation.json"} </w:instrText>
      </w:r>
      <w:r w:rsidR="002F5E0E">
        <w:rPr>
          <w:rFonts w:ascii="Garamond" w:hAnsi="Garamond"/>
          <w:sz w:val="22"/>
          <w:szCs w:val="22"/>
        </w:rPr>
        <w:fldChar w:fldCharType="separate"/>
      </w:r>
      <w:r w:rsidR="00F864E5">
        <w:rPr>
          <w:rFonts w:ascii="Garamond" w:hAnsi="Garamond"/>
          <w:noProof/>
          <w:sz w:val="22"/>
          <w:szCs w:val="22"/>
        </w:rPr>
        <w:t>(Feddern et al., 2023; Lamborn et al., 2025; Ohlberger et al., 2018; Schindler et al., 2013)</w:t>
      </w:r>
      <w:r w:rsidR="002F5E0E">
        <w:rPr>
          <w:rFonts w:ascii="Garamond" w:hAnsi="Garamond"/>
          <w:sz w:val="22"/>
          <w:szCs w:val="22"/>
        </w:rPr>
        <w:fldChar w:fldCharType="end"/>
      </w:r>
      <w:r w:rsidR="002F5E0E">
        <w:rPr>
          <w:rFonts w:ascii="Garamond" w:hAnsi="Garamond"/>
          <w:sz w:val="22"/>
          <w:szCs w:val="22"/>
        </w:rPr>
        <w:t xml:space="preserve">. </w:t>
      </w:r>
      <w:r w:rsidR="00F864E5">
        <w:rPr>
          <w:rFonts w:ascii="Garamond" w:hAnsi="Garamond"/>
          <w:sz w:val="22"/>
          <w:szCs w:val="22"/>
        </w:rPr>
        <w:t>S</w:t>
      </w:r>
      <w:r w:rsidRPr="004139BE">
        <w:rPr>
          <w:rFonts w:ascii="Garamond" w:hAnsi="Garamond"/>
          <w:sz w:val="22"/>
          <w:szCs w:val="22"/>
        </w:rPr>
        <w:t>almon</w:t>
      </w:r>
      <w:r w:rsidR="00F864E5">
        <w:rPr>
          <w:rFonts w:ascii="Garamond" w:hAnsi="Garamond"/>
          <w:sz w:val="22"/>
          <w:szCs w:val="22"/>
        </w:rPr>
        <w:t xml:space="preserve"> in this region</w:t>
      </w:r>
      <w:r w:rsidRPr="004139BE">
        <w:rPr>
          <w:rFonts w:ascii="Garamond" w:hAnsi="Garamond"/>
          <w:sz w:val="22"/>
          <w:szCs w:val="22"/>
        </w:rPr>
        <w:t xml:space="preserve"> su</w:t>
      </w:r>
      <w:r w:rsidR="002F5E0E">
        <w:rPr>
          <w:rFonts w:ascii="Garamond" w:hAnsi="Garamond"/>
          <w:sz w:val="22"/>
          <w:szCs w:val="22"/>
        </w:rPr>
        <w:t>pport</w:t>
      </w:r>
      <w:r w:rsidRPr="004139BE">
        <w:rPr>
          <w:rFonts w:ascii="Garamond" w:hAnsi="Garamond"/>
          <w:sz w:val="22"/>
          <w:szCs w:val="22"/>
        </w:rPr>
        <w:t xml:space="preserve"> lucrative commercial fisher</w:t>
      </w:r>
      <w:r w:rsidR="00E73D9A">
        <w:rPr>
          <w:rFonts w:ascii="Garamond" w:hAnsi="Garamond"/>
          <w:sz w:val="22"/>
          <w:szCs w:val="22"/>
        </w:rPr>
        <w:t>ies</w:t>
      </w:r>
      <w:r w:rsidRPr="004139BE">
        <w:rPr>
          <w:rFonts w:ascii="Garamond" w:hAnsi="Garamond"/>
          <w:sz w:val="22"/>
          <w:szCs w:val="22"/>
        </w:rPr>
        <w:t xml:space="preserve"> and provide subsistence harvests and cultural value for dozens of </w:t>
      </w:r>
      <w:r w:rsidR="002F5E0E">
        <w:rPr>
          <w:rFonts w:ascii="Garamond" w:hAnsi="Garamond"/>
          <w:sz w:val="22"/>
          <w:szCs w:val="22"/>
        </w:rPr>
        <w:t>i</w:t>
      </w:r>
      <w:r w:rsidRPr="004139BE">
        <w:rPr>
          <w:rFonts w:ascii="Garamond" w:hAnsi="Garamond"/>
          <w:sz w:val="22"/>
          <w:szCs w:val="22"/>
        </w:rPr>
        <w:t>ndigenous communities</w:t>
      </w:r>
      <w:r w:rsidR="002F5E0E">
        <w:rPr>
          <w:rFonts w:ascii="Garamond" w:hAnsi="Garamond"/>
          <w:sz w:val="22"/>
          <w:szCs w:val="22"/>
        </w:rPr>
        <w:t xml:space="preserve"> </w:t>
      </w:r>
      <w:r w:rsidR="002F5E0E">
        <w:rPr>
          <w:rFonts w:ascii="Garamond" w:hAnsi="Garamond"/>
          <w:sz w:val="22"/>
          <w:szCs w:val="22"/>
        </w:rPr>
        <w:fldChar w:fldCharType="begin"/>
      </w:r>
      <w:r w:rsidR="00525222">
        <w:rPr>
          <w:rFonts w:ascii="Garamond" w:hAnsi="Garamond"/>
          <w:sz w:val="22"/>
          <w:szCs w:val="22"/>
        </w:rPr>
        <w:instrText xml:space="preserve"> ADDIN ZOTERO_ITEM CSL_CITATION {"citationID":"WNxsp5Xb","properties":{"formattedCitation":"(Esquible, 2024; Moncrieff, 2017)","plainCitation":"(Esquible, 2024; Moncrieff, 2017)","noteIndex":0},"citationItems":[{"id":5642,"uris":["http://zotero.org/users/8421274/items/IM4GUPIR"],"itemData":{"id":5642,"type":"thesis","abstract":"This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id":4522,"uris":["http://zotero.org/users/8421274/items/XNEKH7SB"],"itemData":{"id":4522,"type":"report","publisher":"Yukon River Drainage Fisheries Association. Anchorage, Alaska","title":"How People of the Yukon River Value Salmon: A case study on the lower, middle, and upper portions of the Yukon river. Final report to the North Pacific Research Board project #1413","URL":"https://www.yukonsalmon.org/wp-content/uploads/Value-of-Salmon-Final-Report.pdf","author":[{"family":"Moncrieff","given":"C.F."}],"accessed":{"date-parts":[["2024",9,12]]},"issued":{"date-parts":[["2017",10]]}}}],"schema":"https://github.com/citation-style-language/schema/raw/master/csl-citation.json"} </w:instrText>
      </w:r>
      <w:r w:rsidR="002F5E0E">
        <w:rPr>
          <w:rFonts w:ascii="Garamond" w:hAnsi="Garamond"/>
          <w:sz w:val="22"/>
          <w:szCs w:val="22"/>
        </w:rPr>
        <w:fldChar w:fldCharType="separate"/>
      </w:r>
      <w:r w:rsidR="00525222">
        <w:rPr>
          <w:rFonts w:ascii="Garamond" w:hAnsi="Garamond"/>
          <w:noProof/>
          <w:sz w:val="22"/>
          <w:szCs w:val="22"/>
        </w:rPr>
        <w:t>(Esquible, 2024; Moncrieff, 2017)</w:t>
      </w:r>
      <w:r w:rsidR="002F5E0E">
        <w:rPr>
          <w:rFonts w:ascii="Garamond" w:hAnsi="Garamond"/>
          <w:sz w:val="22"/>
          <w:szCs w:val="22"/>
        </w:rPr>
        <w:fldChar w:fldCharType="end"/>
      </w:r>
      <w:r w:rsidR="00525222">
        <w:rPr>
          <w:rFonts w:ascii="Garamond" w:hAnsi="Garamond"/>
          <w:sz w:val="22"/>
          <w:szCs w:val="22"/>
        </w:rPr>
        <w:t xml:space="preserve">. </w:t>
      </w:r>
      <w:r w:rsidR="00F864E5" w:rsidRPr="00F864E5">
        <w:rPr>
          <w:rFonts w:ascii="Garamond" w:hAnsi="Garamond"/>
          <w:sz w:val="22"/>
          <w:szCs w:val="22"/>
        </w:rPr>
        <w:t>However, r</w:t>
      </w:r>
      <w:r w:rsidR="00215662" w:rsidRPr="00F864E5">
        <w:rPr>
          <w:rFonts w:ascii="Garamond" w:hAnsi="Garamond"/>
          <w:sz w:val="22"/>
          <w:szCs w:val="22"/>
        </w:rPr>
        <w:t>ecent declines</w:t>
      </w:r>
      <w:r w:rsidR="00F864E5" w:rsidRPr="00F864E5">
        <w:rPr>
          <w:rFonts w:ascii="Garamond" w:hAnsi="Garamond"/>
          <w:sz w:val="22"/>
          <w:szCs w:val="22"/>
        </w:rPr>
        <w:t xml:space="preserve"> </w:t>
      </w:r>
      <w:r w:rsidR="00E73D9A">
        <w:rPr>
          <w:rFonts w:ascii="Garamond" w:hAnsi="Garamond"/>
          <w:sz w:val="22"/>
          <w:szCs w:val="22"/>
        </w:rPr>
        <w:t xml:space="preserve">in Chinook salmon to the three major watersheds in the region (the Yukon, Kuskokwim, and </w:t>
      </w:r>
      <w:proofErr w:type="spellStart"/>
      <w:r w:rsidR="00E73D9A">
        <w:rPr>
          <w:rFonts w:ascii="Garamond" w:hAnsi="Garamond"/>
          <w:sz w:val="22"/>
          <w:szCs w:val="22"/>
        </w:rPr>
        <w:t>Nushagak</w:t>
      </w:r>
      <w:proofErr w:type="spellEnd"/>
      <w:r w:rsidR="00E73D9A">
        <w:rPr>
          <w:rFonts w:ascii="Garamond" w:hAnsi="Garamond"/>
          <w:sz w:val="22"/>
          <w:szCs w:val="22"/>
        </w:rPr>
        <w:t xml:space="preserve"> river-basins) </w:t>
      </w:r>
      <w:r w:rsidR="00215662" w:rsidRPr="00F864E5">
        <w:rPr>
          <w:rFonts w:ascii="Garamond" w:hAnsi="Garamond"/>
          <w:sz w:val="22"/>
          <w:szCs w:val="22"/>
        </w:rPr>
        <w:t xml:space="preserve">have </w:t>
      </w:r>
      <w:r w:rsidR="00F864E5">
        <w:rPr>
          <w:rFonts w:ascii="Garamond" w:hAnsi="Garamond"/>
          <w:sz w:val="22"/>
          <w:szCs w:val="22"/>
        </w:rPr>
        <w:t xml:space="preserve">led to a </w:t>
      </w:r>
      <w:r w:rsidR="00215662" w:rsidRPr="00F864E5">
        <w:rPr>
          <w:rFonts w:ascii="Garamond" w:hAnsi="Garamond"/>
          <w:sz w:val="22"/>
          <w:szCs w:val="22"/>
        </w:rPr>
        <w:t>region-wide crisis</w:t>
      </w:r>
      <w:r w:rsidR="002F5E0E" w:rsidRPr="00F864E5">
        <w:rPr>
          <w:rFonts w:ascii="Garamond" w:hAnsi="Garamond"/>
          <w:sz w:val="22"/>
          <w:szCs w:val="22"/>
        </w:rPr>
        <w:t xml:space="preserve"> of economic uncertainty</w:t>
      </w:r>
      <w:r w:rsidR="00215662" w:rsidRPr="00F864E5">
        <w:rPr>
          <w:rFonts w:ascii="Garamond" w:hAnsi="Garamond"/>
          <w:sz w:val="22"/>
          <w:szCs w:val="22"/>
        </w:rPr>
        <w:t>,</w:t>
      </w:r>
      <w:r w:rsidR="002F5E0E" w:rsidRPr="00F864E5">
        <w:rPr>
          <w:rFonts w:ascii="Garamond" w:hAnsi="Garamond"/>
          <w:sz w:val="22"/>
          <w:szCs w:val="22"/>
        </w:rPr>
        <w:t xml:space="preserve"> </w:t>
      </w:r>
      <w:r w:rsidR="00215662" w:rsidRPr="00F864E5">
        <w:rPr>
          <w:rFonts w:ascii="Garamond" w:hAnsi="Garamond"/>
          <w:sz w:val="22"/>
          <w:szCs w:val="22"/>
        </w:rPr>
        <w:t>food insecurity, and a loss of an important cultural resource</w:t>
      </w:r>
      <w:r w:rsidR="00525222" w:rsidRPr="00F864E5">
        <w:rPr>
          <w:rFonts w:ascii="Garamond" w:hAnsi="Garamond"/>
          <w:sz w:val="22"/>
          <w:szCs w:val="22"/>
        </w:rPr>
        <w:t xml:space="preserve"> </w:t>
      </w:r>
      <w:r w:rsidR="00525222" w:rsidRPr="00F864E5">
        <w:rPr>
          <w:rFonts w:ascii="Garamond" w:hAnsi="Garamond"/>
          <w:sz w:val="22"/>
          <w:szCs w:val="22"/>
        </w:rPr>
        <w:fldChar w:fldCharType="begin"/>
      </w:r>
      <w:r w:rsidR="00525222" w:rsidRPr="00F864E5">
        <w:rPr>
          <w:rFonts w:ascii="Garamond" w:hAnsi="Garamond"/>
          <w:sz w:val="22"/>
          <w:szCs w:val="22"/>
        </w:rPr>
        <w:instrText xml:space="preserve"> ADDIN ZOTERO_ITEM CSL_CITATION {"citationID":"CRrkE0aE","properties":{"formattedCitation":"(Brown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25222" w:rsidRPr="00F864E5">
        <w:rPr>
          <w:rFonts w:ascii="Garamond" w:hAnsi="Garamond"/>
          <w:sz w:val="22"/>
          <w:szCs w:val="22"/>
        </w:rPr>
        <w:fldChar w:fldCharType="separate"/>
      </w:r>
      <w:r w:rsidR="00525222" w:rsidRPr="00F864E5">
        <w:rPr>
          <w:rFonts w:ascii="Garamond" w:hAnsi="Garamond"/>
          <w:noProof/>
          <w:sz w:val="22"/>
          <w:szCs w:val="22"/>
        </w:rPr>
        <w:t>(Brown &amp; Godduhn, 2015)</w:t>
      </w:r>
      <w:r w:rsidR="00525222" w:rsidRPr="00F864E5">
        <w:rPr>
          <w:rFonts w:ascii="Garamond" w:hAnsi="Garamond"/>
          <w:sz w:val="22"/>
          <w:szCs w:val="22"/>
        </w:rPr>
        <w:fldChar w:fldCharType="end"/>
      </w:r>
      <w:r w:rsidR="00F864E5">
        <w:rPr>
          <w:rFonts w:ascii="Garamond" w:hAnsi="Garamond"/>
          <w:sz w:val="22"/>
          <w:szCs w:val="22"/>
        </w:rPr>
        <w:t xml:space="preserve">. </w:t>
      </w:r>
      <w:r w:rsidR="00302CA2" w:rsidRPr="00302CA2">
        <w:rPr>
          <w:rFonts w:ascii="Garamond" w:hAnsi="Garamond"/>
          <w:sz w:val="22"/>
          <w:szCs w:val="22"/>
        </w:rPr>
        <w:t xml:space="preserve">As a </w:t>
      </w:r>
      <w:proofErr w:type="gramStart"/>
      <w:r w:rsidR="00302CA2" w:rsidRPr="00302CA2">
        <w:rPr>
          <w:rFonts w:ascii="Garamond" w:hAnsi="Garamond"/>
          <w:sz w:val="22"/>
          <w:szCs w:val="22"/>
        </w:rPr>
        <w:t>result</w:t>
      </w:r>
      <w:proofErr w:type="gramEnd"/>
      <w:r w:rsidR="00E73D9A">
        <w:rPr>
          <w:rFonts w:ascii="Garamond" w:hAnsi="Garamond"/>
          <w:sz w:val="22"/>
          <w:szCs w:val="22"/>
        </w:rPr>
        <w:t xml:space="preserve"> </w:t>
      </w:r>
      <w:r w:rsidR="00302CA2" w:rsidRPr="00302CA2">
        <w:rPr>
          <w:rFonts w:ascii="Garamond" w:hAnsi="Garamond"/>
          <w:sz w:val="22"/>
          <w:szCs w:val="22"/>
        </w:rPr>
        <w:t xml:space="preserve">there is an urgent need to explore hypotheses related to the stock collapse </w:t>
      </w:r>
      <w:r w:rsidR="00F864E5">
        <w:rPr>
          <w:rFonts w:ascii="Garamond" w:hAnsi="Garamond"/>
          <w:sz w:val="22"/>
          <w:szCs w:val="22"/>
        </w:rPr>
        <w:t xml:space="preserve">and </w:t>
      </w:r>
      <w:r w:rsidR="00302CA2" w:rsidRPr="00302CA2">
        <w:rPr>
          <w:rFonts w:ascii="Garamond" w:hAnsi="Garamond"/>
          <w:sz w:val="22"/>
          <w:szCs w:val="22"/>
        </w:rPr>
        <w:t>assess the spatial distribution of impacts across the region.</w:t>
      </w:r>
    </w:p>
    <w:p w14:paraId="368E1CAE" w14:textId="77777777" w:rsidR="00511B5E" w:rsidRDefault="00E73D9A" w:rsidP="00511B5E">
      <w:pPr>
        <w:spacing w:line="480" w:lineRule="auto"/>
        <w:ind w:firstLine="720"/>
        <w:rPr>
          <w:rFonts w:ascii="Garamond" w:hAnsi="Garamond"/>
          <w:sz w:val="22"/>
          <w:szCs w:val="22"/>
        </w:rPr>
      </w:pPr>
      <w:r w:rsidRPr="00E73D9A">
        <w:rPr>
          <w:rFonts w:ascii="Garamond" w:hAnsi="Garamond"/>
          <w:sz w:val="22"/>
          <w:szCs w:val="22"/>
        </w:rPr>
        <w:t xml:space="preserve">Several plausible explanations have been advanced for the decline in overall population health, with many leading hypotheses focusing on drivers of marine mortality </w:t>
      </w:r>
      <w:r w:rsidR="00096BA7" w:rsidRPr="00E73D9A">
        <w:rPr>
          <w:rFonts w:ascii="Garamond" w:hAnsi="Garamond"/>
          <w:sz w:val="22"/>
          <w:szCs w:val="22"/>
        </w:rPr>
        <w:fldChar w:fldCharType="begin"/>
      </w:r>
      <w:r w:rsidR="00096BA7" w:rsidRPr="00E73D9A">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00096BA7" w:rsidRPr="00E73D9A">
        <w:rPr>
          <w:rFonts w:ascii="Garamond" w:hAnsi="Garamond"/>
          <w:sz w:val="22"/>
          <w:szCs w:val="22"/>
        </w:rPr>
        <w:fldChar w:fldCharType="separate"/>
      </w:r>
      <w:r w:rsidR="00096BA7" w:rsidRPr="00E73D9A">
        <w:rPr>
          <w:rFonts w:ascii="Garamond" w:hAnsi="Garamond"/>
          <w:noProof/>
          <w:sz w:val="22"/>
          <w:szCs w:val="22"/>
        </w:rPr>
        <w:t>(Lamborn et al., 2025)</w:t>
      </w:r>
      <w:r w:rsidR="00096BA7" w:rsidRPr="00E73D9A">
        <w:rPr>
          <w:rFonts w:ascii="Garamond" w:hAnsi="Garamond"/>
          <w:sz w:val="22"/>
          <w:szCs w:val="22"/>
        </w:rPr>
        <w:fldChar w:fldCharType="end"/>
      </w:r>
      <w:r w:rsidR="00096BA7" w:rsidRPr="00E73D9A">
        <w:rPr>
          <w:rFonts w:ascii="Garamond" w:hAnsi="Garamond"/>
          <w:sz w:val="22"/>
          <w:szCs w:val="22"/>
        </w:rPr>
        <w:t>.</w:t>
      </w:r>
      <w:r w:rsidR="00096BA7">
        <w:rPr>
          <w:rFonts w:ascii="Garamond" w:hAnsi="Garamond"/>
          <w:sz w:val="22"/>
          <w:szCs w:val="22"/>
        </w:rPr>
        <w:t xml:space="preserve"> </w:t>
      </w:r>
      <w:r w:rsidRPr="00E73D9A">
        <w:rPr>
          <w:rFonts w:ascii="Garamond" w:hAnsi="Garamond"/>
          <w:sz w:val="22"/>
          <w:szCs w:val="22"/>
        </w:rPr>
        <w:t>Assessment of these hypotheses in relation to river- or stock-specific population health has been hindered by the limited ability to determine the provenance of marine-caught fish at fine spatial scales</w:t>
      </w:r>
      <w:r w:rsidR="0031165E" w:rsidRPr="00E73D9A">
        <w:rPr>
          <w:rFonts w:ascii="Garamond" w:hAnsi="Garamond"/>
          <w:sz w:val="22"/>
          <w:szCs w:val="22"/>
        </w:rPr>
        <w:t xml:space="preserve">. </w:t>
      </w:r>
      <w:r>
        <w:rPr>
          <w:rFonts w:ascii="Garamond" w:hAnsi="Garamond"/>
          <w:sz w:val="22"/>
          <w:szCs w:val="22"/>
        </w:rPr>
        <w:t>For</w:t>
      </w:r>
      <w:r w:rsidR="0063065E" w:rsidRPr="0063065E">
        <w:rPr>
          <w:rFonts w:ascii="Garamond" w:hAnsi="Garamond"/>
          <w:sz w:val="22"/>
          <w:szCs w:val="22"/>
        </w:rPr>
        <w:t xml:space="preserve"> Chinook salmon</w:t>
      </w:r>
      <w:r>
        <w:rPr>
          <w:rFonts w:ascii="Garamond" w:hAnsi="Garamond"/>
          <w:sz w:val="22"/>
          <w:szCs w:val="22"/>
        </w:rPr>
        <w:t xml:space="preserve"> in Western Alaska</w:t>
      </w:r>
      <w:r w:rsidR="0063065E" w:rsidRPr="0063065E">
        <w:rPr>
          <w:rFonts w:ascii="Garamond" w:hAnsi="Garamond"/>
          <w:sz w:val="22"/>
          <w:szCs w:val="22"/>
        </w:rPr>
        <w:t xml:space="preserve">, </w:t>
      </w:r>
      <w:r w:rsidR="0063065E" w:rsidRPr="0063065E">
        <w:rPr>
          <w:rFonts w:ascii="Garamond" w:hAnsi="Garamond"/>
          <w:sz w:val="22"/>
          <w:szCs w:val="22"/>
        </w:rPr>
        <w:lastRenderedPageBreak/>
        <w:t>standard</w:t>
      </w:r>
      <w:r>
        <w:rPr>
          <w:rFonts w:ascii="Garamond" w:hAnsi="Garamond"/>
          <w:sz w:val="22"/>
          <w:szCs w:val="22"/>
        </w:rPr>
        <w:t xml:space="preserve"> approaches</w:t>
      </w:r>
      <w:r w:rsidR="0063065E" w:rsidRPr="0063065E">
        <w:rPr>
          <w:rFonts w:ascii="Garamond" w:hAnsi="Garamond"/>
          <w:sz w:val="22"/>
          <w:szCs w:val="22"/>
        </w:rPr>
        <w:t xml:space="preserve"> such as genetic stock identification (GSI) </w:t>
      </w:r>
      <w:r>
        <w:rPr>
          <w:rFonts w:ascii="Garamond" w:hAnsi="Garamond"/>
          <w:sz w:val="22"/>
          <w:szCs w:val="22"/>
        </w:rPr>
        <w:t xml:space="preserve">provide </w:t>
      </w:r>
      <w:r w:rsidR="0063065E" w:rsidRPr="0063065E">
        <w:rPr>
          <w:rFonts w:ascii="Garamond" w:hAnsi="Garamond"/>
          <w:sz w:val="22"/>
          <w:szCs w:val="22"/>
        </w:rPr>
        <w:t>provenance</w:t>
      </w:r>
      <w:r>
        <w:rPr>
          <w:rFonts w:ascii="Garamond" w:hAnsi="Garamond"/>
          <w:sz w:val="22"/>
          <w:szCs w:val="22"/>
        </w:rPr>
        <w:t xml:space="preserve"> estimates</w:t>
      </w:r>
      <w:r w:rsidR="0063065E" w:rsidRPr="0063065E">
        <w:rPr>
          <w:rFonts w:ascii="Garamond" w:hAnsi="Garamond"/>
          <w:sz w:val="22"/>
          <w:szCs w:val="22"/>
        </w:rPr>
        <w:t xml:space="preserve"> at relatively coarse spatial scales (</w:t>
      </w:r>
      <w:r>
        <w:rPr>
          <w:rFonts w:ascii="Garamond" w:hAnsi="Garamond"/>
          <w:sz w:val="22"/>
          <w:szCs w:val="22"/>
        </w:rPr>
        <w:t>e.g.</w:t>
      </w:r>
      <w:r w:rsidR="0063065E" w:rsidRPr="0063065E">
        <w:rPr>
          <w:rFonts w:ascii="Garamond" w:hAnsi="Garamond"/>
          <w:sz w:val="22"/>
          <w:szCs w:val="22"/>
        </w:rPr>
        <w:t>, coastal western Alaska) but cannot</w:t>
      </w:r>
      <w:r>
        <w:rPr>
          <w:rFonts w:ascii="Garamond" w:hAnsi="Garamond"/>
          <w:sz w:val="22"/>
          <w:szCs w:val="22"/>
        </w:rPr>
        <w:t xml:space="preserve"> </w:t>
      </w:r>
      <w:r w:rsidR="0063065E" w:rsidRPr="0063065E">
        <w:rPr>
          <w:rFonts w:ascii="Garamond" w:hAnsi="Garamond"/>
          <w:sz w:val="22"/>
          <w:szCs w:val="22"/>
        </w:rPr>
        <w:t xml:space="preserve">distinguish </w:t>
      </w:r>
      <w:r w:rsidR="00096BA7">
        <w:rPr>
          <w:rFonts w:ascii="Garamond" w:hAnsi="Garamond"/>
          <w:sz w:val="22"/>
          <w:szCs w:val="22"/>
        </w:rPr>
        <w:t xml:space="preserve">among </w:t>
      </w:r>
      <w:r w:rsidR="0063065E" w:rsidRPr="0063065E">
        <w:rPr>
          <w:rFonts w:ascii="Garamond" w:hAnsi="Garamond"/>
          <w:sz w:val="22"/>
          <w:szCs w:val="22"/>
        </w:rPr>
        <w:t>rivers within</w:t>
      </w:r>
      <w:r w:rsidR="00096BA7">
        <w:rPr>
          <w:rFonts w:ascii="Garamond" w:hAnsi="Garamond"/>
          <w:sz w:val="22"/>
          <w:szCs w:val="22"/>
        </w:rPr>
        <w:t xml:space="preserve"> </w:t>
      </w:r>
      <w:r w:rsidR="0063065E" w:rsidRPr="0063065E">
        <w:rPr>
          <w:rFonts w:ascii="Garamond" w:hAnsi="Garamond"/>
          <w:sz w:val="22"/>
          <w:szCs w:val="22"/>
        </w:rPr>
        <w:t>current genetic baseline</w:t>
      </w:r>
      <w:r>
        <w:rPr>
          <w:rFonts w:ascii="Garamond" w:hAnsi="Garamond"/>
          <w:sz w:val="22"/>
          <w:szCs w:val="22"/>
        </w:rPr>
        <w:t>s</w:t>
      </w:r>
      <w:r w:rsidR="0099371C">
        <w:rPr>
          <w:rFonts w:ascii="Garamond" w:hAnsi="Garamond"/>
          <w:sz w:val="22"/>
          <w:szCs w:val="22"/>
        </w:rPr>
        <w:t xml:space="preserve">. </w:t>
      </w:r>
    </w:p>
    <w:p w14:paraId="20AAF5DF" w14:textId="736454BF" w:rsidR="00820C00" w:rsidRPr="00511B5E" w:rsidRDefault="00820C00" w:rsidP="00511B5E">
      <w:pPr>
        <w:spacing w:line="480" w:lineRule="auto"/>
        <w:ind w:firstLine="720"/>
      </w:pPr>
      <w:r w:rsidRPr="00820C00">
        <w:rPr>
          <w:rFonts w:ascii="Garamond" w:hAnsi="Garamond"/>
          <w:sz w:val="22"/>
          <w:szCs w:val="22"/>
        </w:rPr>
        <w:t>Isotope-based methods for estimating provenance from ear stones found in fish</w:t>
      </w:r>
      <w:r w:rsidR="0099371C">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sidR="0099371C">
        <w:rPr>
          <w:rFonts w:ascii="Garamond" w:hAnsi="Garamond"/>
          <w:sz w:val="22"/>
          <w:szCs w:val="22"/>
        </w:rPr>
        <w:t xml:space="preserve"> </w:t>
      </w:r>
      <w:r w:rsidR="0099371C">
        <w:rPr>
          <w:rFonts w:ascii="Garamond" w:hAnsi="Garamond"/>
          <w:sz w:val="22"/>
          <w:szCs w:val="22"/>
        </w:rPr>
        <w:fldChar w:fldCharType="begin"/>
      </w:r>
      <w:r w:rsidR="0099371C">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99371C">
        <w:rPr>
          <w:rFonts w:ascii="Garamond" w:hAnsi="Garamond"/>
          <w:sz w:val="22"/>
          <w:szCs w:val="22"/>
        </w:rPr>
        <w:fldChar w:fldCharType="separate"/>
      </w:r>
      <w:r w:rsidR="0099371C">
        <w:rPr>
          <w:rFonts w:ascii="Garamond" w:hAnsi="Garamond"/>
          <w:noProof/>
          <w:sz w:val="22"/>
          <w:szCs w:val="22"/>
        </w:rPr>
        <w:t>(Brennan et al., 2015; Brennan &amp; Schindler, 2017; Kennedy et al., 1997)</w:t>
      </w:r>
      <w:r w:rsidR="0099371C">
        <w:rPr>
          <w:rFonts w:ascii="Garamond" w:hAnsi="Garamond"/>
          <w:sz w:val="22"/>
          <w:szCs w:val="22"/>
        </w:rPr>
        <w:fldChar w:fldCharType="end"/>
      </w:r>
      <w:r w:rsidR="0099371C">
        <w:rPr>
          <w:rFonts w:ascii="Garamond" w:hAnsi="Garamond"/>
          <w:sz w:val="22"/>
          <w:szCs w:val="22"/>
        </w:rPr>
        <w:t xml:space="preserve">. </w:t>
      </w:r>
      <w:r w:rsidRPr="00820C00">
        <w:rPr>
          <w:rFonts w:ascii="Garamond" w:hAnsi="Garamond"/>
          <w:sz w:val="22"/>
          <w:szCs w:val="22"/>
        </w:rPr>
        <w:t xml:space="preserve">The relative ratio of </w:t>
      </w:r>
      <w:r w:rsidR="00511B5E">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(Bataille &amp; Bowen, 2012; Brennan et al., 2015; Campana, 1999; Capo et al., 1998)</w:t>
      </w:r>
      <w:r w:rsidR="00511B5E">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Despite its precision, this method is limited by the level of isotopic heterogeneity relative to the spatial scale of interest</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(Makhlouf et al., 2025)</w:t>
      </w:r>
      <w:r w:rsidR="00511B5E">
        <w:rPr>
          <w:rFonts w:ascii="Garamond" w:hAnsi="Garamond"/>
          <w:sz w:val="22"/>
          <w:szCs w:val="22"/>
        </w:rPr>
        <w:fldChar w:fldCharType="end"/>
      </w:r>
      <w:r w:rsidRPr="00820C00">
        <w:rPr>
          <w:rFonts w:ascii="Garamond" w:hAnsi="Garamond"/>
          <w:sz w:val="22"/>
          <w:szCs w:val="22"/>
        </w:rPr>
        <w:t xml:space="preserve">. </w:t>
      </w:r>
      <w:r w:rsidR="00F52F54" w:rsidRPr="00F52F54">
        <w:rPr>
          <w:rFonts w:ascii="Garamond" w:hAnsi="Garamond"/>
          <w:sz w:val="22"/>
          <w:szCs w:val="22"/>
        </w:rPr>
        <w:t xml:space="preserve">While within-basin provenance is possible in Western Alaskan watersheds, regional overlap among the three major river systems creates high uncertainty, preventing reliable assignments of marine-caught fish when relying on a single natal </w:t>
      </w:r>
      <w:r w:rsidR="00F52F54" w:rsidRPr="00F52F54">
        <w:rPr>
          <w:rFonts w:ascii="Cambria Math" w:hAnsi="Cambria Math" w:cs="Cambria Math"/>
          <w:sz w:val="22"/>
          <w:szCs w:val="22"/>
        </w:rPr>
        <w:t>⁸⁷</w:t>
      </w:r>
      <w:r w:rsidR="00F52F54" w:rsidRPr="00F52F54">
        <w:rPr>
          <w:rFonts w:ascii="Garamond" w:hAnsi="Garamond"/>
          <w:sz w:val="22"/>
          <w:szCs w:val="22"/>
        </w:rPr>
        <w:t>Sr/</w:t>
      </w:r>
      <w:r w:rsidR="00F52F54" w:rsidRPr="00F52F54">
        <w:rPr>
          <w:rFonts w:ascii="Cambria Math" w:hAnsi="Cambria Math" w:cs="Cambria Math"/>
          <w:sz w:val="22"/>
          <w:szCs w:val="22"/>
        </w:rPr>
        <w:t>⁸⁶</w:t>
      </w:r>
      <w:r w:rsidR="00F52F54" w:rsidRPr="00F52F54">
        <w:rPr>
          <w:rFonts w:ascii="Garamond" w:hAnsi="Garamond"/>
          <w:sz w:val="22"/>
          <w:szCs w:val="22"/>
        </w:rPr>
        <w:t>Sr value (Figure 1).</w:t>
      </w:r>
    </w:p>
    <w:p w14:paraId="6B62FC2C" w14:textId="693D73CA"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257118">
        <w:rPr>
          <w:rFonts w:ascii="Cambria Math" w:hAnsi="Cambria Math" w:cs="Cambria Math"/>
          <w:sz w:val="22"/>
          <w:szCs w:val="22"/>
        </w:rPr>
        <w:t>⁸⁷</w:t>
      </w:r>
      <w:r w:rsidRPr="00257118">
        <w:rPr>
          <w:rFonts w:ascii="Garamond" w:hAnsi="Garamond"/>
          <w:sz w:val="22"/>
          <w:szCs w:val="22"/>
        </w:rPr>
        <w:t>Sr/</w:t>
      </w:r>
      <w:r w:rsidRPr="00257118">
        <w:rPr>
          <w:rFonts w:ascii="Cambria Math" w:hAnsi="Cambria Math" w:cs="Cambria Math"/>
          <w:sz w:val="22"/>
          <w:szCs w:val="22"/>
        </w:rPr>
        <w:t>⁸⁶</w:t>
      </w:r>
      <w:r w:rsidRPr="00257118">
        <w:rPr>
          <w:rFonts w:ascii="Garamond" w:hAnsi="Garamond"/>
          <w:sz w:val="22"/>
          <w:szCs w:val="22"/>
        </w:rPr>
        <w:t>Sr</w:t>
      </w:r>
      <w:r w:rsidRPr="00820C00">
        <w:rPr>
          <w:rFonts w:ascii="Garamond" w:hAnsi="Garamond"/>
          <w:sz w:val="22"/>
          <w:szCs w:val="22"/>
        </w:rPr>
        <w:t xml:space="preserve"> values along the growth axis of the otolith represent an integrated time series </w:t>
      </w:r>
      <w:r w:rsidR="00257118">
        <w:rPr>
          <w:rFonts w:ascii="Garamond" w:hAnsi="Garamond"/>
          <w:sz w:val="22"/>
          <w:szCs w:val="22"/>
        </w:rPr>
        <w:t xml:space="preserve">of experienced </w:t>
      </w:r>
      <w:r w:rsidR="00257118" w:rsidRPr="00257118">
        <w:rPr>
          <w:rFonts w:ascii="Cambria Math" w:hAnsi="Cambria Math" w:cs="Cambria Math"/>
          <w:sz w:val="22"/>
          <w:szCs w:val="22"/>
        </w:rPr>
        <w:t>⁸⁷</w:t>
      </w:r>
      <w:r w:rsidR="00257118" w:rsidRPr="00257118">
        <w:rPr>
          <w:rFonts w:ascii="Garamond" w:hAnsi="Garamond"/>
          <w:sz w:val="22"/>
          <w:szCs w:val="22"/>
        </w:rPr>
        <w:t>Sr/</w:t>
      </w:r>
      <w:r w:rsidR="00257118" w:rsidRPr="00257118">
        <w:rPr>
          <w:rFonts w:ascii="Cambria Math" w:hAnsi="Cambria Math" w:cs="Cambria Math"/>
          <w:sz w:val="22"/>
          <w:szCs w:val="22"/>
        </w:rPr>
        <w:t>⁸⁶</w:t>
      </w:r>
      <w:r w:rsidR="00257118" w:rsidRPr="00257118">
        <w:rPr>
          <w:rFonts w:ascii="Garamond" w:hAnsi="Garamond"/>
          <w:sz w:val="22"/>
          <w:szCs w:val="22"/>
        </w:rPr>
        <w:t>Sr</w:t>
      </w:r>
      <w:r w:rsidR="00257118">
        <w:rPr>
          <w:rFonts w:ascii="Garamond" w:hAnsi="Garamond"/>
          <w:sz w:val="22"/>
          <w:szCs w:val="22"/>
        </w:rPr>
        <w:t xml:space="preserve"> values </w:t>
      </w:r>
      <w:r w:rsidRPr="00820C00">
        <w:rPr>
          <w:rFonts w:ascii="Garamond" w:hAnsi="Garamond"/>
          <w:sz w:val="22"/>
          <w:szCs w:val="22"/>
        </w:rPr>
        <w:t>from early development until capture. These data contain information on sequential habitat use, relative growth among habitats, and even the migration history of the mother</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(Hegg et al., 2019; Reis-Santos et al., 2022)</w:t>
      </w:r>
      <w:r w:rsidR="00257118">
        <w:rPr>
          <w:rFonts w:ascii="Garamond" w:hAnsi="Garamond"/>
          <w:sz w:val="22"/>
          <w:szCs w:val="22"/>
        </w:rPr>
        <w:fldChar w:fldCharType="end"/>
      </w:r>
      <w:r w:rsidRPr="00820C00">
        <w:rPr>
          <w:rFonts w:ascii="Garamond" w:hAnsi="Garamond"/>
          <w:sz w:val="22"/>
          <w:szCs w:val="22"/>
        </w:rPr>
        <w:t>. In some cases, these sequential habitat signatures can be used to reconstruct complete life history characteristics</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{"citationID":"0shmwRgQ","properties":{"formattedCitation":"(Starrs et al., 2016; Walther &amp; Limburg, 2012)","plainCitation":"(Starrs et al., 2016; Walther &amp; Limburg, 2012)","noteIndex":0},"citationItems":[{"id":2461,"uris":["http://zotero.org/users/8421274/items/XVDC8YTH"],"itemData":{"id":2461,"type":"article-journal","abstract":"Obtaining biological and spatial information of the early life history (ELH) phases of fishes has been problematic, such that larval and juvenile phases are often referred to as the ‘black box’ of fish population biology and ecology. However, a potent source of life-history data has been mined from the earstones (otoliths) of bony fishes. We systematically reviewed 476 empirical papers published between 2005 and 2012 (inclusive) that used otoliths to examine fish ELH phases, which has been an area of increasing attention over this period. We found that otolith-based research during this period could be split into two broad themes according to whether studies examined: (i) biological objectives related to intrinsic processes such as larval and juvenile age, growth and mortality, and/or (ii) spatial objectives, such as habitat use, dispersal and migration. Surprisingly, just 24 studies (5%) explored a combined biological–spatial objective by simultaneously exploiting biological and spatial information from otoliths, suggesting much more scope for such integrated research objectives to be answered via the use of multiple otolith-based techniques in a single study. Mapping otolith analytical techniques across these two approaches revealed that otolith structural analysis was mainly used to investigate biological processes, while otolith chemical analyses were most often applied to spatial questions. Heavy skew in research effort was apparent across biomes, with most (62%) publications specific to marine species, despite comparable levels of species richness and the importance of freshwater taxa (just 15% of papers). Indeed, around 1% (380 species) of a possible 31400+ extant species were examined in our surveyed papers, with a strong emphasis on temperate marine species of commercial value. Potential model species for otolith-based ELH ecology research are arising, with the eel genus Anguilla (24 studies) and the European anchovy Engraulis encrasicolis (14 studies) attracting more research effort than most other taxa. While there is a preponderance of common techniques (e.g. daily otolith increment counts, increment widths), novel techniques such as transgenerational marking and computed X-ray tomography, are increasingly being applied in published studies. The application of an integrative approach based on a combination of emerging techniques and traditional methods holds promise for major advances in our understanding of ELH fish ecology and to shine light into the ‘black box’ of fish ecology.","container-title":"Biological Reviews","DOI":"10.1111/brv.12162","ISSN":"1469-185X","issue":"1","language":"en","note":"_eprint: https://onlinelibrary.wiley.com/doi/pdf/10.1111/brv.12162","page":"86-105","source":"Wiley Online Library","title":"All in the ears: unlocking the early life history biology and spatial ecology of fishes","title-short":"All in the ears","volume":"91","author":[{"family":"Starrs","given":"Danswell"},{"family":"Ebner","given":"Brendan C."},{"family":"Fulton","given":"Christopher J."}],"issued":{"date-parts":[["2016"]]}}},{"id":3787,"uris":["http://zotero.org/users/8421274/items/PWN2TVFG"],"itemData":{"id":3787,"type":"article-journal","abstract":"Chemical constituents in otoliths have become a valuable tool for fish ecologists seeking to reconstruct migratory patterns and life-history diversity in a wide range of species worldwide. This approach has proved particularly effective with fishes that move across substantial salinity gradients over the course of their life, including many diadromous species. Freshwater endmembers of several elemental and isotope ratios (e.g. Sr:Ca, Ba:Ca and 87Sr:86Sr) are typically identifiably distinct from marine values, and often differ among freshwater tributaries at fine spatial scales. Because these chemical tags are generally incorporated in proportion to their ambient dissolved concentrations, they can be effective proxies for quantifying the presence, duration and frequency of movements between freshwater and marine habitats. The development of high precision probe-based analytical techniques, such as laser ablation inductively coupled plasma mass spectrometry (ICP-MS) and microbeam methods, has allowed researchers to glean increasingly detailed life-history profiles of these proxies across otoliths. Researchers are also combining multiple chemical proxies in an attempt to refine interpretations of habitat residence patterns. A thorough understanding of the spatial and temporal variation in water chemistry as well as environmental and physiological controls on incorporation of specific elements into otoliths is required for confident estimation of lifetime salinity experience. First some assumptions, methodological considerations and data processing options that are particularly relevant to diadromous otolith chemistry studies are discussed. Insights into diadromous migrations obtained from decades of otolith chemistry research, highlighting the increasingly recognized importance of contingent behaviour and partial migration are then discussed. Finally, areas for future research and the need to integrate otolith chemistry studies into comprehensive assessments of the effects of global environmental change are identified.","container-title":"Journal of Fish Biology","DOI":"10.1111/j.1095-8649.2012.03371.x","ISSN":"1095-8649","issue":"2","language":"en","note":"_eprint: https://onlinelibrary.wiley.com/doi/pdf/10.1111/j.1095-8649.2012.03371.x","page":"796-825","source":"Wiley Online Library","title":"The use of otolith chemistry to characterize diadromous migrations","volume":"81","author":[{"family":"Walther","given":"B. D."},{"family":"Limburg","given":"K. E."}],"issued":{"date-parts":[["2012"]]}}}],"schema":"https://github.com/citation-style-language/schema/raw/master/csl-citation.json"}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(Starrs et al., 2016; Walther &amp; Limburg, 2012)</w:t>
      </w:r>
      <w:r w:rsidR="00257118">
        <w:rPr>
          <w:rFonts w:ascii="Garamond" w:hAnsi="Garamond"/>
          <w:sz w:val="22"/>
          <w:szCs w:val="22"/>
        </w:rPr>
        <w:fldChar w:fldCharType="end"/>
      </w:r>
      <w:r w:rsidRPr="00820C00">
        <w:rPr>
          <w:rFonts w:ascii="Garamond" w:hAnsi="Garamond"/>
          <w:sz w:val="22"/>
          <w:szCs w:val="22"/>
        </w:rPr>
        <w:t xml:space="preserve">. </w:t>
      </w:r>
      <w:r w:rsidR="00694712" w:rsidRPr="00694712">
        <w:rPr>
          <w:rFonts w:ascii="Garamond" w:hAnsi="Garamond"/>
          <w:sz w:val="22"/>
          <w:szCs w:val="22"/>
        </w:rPr>
        <w:t>However, d</w:t>
      </w:r>
      <w:r w:rsidR="00694712" w:rsidRPr="00694712">
        <w:rPr>
          <w:rFonts w:ascii="Garamond" w:hAnsi="Garamond"/>
          <w:sz w:val="22"/>
          <w:szCs w:val="22"/>
        </w:rPr>
        <w:t xml:space="preserve">uring rapid movements through multiple environments, as occurs during salmon out-migration, otolith isotope ratios may not fully equilibrate to reflect the water chemistry of each habitat. Consequently, otolith isotope patterns may be difficult to interpret solely by direct comparison to landscape values, even though </w:t>
      </w:r>
      <w:r w:rsidR="00694712" w:rsidRPr="00694712">
        <w:rPr>
          <w:rFonts w:ascii="Garamond" w:hAnsi="Garamond"/>
          <w:sz w:val="22"/>
          <w:szCs w:val="22"/>
        </w:rPr>
        <w:lastRenderedPageBreak/>
        <w:t>they may encode stock- or watershed-specific life history information. The subtlety of these patterns, combined with the large number of possible combinations, makes manual interpretation impractical.</w:t>
      </w:r>
    </w:p>
    <w:p w14:paraId="7E53B155" w14:textId="0B0A223C" w:rsidR="004C0AA3" w:rsidRPr="006D218F" w:rsidRDefault="004C0AA3" w:rsidP="00091070">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w:t>
      </w:r>
      <w:r w:rsidR="00694712">
        <w:rPr>
          <w:rFonts w:ascii="Garamond" w:hAnsi="Garamond"/>
          <w:sz w:val="22"/>
          <w:szCs w:val="22"/>
        </w:rPr>
        <w:t xml:space="preserve">methods, which are </w:t>
      </w:r>
      <w:r w:rsidR="00694712" w:rsidRPr="004C0AA3">
        <w:rPr>
          <w:rFonts w:ascii="Garamond" w:hAnsi="Garamond"/>
          <w:sz w:val="22"/>
          <w:szCs w:val="22"/>
        </w:rPr>
        <w:t>particularly</w:t>
      </w:r>
      <w:r w:rsidRPr="004C0AA3">
        <w:rPr>
          <w:rFonts w:ascii="Garamond" w:hAnsi="Garamond"/>
          <w:sz w:val="22"/>
          <w:szCs w:val="22"/>
        </w:rPr>
        <w:t xml:space="preserve"> well-suited to interpreting complex, multidimensional patterns in datasets</w:t>
      </w:r>
      <w:r w:rsidR="00694712">
        <w:rPr>
          <w:rFonts w:ascii="Garamond" w:hAnsi="Garamond"/>
          <w:sz w:val="22"/>
          <w:szCs w:val="22"/>
        </w:rPr>
        <w:t xml:space="preserve">, have only </w:t>
      </w:r>
      <w:r w:rsidRPr="004C0AA3">
        <w:rPr>
          <w:rFonts w:ascii="Garamond" w:hAnsi="Garamond"/>
          <w:sz w:val="22"/>
          <w:szCs w:val="22"/>
        </w:rPr>
        <w:t>recently been applied to otolith chemical analysis</w:t>
      </w:r>
      <w:r w:rsidR="00694712">
        <w:rPr>
          <w:rFonts w:ascii="Garamond" w:hAnsi="Garamond"/>
          <w:sz w:val="22"/>
          <w:szCs w:val="22"/>
        </w:rPr>
        <w:t xml:space="preserve">. However, their limited applications have </w:t>
      </w:r>
      <w:r w:rsidRPr="004C0AA3">
        <w:rPr>
          <w:rFonts w:ascii="Garamond" w:hAnsi="Garamond"/>
          <w:sz w:val="22"/>
          <w:szCs w:val="22"/>
        </w:rPr>
        <w:t>shown promising performance relative to traditional techniques</w:t>
      </w:r>
      <w:r w:rsidR="00480252">
        <w:rPr>
          <w:rFonts w:ascii="Garamond" w:hAnsi="Garamond"/>
          <w:sz w:val="22"/>
          <w:szCs w:val="22"/>
        </w:rPr>
        <w:t xml:space="preserve"> </w:t>
      </w:r>
      <w:r w:rsidR="00480252">
        <w:rPr>
          <w:rFonts w:ascii="Garamond" w:hAnsi="Garamond"/>
          <w:sz w:val="22"/>
          <w:szCs w:val="22"/>
        </w:rPr>
        <w:fldChar w:fldCharType="begin"/>
      </w:r>
      <w:r w:rsidR="00480252">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480252">
        <w:rPr>
          <w:rFonts w:ascii="Garamond" w:hAnsi="Garamond"/>
          <w:sz w:val="22"/>
          <w:szCs w:val="22"/>
        </w:rPr>
        <w:fldChar w:fldCharType="separate"/>
      </w:r>
      <w:r w:rsidR="00480252">
        <w:rPr>
          <w:rFonts w:ascii="Garamond" w:hAnsi="Garamond"/>
          <w:noProof/>
          <w:sz w:val="22"/>
          <w:szCs w:val="22"/>
        </w:rPr>
        <w:t>(Arai et al., 2023; Mercier et al., 2011)</w:t>
      </w:r>
      <w:r w:rsidR="00480252">
        <w:rPr>
          <w:rFonts w:ascii="Garamond" w:hAnsi="Garamond"/>
          <w:sz w:val="22"/>
          <w:szCs w:val="22"/>
        </w:rPr>
        <w:fldChar w:fldCharType="end"/>
      </w:r>
      <w:r w:rsidR="00480252">
        <w:rPr>
          <w:rFonts w:ascii="Garamond" w:hAnsi="Garamond"/>
          <w:sz w:val="22"/>
          <w:szCs w:val="22"/>
        </w:rPr>
        <w:t xml:space="preserve">. </w:t>
      </w:r>
      <w:r w:rsidR="00CF0435" w:rsidRPr="00CF0435">
        <w:rPr>
          <w:rFonts w:ascii="Garamond" w:hAnsi="Garamond"/>
          <w:sz w:val="22"/>
          <w:szCs w:val="22"/>
        </w:rPr>
        <w:t>At the same time, there is growing recognition that collapsing continuous laser ablation (LA) data into single, discrete values results in the loss of potentially powerful information</w:t>
      </w:r>
      <w:r w:rsidR="00CF0435" w:rsidRPr="00CF0435">
        <w:rPr>
          <w:rFonts w:ascii="Garamond" w:hAnsi="Garamond"/>
          <w:sz w:val="22"/>
          <w:szCs w:val="22"/>
        </w:rPr>
        <w:t xml:space="preserve"> </w:t>
      </w:r>
      <w:r w:rsidR="00CF0435">
        <w:rPr>
          <w:rFonts w:ascii="Garamond" w:hAnsi="Garamond"/>
          <w:sz w:val="22"/>
          <w:szCs w:val="22"/>
        </w:rPr>
        <w:fldChar w:fldCharType="begin"/>
      </w:r>
      <w:r w:rsidR="00CF0435">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CF0435">
        <w:rPr>
          <w:rFonts w:ascii="Garamond" w:hAnsi="Garamond"/>
          <w:sz w:val="22"/>
          <w:szCs w:val="22"/>
        </w:rPr>
        <w:fldChar w:fldCharType="separate"/>
      </w:r>
      <w:r w:rsidR="00CF0435">
        <w:rPr>
          <w:rFonts w:ascii="Garamond" w:hAnsi="Garamond"/>
          <w:noProof/>
          <w:sz w:val="22"/>
          <w:szCs w:val="22"/>
        </w:rPr>
        <w:t>(Hegg &amp; Kennedy, 2021)</w:t>
      </w:r>
      <w:r w:rsidR="00CF0435">
        <w:rPr>
          <w:rFonts w:ascii="Garamond" w:hAnsi="Garamond"/>
          <w:sz w:val="22"/>
          <w:szCs w:val="22"/>
        </w:rPr>
        <w:fldChar w:fldCharType="end"/>
      </w:r>
      <w:r w:rsidR="00CF0435">
        <w:rPr>
          <w:rFonts w:ascii="Garamond" w:hAnsi="Garamond"/>
          <w:sz w:val="22"/>
          <w:szCs w:val="22"/>
        </w:rPr>
        <w:t xml:space="preserve">. </w:t>
      </w:r>
      <w:r w:rsidR="00941848" w:rsidRPr="00941848">
        <w:rPr>
          <w:rFonts w:ascii="Garamond" w:hAnsi="Garamond"/>
          <w:sz w:val="22"/>
          <w:szCs w:val="22"/>
        </w:rPr>
        <w:t xml:space="preserve">Leveraging the statistical power of machine learning on sequentially ordered otolith time-series data may enable the detection of otherwise indiscernible patterns within and across LA datasets, potentially revealing key life history traits and providing </w:t>
      </w:r>
      <w:r w:rsidR="00941848" w:rsidRPr="00941848">
        <w:rPr>
          <w:rFonts w:ascii="Garamond" w:hAnsi="Garamond"/>
          <w:sz w:val="22"/>
          <w:szCs w:val="22"/>
        </w:rPr>
        <w:t xml:space="preserve">novel </w:t>
      </w:r>
      <w:r w:rsidR="00941848" w:rsidRPr="00941848">
        <w:rPr>
          <w:rFonts w:ascii="Garamond" w:hAnsi="Garamond"/>
          <w:sz w:val="22"/>
          <w:szCs w:val="22"/>
        </w:rPr>
        <w:t>insights into ecological processes across space and time.</w:t>
      </w:r>
      <w:r w:rsidR="006D218F">
        <w:t xml:space="preserve"> </w:t>
      </w:r>
      <w:r w:rsidRPr="004C0AA3">
        <w:rPr>
          <w:rFonts w:ascii="Garamond" w:hAnsi="Garamond"/>
          <w:sz w:val="22"/>
          <w:szCs w:val="22"/>
        </w:rPr>
        <w:t>Here, we apply machine learning classification algorithms to otolith LA data from Chinook salmon in Western Alaska.</w:t>
      </w:r>
      <w:r w:rsidR="00F13113">
        <w:rPr>
          <w:rFonts w:ascii="Garamond" w:hAnsi="Garamond"/>
          <w:sz w:val="22"/>
          <w:szCs w:val="22"/>
        </w:rPr>
        <w:t xml:space="preserve"> In doing so, we </w:t>
      </w:r>
      <w:r w:rsidRPr="004C0AA3">
        <w:rPr>
          <w:rFonts w:ascii="Garamond" w:hAnsi="Garamond"/>
          <w:sz w:val="22"/>
          <w:szCs w:val="22"/>
        </w:rPr>
        <w:t xml:space="preserve">: 1) test the potential of machine learning </w:t>
      </w:r>
      <w:r w:rsidR="00091070">
        <w:rPr>
          <w:rFonts w:ascii="Garamond" w:hAnsi="Garamond"/>
          <w:sz w:val="22"/>
          <w:szCs w:val="22"/>
        </w:rPr>
        <w:t xml:space="preserve">methods to uncover watershed specific characteristics to discriminate among watersheds of origin and 2) </w:t>
      </w:r>
      <w:r w:rsidRPr="004C0AA3">
        <w:rPr>
          <w:rFonts w:ascii="Garamond" w:hAnsi="Garamond"/>
          <w:sz w:val="22"/>
          <w:szCs w:val="22"/>
        </w:rPr>
        <w:t>develop a model to reliably estimate river of origin for marine-caught Chinook salmon in western Alaska</w:t>
      </w:r>
      <w:r w:rsidR="00091070">
        <w:rPr>
          <w:rFonts w:ascii="Garamond" w:hAnsi="Garamond"/>
          <w:sz w:val="22"/>
          <w:szCs w:val="22"/>
        </w:rPr>
        <w:t xml:space="preserve">. </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3DC482AA"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 </w:t>
      </w:r>
      <w:proofErr w:type="gramStart"/>
      <w:r w:rsidR="00DF1513" w:rsidRPr="00CE7F91">
        <w:rPr>
          <w:rFonts w:ascii="Garamond" w:hAnsi="Garamond"/>
          <w:sz w:val="22"/>
          <w:szCs w:val="22"/>
        </w:rPr>
        <w:t>NUSHAGAK ]</w:t>
      </w:r>
      <w:proofErr w:type="gramEnd"/>
      <w:r w:rsidR="00DF1513" w:rsidRPr="00CE7F91">
        <w:rPr>
          <w:rFonts w:ascii="Garamond" w:hAnsi="Garamond"/>
          <w:sz w:val="22"/>
          <w:szCs w:val="22"/>
        </w:rPr>
        <w:t xml:space="preserve">. 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xml:space="preserve">, mounted on </w:t>
      </w:r>
      <w:r w:rsidR="0075722E" w:rsidRPr="00CE7F91">
        <w:rPr>
          <w:rFonts w:ascii="Garamond" w:hAnsi="Garamond"/>
          <w:sz w:val="22"/>
          <w:szCs w:val="22"/>
        </w:rPr>
        <w:lastRenderedPageBreak/>
        <w:t>microscope slides, and polished to enhance clarity</w:t>
      </w:r>
      <w:r w:rsidR="00DF1513" w:rsidRPr="00CE7F91">
        <w:rPr>
          <w:rFonts w:ascii="Garamond" w:hAnsi="Garamond"/>
          <w:sz w:val="22"/>
          <w:szCs w:val="22"/>
        </w:rPr>
        <w:t xml:space="preserve">. Otoliths were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 which were processed at the Keck Lab 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The resulting dataset </w:t>
      </w:r>
      <w:proofErr w:type="gramStart"/>
      <w:r w:rsidR="00CE7F91">
        <w:rPr>
          <w:rFonts w:ascii="Garamond" w:hAnsi="Garamond"/>
          <w:sz w:val="22"/>
          <w:szCs w:val="22"/>
        </w:rPr>
        <w:t>include</w:t>
      </w:r>
      <w:proofErr w:type="gramEnd"/>
      <w:r w:rsidR="00CE7F91">
        <w:rPr>
          <w:rFonts w:ascii="Garamond" w:hAnsi="Garamond"/>
          <w:sz w:val="22"/>
          <w:szCs w:val="22"/>
        </w:rPr>
        <w:t xml:space="preserve"> a transect of both Sr8786 and Sr88 for all individuals. </w:t>
      </w:r>
      <w:r w:rsidR="0075722E" w:rsidRPr="0075722E">
        <w:rPr>
          <w:rFonts w:ascii="Garamond" w:hAnsi="Garamond"/>
          <w:sz w:val="22"/>
          <w:szCs w:val="22"/>
        </w:rPr>
        <w:t xml:space="preserve">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70B33A32" w:rsidR="00CE7F91" w:rsidRDefault="005E7567" w:rsidP="00CE7F9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CE7F91">
        <w:rPr>
          <w:rFonts w:ascii="Garamond" w:hAnsi="Garamond"/>
          <w:sz w:val="22"/>
          <w:szCs w:val="22"/>
        </w:rPr>
        <w:t xml:space="preserve">LA data include only data </w:t>
      </w:r>
      <w:r w:rsidRPr="005E7567">
        <w:rPr>
          <w:rFonts w:ascii="Garamond" w:hAnsi="Garamond"/>
          <w:sz w:val="22"/>
          <w:szCs w:val="22"/>
        </w:rPr>
        <w:t xml:space="preserve">between </w:t>
      </w:r>
      <w:r w:rsidR="00CE7F91">
        <w:rPr>
          <w:rFonts w:ascii="Garamond" w:hAnsi="Garamond"/>
          <w:sz w:val="22"/>
          <w:szCs w:val="22"/>
        </w:rPr>
        <w:t>the 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CE7F91">
        <w:rPr>
          <w:rFonts w:ascii="Garamond" w:hAnsi="Garamond"/>
          <w:sz w:val="22"/>
          <w:szCs w:val="22"/>
        </w:rPr>
        <w:t xml:space="preserve">values closer to the global marine Sr8786 value </w:t>
      </w:r>
      <w:r w:rsidRPr="005E7567">
        <w:rPr>
          <w:rFonts w:ascii="Garamond" w:hAnsi="Garamond"/>
          <w:sz w:val="22"/>
          <w:szCs w:val="22"/>
        </w:rPr>
        <w:t>(0.7092)</w:t>
      </w:r>
      <w:r w:rsidR="00CE7F91">
        <w:rPr>
          <w:rFonts w:ascii="Garamond" w:hAnsi="Garamond"/>
          <w:sz w:val="22"/>
          <w:szCs w:val="22"/>
        </w:rPr>
        <w:t xml:space="preserve"> than the freshwater region.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dark annuli on the otolith, a rapid increase in Sr88, and a shift in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CE7F91">
        <w:rPr>
          <w:rFonts w:ascii="Garamond" w:hAnsi="Garamond"/>
          <w:sz w:val="22"/>
          <w:szCs w:val="22"/>
        </w:rPr>
        <w:t xml:space="preserve"> global marine value</w:t>
      </w:r>
      <w:r w:rsidRPr="005E7567">
        <w:rPr>
          <w:rFonts w:ascii="Garamond" w:hAnsi="Garamond"/>
          <w:sz w:val="22"/>
          <w:szCs w:val="22"/>
        </w:rPr>
        <w:t xml:space="preserve">. </w:t>
      </w:r>
      <w:r w:rsidR="00CE7F91">
        <w:rPr>
          <w:rFonts w:ascii="Garamond" w:hAnsi="Garamond"/>
          <w:sz w:val="22"/>
          <w:szCs w:val="22"/>
        </w:rPr>
        <w:t xml:space="preserve">Selection of trimming locations were randomized and blinded to avoid </w:t>
      </w:r>
      <w:r w:rsidRPr="005E7567">
        <w:rPr>
          <w:rFonts w:ascii="Garamond" w:hAnsi="Garamond"/>
          <w:sz w:val="22"/>
          <w:szCs w:val="22"/>
        </w:rPr>
        <w:t xml:space="preserve">confounding by repeated patterns within a single class. </w:t>
      </w:r>
      <w:r w:rsidR="009E23C6">
        <w:rPr>
          <w:rFonts w:ascii="Garamond" w:hAnsi="Garamond"/>
          <w:sz w:val="22"/>
          <w:szCs w:val="22"/>
        </w:rPr>
        <w:t xml:space="preserve">Trimming </w:t>
      </w:r>
      <w:r w:rsidR="00CE7F91">
        <w:rPr>
          <w:rFonts w:ascii="Garamond" w:hAnsi="Garamond"/>
          <w:sz w:val="22"/>
          <w:szCs w:val="22"/>
        </w:rPr>
        <w:t xml:space="preserve">locations were manually checked </w:t>
      </w:r>
      <w:r w:rsidR="009E23C6">
        <w:rPr>
          <w:rFonts w:ascii="Garamond" w:hAnsi="Garamond"/>
          <w:sz w:val="22"/>
          <w:szCs w:val="22"/>
        </w:rPr>
        <w:t>for all individuals. Samples with significant error from sample prep or laser ablation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or without a clear core signal were removed from the dataset. </w:t>
      </w:r>
      <w:r w:rsidR="000F0779">
        <w:rPr>
          <w:rFonts w:ascii="Garamond" w:hAnsi="Garamond"/>
          <w:sz w:val="22"/>
          <w:szCs w:val="22"/>
        </w:rPr>
        <w:t xml:space="preserve">The resulting dataset contained [Insert final numbers </w:t>
      </w:r>
      <w:proofErr w:type="gramStart"/>
      <w:r w:rsidR="000F0779">
        <w:rPr>
          <w:rFonts w:ascii="Garamond" w:hAnsi="Garamond"/>
          <w:sz w:val="22"/>
          <w:szCs w:val="22"/>
        </w:rPr>
        <w:t>here ]</w:t>
      </w:r>
      <w:proofErr w:type="gramEnd"/>
      <w:r w:rsidR="000F0779">
        <w:rPr>
          <w:rFonts w:ascii="Garamond" w:hAnsi="Garamond"/>
          <w:sz w:val="22"/>
          <w:szCs w:val="22"/>
        </w:rPr>
        <w:t xml:space="preserve"> </w:t>
      </w:r>
    </w:p>
    <w:p w14:paraId="3086D9BE" w14:textId="5451C6C0" w:rsidR="00701699" w:rsidRDefault="009E23C6" w:rsidP="0070169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0F0779">
        <w:rPr>
          <w:rFonts w:ascii="Garamond" w:hAnsi="Garamond"/>
          <w:sz w:val="22"/>
          <w:szCs w:val="22"/>
        </w:rPr>
        <w:t xml:space="preserve">We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moving average window. The GAM was fit using thin plate regression </w:t>
      </w:r>
      <w:r w:rsidR="00B32AF3" w:rsidRPr="00F6547F">
        <w:rPr>
          <w:rFonts w:ascii="Garamond" w:hAnsi="Garamond"/>
          <w:sz w:val="22"/>
          <w:szCs w:val="22"/>
        </w:rPr>
        <w:t>and penalized iteratively re-weighted least squared (P-IRLS) to maximize goodness of fit</w:t>
      </w:r>
      <w:r w:rsidR="000F0779">
        <w:rPr>
          <w:rFonts w:ascii="Garamond" w:hAnsi="Garamond"/>
          <w:sz w:val="22"/>
          <w:szCs w:val="22"/>
        </w:rPr>
        <w:t xml:space="preserve"> and a</w:t>
      </w:r>
      <w:r w:rsidR="00B32AF3" w:rsidRPr="00F6547F">
        <w:rPr>
          <w:rFonts w:ascii="Garamond" w:hAnsi="Garamond"/>
          <w:sz w:val="22"/>
          <w:szCs w:val="22"/>
        </w:rPr>
        <w:t xml:space="preserve"> GCV method was used to minimize over fitting (Wood,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r w:rsidR="00701699">
        <w:rPr>
          <w:rFonts w:ascii="Garamond" w:hAnsi="Garamond"/>
          <w:sz w:val="22"/>
          <w:szCs w:val="22"/>
        </w:rPr>
        <w:t xml:space="preserve">Variation in size among individuals result in timeseries of different length among samples. However, many machine learning </w:t>
      </w:r>
      <w:r w:rsidR="00701699">
        <w:rPr>
          <w:rFonts w:ascii="Garamond" w:hAnsi="Garamond"/>
          <w:sz w:val="22"/>
          <w:szCs w:val="22"/>
        </w:rPr>
        <w:lastRenderedPageBreak/>
        <w:t xml:space="preserve">algorithms require </w:t>
      </w:r>
      <w:r w:rsidR="00F6547F">
        <w:rPr>
          <w:rFonts w:ascii="Garamond" w:hAnsi="Garamond"/>
          <w:sz w:val="22"/>
          <w:szCs w:val="22"/>
        </w:rPr>
        <w:t xml:space="preserve">fixed dimension vectors with a consistent length. To overcome this limitation </w:t>
      </w:r>
      <w:r w:rsidR="00701699">
        <w:rPr>
          <w:rFonts w:ascii="Garamond" w:hAnsi="Garamond"/>
          <w:sz w:val="22"/>
          <w:szCs w:val="22"/>
        </w:rPr>
        <w:t xml:space="preserve">all samples were interpolated to a common length which was the calculated average length of all timeseries </w:t>
      </w:r>
      <w:proofErr w:type="gramStart"/>
      <w:r w:rsidR="00701699">
        <w:rPr>
          <w:rFonts w:ascii="Garamond" w:hAnsi="Garamond"/>
          <w:sz w:val="22"/>
          <w:szCs w:val="22"/>
        </w:rPr>
        <w:t>( 700</w:t>
      </w:r>
      <w:proofErr w:type="gramEnd"/>
      <w:r w:rsidR="00701699">
        <w:rPr>
          <w:rFonts w:ascii="Garamond" w:hAnsi="Garamond"/>
          <w:sz w:val="22"/>
          <w:szCs w:val="22"/>
        </w:rPr>
        <w:t xml:space="preserve"> for non-MA and 600 for MA samples, respectively) (Hegg and Kennedy, 2021).</w:t>
      </w:r>
    </w:p>
    <w:p w14:paraId="60AC99CC" w14:textId="77777777" w:rsidR="00701699" w:rsidRDefault="00701699" w:rsidP="00701699">
      <w:pPr>
        <w:spacing w:line="480" w:lineRule="auto"/>
        <w:rPr>
          <w:rFonts w:ascii="Garamond" w:hAnsi="Garamond"/>
          <w:b/>
          <w:bCs/>
          <w:sz w:val="22"/>
          <w:szCs w:val="22"/>
          <w:u w:val="single"/>
        </w:rPr>
      </w:pP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p>
    <w:p w14:paraId="1FE5AA83" w14:textId="303FFE54" w:rsidR="00726EC4" w:rsidRPr="00997FB9" w:rsidRDefault="008A52C4" w:rsidP="00997FB9">
      <w:pPr>
        <w:pStyle w:val="NormalWeb"/>
        <w:spacing w:line="480" w:lineRule="auto"/>
        <w:ind w:firstLine="720"/>
        <w:rPr>
          <w:rFonts w:ascii="Garamond" w:hAnsi="Garamond"/>
          <w:sz w:val="22"/>
          <w:szCs w:val="22"/>
        </w:rPr>
      </w:pPr>
      <w:r w:rsidRPr="008A52C4">
        <w:rPr>
          <w:rFonts w:ascii="Garamond" w:hAnsi="Garamond"/>
          <w:sz w:val="22"/>
          <w:szCs w:val="22"/>
        </w:rPr>
        <w:t xml:space="preserve">Trained models were then evaluated on testing datasets in two ways. First, models were tested for accuracy and F1-score on the original 20% holdout set. Second, models were evaluated on a modified testing set with samples removed if their natal origin </w:t>
      </w:r>
      <w:r w:rsidRPr="008A52C4">
        <w:rPr>
          <w:rFonts w:ascii="Cambria Math" w:hAnsi="Cambria Math" w:cs="Cambria Math"/>
          <w:sz w:val="22"/>
          <w:szCs w:val="22"/>
        </w:rPr>
        <w:t>⁸⁷</w:t>
      </w:r>
      <w:r w:rsidRPr="008A52C4">
        <w:rPr>
          <w:rFonts w:ascii="Garamond" w:hAnsi="Garamond"/>
          <w:sz w:val="22"/>
          <w:szCs w:val="22"/>
        </w:rPr>
        <w:t>Sr/</w:t>
      </w:r>
      <w:r w:rsidRPr="008A52C4">
        <w:rPr>
          <w:rFonts w:ascii="Cambria Math" w:hAnsi="Cambria Math" w:cs="Cambria Math"/>
          <w:sz w:val="22"/>
          <w:szCs w:val="22"/>
        </w:rPr>
        <w:t>⁸⁶</w:t>
      </w:r>
      <w:r w:rsidRPr="008A52C4">
        <w:rPr>
          <w:rFonts w:ascii="Garamond" w:hAnsi="Garamond"/>
          <w:sz w:val="22"/>
          <w:szCs w:val="22"/>
        </w:rPr>
        <w:t>Sr values were below 0.7150. Only the Yukon watershed contains enriched isotope values above this threshold and can therefore be distinguished using natal origin values alone. This modified dataset therefore tests the classification accuracy of models on only those samples that are otherwise indistinguishable using natal origin values alone. Model performance was assessed using two complementary metrics. Overall accuracy measures the proportion of correct predictions across all classes, providing a straightforward assessment of model performance. The F1-score balances precision and recall, offering a more nuanced evaluation that is particularly valuable when class imbalances are present, as it accounts for both false positives and false negatives.</w:t>
      </w:r>
    </w:p>
    <w:p w14:paraId="24948C77" w14:textId="77777777" w:rsidR="002F10A9" w:rsidRDefault="002F10A9" w:rsidP="00386D82">
      <w:pPr>
        <w:spacing w:line="480" w:lineRule="auto"/>
        <w:rPr>
          <w:rFonts w:ascii="Garamond" w:hAnsi="Garamond"/>
          <w:b/>
          <w:bCs/>
          <w:sz w:val="22"/>
          <w:szCs w:val="22"/>
        </w:rPr>
      </w:pPr>
    </w:p>
    <w:p w14:paraId="58898319" w14:textId="6ECF5FA1" w:rsidR="00997FB9" w:rsidRDefault="002F10A9" w:rsidP="00386D82">
      <w:pPr>
        <w:spacing w:line="480" w:lineRule="auto"/>
        <w:rPr>
          <w:rFonts w:ascii="Garamond" w:hAnsi="Garamond"/>
          <w:b/>
          <w:bCs/>
          <w:sz w:val="22"/>
          <w:szCs w:val="22"/>
        </w:rPr>
      </w:pPr>
      <w:r>
        <w:rPr>
          <w:rFonts w:ascii="Garamond" w:hAnsi="Garamond"/>
          <w:b/>
          <w:bCs/>
          <w:sz w:val="22"/>
          <w:szCs w:val="22"/>
        </w:rPr>
        <w:t xml:space="preserve">Quantifying variability onto otolith timeseries. </w:t>
      </w:r>
    </w:p>
    <w:p w14:paraId="4E3B9B3D" w14:textId="63AB73D5" w:rsidR="00E51F5E" w:rsidRDefault="002F10A9" w:rsidP="002F10A9">
      <w:pPr>
        <w:spacing w:line="480" w:lineRule="auto"/>
        <w:ind w:firstLine="720"/>
        <w:rPr>
          <w:rFonts w:ascii="Garamond" w:hAnsi="Garamond"/>
          <w:sz w:val="22"/>
          <w:szCs w:val="22"/>
        </w:rPr>
      </w:pPr>
      <w:r w:rsidRPr="002F10A9">
        <w:rPr>
          <w:rFonts w:ascii="Garamond" w:hAnsi="Garamond"/>
          <w:sz w:val="22"/>
          <w:szCs w:val="22"/>
        </w:rPr>
        <w:t xml:space="preserve">Principal component analysis (PCA) was applied to the top-performing model to qualitatively assess clustering patterns in multivariate space. PCA transforms the original variables into uncorrelated principal components that capture the greatest variance in the dataset, thereby highlighting variability among time-series that may contain distinguishing watershed characteristics. The absolute values of PCA loadings for the first and second principal components were mapped onto their corresponding time-series positions to visualize regions driving this variability. Similarly, normalized feature importance values were extracted from the best-performing random forest model and mapped to corresponding time-series positions to identify the </w:t>
      </w:r>
      <w:proofErr w:type="spellStart"/>
      <w:r w:rsidRPr="002F10A9">
        <w:rPr>
          <w:rFonts w:ascii="Garamond" w:hAnsi="Garamond"/>
          <w:sz w:val="22"/>
          <w:szCs w:val="22"/>
        </w:rPr>
        <w:t>regions</w:t>
      </w:r>
      <w:proofErr w:type="spellEnd"/>
      <w:r w:rsidRPr="002F10A9">
        <w:rPr>
          <w:rFonts w:ascii="Garamond" w:hAnsi="Garamond"/>
          <w:sz w:val="22"/>
          <w:szCs w:val="22"/>
        </w:rPr>
        <w:t xml:space="preserve"> most critical for classification.</w:t>
      </w:r>
    </w:p>
    <w:p w14:paraId="33F525AD" w14:textId="77777777" w:rsidR="002F10A9" w:rsidRDefault="002F10A9" w:rsidP="004D2BA0">
      <w:pPr>
        <w:rPr>
          <w:rFonts w:ascii="Garamond" w:hAnsi="Garamond"/>
          <w:b/>
          <w:bCs/>
          <w:sz w:val="22"/>
          <w:szCs w:val="22"/>
        </w:rPr>
      </w:pPr>
    </w:p>
    <w:p w14:paraId="1E36E3FD" w14:textId="6F58B80B" w:rsidR="004D2BA0" w:rsidRDefault="004D2BA0" w:rsidP="004D2BA0">
      <w:pPr>
        <w:rPr>
          <w:rFonts w:ascii="Garamond" w:hAnsi="Garamond"/>
          <w:b/>
          <w:bCs/>
          <w:sz w:val="22"/>
          <w:szCs w:val="22"/>
        </w:rPr>
      </w:pPr>
      <w:r w:rsidRPr="005A0FE2">
        <w:rPr>
          <w:rFonts w:ascii="Garamond" w:hAnsi="Garamond"/>
          <w:b/>
          <w:bCs/>
          <w:sz w:val="22"/>
          <w:szCs w:val="22"/>
        </w:rPr>
        <w:t xml:space="preserve">Probability </w:t>
      </w:r>
      <w:r w:rsidR="002F10A9">
        <w:rPr>
          <w:rFonts w:ascii="Garamond" w:hAnsi="Garamond"/>
          <w:b/>
          <w:bCs/>
          <w:sz w:val="22"/>
          <w:szCs w:val="22"/>
        </w:rPr>
        <w:t xml:space="preserve">calibration </w:t>
      </w:r>
      <w:r w:rsidR="00527EB9">
        <w:rPr>
          <w:rFonts w:ascii="Garamond" w:hAnsi="Garamond"/>
          <w:b/>
          <w:bCs/>
          <w:sz w:val="22"/>
          <w:szCs w:val="22"/>
        </w:rPr>
        <w:t xml:space="preserve">and threshold testing </w:t>
      </w:r>
    </w:p>
    <w:p w14:paraId="095E116A" w14:textId="7BF0A356" w:rsidR="00643661" w:rsidRPr="008C5FCA" w:rsidRDefault="008C5FCA" w:rsidP="008C5FCA">
      <w:pPr>
        <w:spacing w:line="480" w:lineRule="auto"/>
        <w:ind w:firstLine="720"/>
        <w:rPr>
          <w:rFonts w:ascii="Garamond" w:hAnsi="Garamond"/>
          <w:b/>
          <w:bCs/>
          <w:sz w:val="22"/>
          <w:szCs w:val="22"/>
        </w:rPr>
      </w:pPr>
      <w:r w:rsidRPr="008C5FCA">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can be systematically over- or under-estimated, limiting their utility for decision-making in scientific applications where uncertainty quantification is critical. To calibrate predictions from our models, we used the </w:t>
      </w:r>
      <w:r w:rsidRPr="008C5FCA">
        <w:rPr>
          <w:rStyle w:val="HTMLCode"/>
          <w:rFonts w:ascii="Garamond" w:eastAsiaTheme="majorEastAsia" w:hAnsi="Garamond"/>
          <w:sz w:val="22"/>
          <w:szCs w:val="22"/>
        </w:rPr>
        <w:t>probably</w:t>
      </w:r>
      <w:r w:rsidRPr="008C5FCA">
        <w:rPr>
          <w:rFonts w:ascii="Garamond" w:hAnsi="Garamond"/>
          <w:sz w:val="22"/>
          <w:szCs w:val="22"/>
        </w:rPr>
        <w:t xml:space="preserve"> package to apply multinomial isotonic regression to our testing set, which adjusts the raw probability outputs to better align predicted confidence with actual classification accuracy. We verified that this calibration successfully improved probability estimates by visually assessing the relationship between predicted probabilities and observed class frequencies. Additionally, we calculated Brier scores and log loss for datasets before and after calibration to quantify improvements in probability calibration. Calibration factors were produced for all random forest models and applied to the testing set probabilities. These calibration factors represent the transformation function that can be stored and applied to future datasets analyzed with the same model, ensuring consistent probability calibration across new predictions.</w:t>
      </w:r>
    </w:p>
    <w:p w14:paraId="2F06F020" w14:textId="7494D8B4" w:rsidR="00643661" w:rsidRPr="005A0FE2" w:rsidRDefault="00643661" w:rsidP="004D2BA0">
      <w:pPr>
        <w:rPr>
          <w:rFonts w:ascii="Garamond" w:hAnsi="Garamond"/>
          <w:b/>
          <w:bCs/>
          <w:sz w:val="22"/>
          <w:szCs w:val="22"/>
        </w:rPr>
      </w:pPr>
    </w:p>
    <w:p w14:paraId="5DF06983" w14:textId="591DECC8" w:rsidR="00841F42" w:rsidRPr="004B1012" w:rsidRDefault="008C5FCA" w:rsidP="003E5607">
      <w:pPr>
        <w:tabs>
          <w:tab w:val="left" w:pos="3088"/>
        </w:tabs>
        <w:rPr>
          <w:rFonts w:ascii="Garamond" w:hAnsi="Garamond"/>
          <w:b/>
          <w:bCs/>
          <w:sz w:val="22"/>
          <w:szCs w:val="22"/>
        </w:rPr>
      </w:pPr>
      <w:r>
        <w:rPr>
          <w:rFonts w:ascii="Garamond" w:hAnsi="Garamond"/>
          <w:b/>
          <w:bCs/>
          <w:sz w:val="22"/>
          <w:szCs w:val="22"/>
        </w:rPr>
        <w:t xml:space="preserve">Integration with current otolith-based provenance models </w:t>
      </w:r>
    </w:p>
    <w:p w14:paraId="141B7759" w14:textId="4A55D01E" w:rsidR="00841F42" w:rsidRDefault="00841F42" w:rsidP="003E5607">
      <w:pPr>
        <w:tabs>
          <w:tab w:val="left" w:pos="3088"/>
        </w:tabs>
        <w:rPr>
          <w:rFonts w:ascii="Garamond" w:hAnsi="Garamond"/>
          <w:sz w:val="32"/>
          <w:szCs w:val="32"/>
        </w:rPr>
      </w:pPr>
      <w:r>
        <w:rPr>
          <w:rFonts w:ascii="Garamond" w:hAnsi="Garamond"/>
          <w:sz w:val="22"/>
          <w:szCs w:val="22"/>
        </w:rPr>
        <w:t xml:space="preserve">After calibration of probability </w:t>
      </w:r>
      <w:proofErr w:type="gramStart"/>
      <w:r>
        <w:rPr>
          <w:rFonts w:ascii="Garamond" w:hAnsi="Garamond"/>
          <w:sz w:val="22"/>
          <w:szCs w:val="22"/>
        </w:rPr>
        <w:t>values ,</w:t>
      </w:r>
      <w:proofErr w:type="gramEnd"/>
      <w:r>
        <w:rPr>
          <w:rFonts w:ascii="Garamond" w:hAnsi="Garamond"/>
          <w:sz w:val="22"/>
          <w:szCs w:val="22"/>
        </w:rPr>
        <w:t xml:space="preserve"> output from machine learning models can be used in other probabilistic frameworks…. Here I’ll talk about combining with current bayes theorem models… figure showing </w:t>
      </w:r>
      <w:r w:rsidR="004B1012">
        <w:rPr>
          <w:rFonts w:ascii="Garamond" w:hAnsi="Garamond"/>
          <w:sz w:val="22"/>
          <w:szCs w:val="22"/>
        </w:rPr>
        <w:t>propagating uncertainty through…</w:t>
      </w: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156D84B8" w14:textId="77777777" w:rsidR="003A63D4" w:rsidRPr="00841F42" w:rsidRDefault="003A63D4" w:rsidP="00A043C9">
      <w:pPr>
        <w:tabs>
          <w:tab w:val="left" w:pos="3088"/>
        </w:tabs>
        <w:spacing w:line="480" w:lineRule="auto"/>
        <w:rPr>
          <w:rFonts w:ascii="Garamond" w:hAnsi="Garamond"/>
          <w:sz w:val="22"/>
          <w:szCs w:val="22"/>
        </w:rPr>
      </w:pPr>
    </w:p>
    <w:p w14:paraId="30985B6B" w14:textId="41BA82D4" w:rsidR="001E36C2" w:rsidRPr="00841F42" w:rsidRDefault="00841F42" w:rsidP="00841F42">
      <w:pPr>
        <w:spacing w:line="480" w:lineRule="auto"/>
        <w:rPr>
          <w:rFonts w:ascii="Garamond" w:hAnsi="Garamond"/>
          <w:sz w:val="22"/>
          <w:szCs w:val="22"/>
        </w:rPr>
      </w:pPr>
      <w:r w:rsidRPr="00841F42">
        <w:rPr>
          <w:rFonts w:ascii="Garamond" w:hAnsi="Garamond"/>
          <w:sz w:val="22"/>
          <w:szCs w:val="22"/>
        </w:rPr>
        <w:tab/>
      </w:r>
      <w:r w:rsidR="003A63D4" w:rsidRPr="00841F42">
        <w:rPr>
          <w:rFonts w:ascii="Garamond" w:hAnsi="Garamond"/>
          <w:sz w:val="22"/>
          <w:szCs w:val="22"/>
        </w:rPr>
        <w:t>Across both the full and overlapping datasets classification accuracy ranged from 72.6% to 92.2% (Figure 1). The highest accuracy and F1-score were both achieved by applying the random forest model to the GAM smoothed dataset and tested on the full testing set. Smoothed timeseries data outperformed the raw data in all cases, indicating that the noise in the raw data may have inhibited model performance. Among machine learning approached, KNN consistently shows the lowest accuracy and F1-Score values.</w:t>
      </w:r>
      <w:r w:rsidR="001E36C2" w:rsidRPr="00841F42">
        <w:rPr>
          <w:rFonts w:ascii="Garamond" w:hAnsi="Garamond"/>
          <w:sz w:val="22"/>
          <w:szCs w:val="22"/>
        </w:rPr>
        <w:t xml:space="preserve"> In general, RF analysis outperformed both KNN and SVM, however, SVM was the highest performer on Raw datasets (89.8% accuracy on total testing set and 87.0% on overlapping testing set). Unsurprisingly, the overlapping training set performance was slightly lower than that of the total training set, with the highest classification accuracy of 90.8% as compared to 92.5%. Class specific classification rates </w:t>
      </w:r>
      <w:r>
        <w:rPr>
          <w:rFonts w:ascii="Garamond" w:hAnsi="Garamond"/>
          <w:sz w:val="22"/>
          <w:szCs w:val="22"/>
        </w:rPr>
        <w:t xml:space="preserve">for the highest preforming model (GAM, Random Forest) </w:t>
      </w:r>
      <w:r w:rsidR="001E36C2" w:rsidRPr="00841F42">
        <w:rPr>
          <w:rFonts w:ascii="Garamond" w:hAnsi="Garamond"/>
          <w:sz w:val="22"/>
          <w:szCs w:val="22"/>
        </w:rPr>
        <w:t xml:space="preserve">were X, Y, Z for Kuskokwim, </w:t>
      </w:r>
      <w:proofErr w:type="spellStart"/>
      <w:r w:rsidR="001E36C2" w:rsidRPr="00841F42">
        <w:rPr>
          <w:rFonts w:ascii="Garamond" w:hAnsi="Garamond"/>
          <w:sz w:val="22"/>
          <w:szCs w:val="22"/>
        </w:rPr>
        <w:t>Nushagak</w:t>
      </w:r>
      <w:proofErr w:type="spellEnd"/>
      <w:r w:rsidR="001E36C2" w:rsidRPr="00841F42">
        <w:rPr>
          <w:rFonts w:ascii="Garamond" w:hAnsi="Garamond"/>
          <w:sz w:val="22"/>
          <w:szCs w:val="22"/>
        </w:rPr>
        <w:t>, and Yukon watersheds respectively in the Total testing set</w:t>
      </w:r>
      <w:r w:rsidRPr="00841F42">
        <w:rPr>
          <w:rFonts w:ascii="Garamond" w:hAnsi="Garamond"/>
          <w:sz w:val="22"/>
          <w:szCs w:val="22"/>
        </w:rPr>
        <w:t xml:space="preserve"> and X, Y, Z for the same watersheds in the overlapping dataset. </w:t>
      </w:r>
      <w:proofErr w:type="gramStart"/>
      <w:r w:rsidRPr="00841F42">
        <w:rPr>
          <w:rFonts w:ascii="Garamond" w:hAnsi="Garamond"/>
          <w:sz w:val="22"/>
          <w:szCs w:val="22"/>
        </w:rPr>
        <w:t>The majority of</w:t>
      </w:r>
      <w:proofErr w:type="gramEnd"/>
      <w:r w:rsidRPr="00841F42">
        <w:rPr>
          <w:rFonts w:ascii="Garamond" w:hAnsi="Garamond"/>
          <w:sz w:val="22"/>
          <w:szCs w:val="22"/>
        </w:rPr>
        <w:t xml:space="preserve"> misclassified individuals were incorrectly assigned between the </w:t>
      </w:r>
      <w:proofErr w:type="spellStart"/>
      <w:r w:rsidRPr="00841F42">
        <w:rPr>
          <w:rFonts w:ascii="Garamond" w:hAnsi="Garamond"/>
          <w:sz w:val="22"/>
          <w:szCs w:val="22"/>
        </w:rPr>
        <w:t>Nushagak</w:t>
      </w:r>
      <w:proofErr w:type="spellEnd"/>
      <w:r w:rsidRPr="00841F42">
        <w:rPr>
          <w:rFonts w:ascii="Garamond" w:hAnsi="Garamond"/>
          <w:sz w:val="22"/>
          <w:szCs w:val="22"/>
        </w:rPr>
        <w:t xml:space="preserve"> and Kuskokwim in the total testing set. However, a significant proportion of Yukon fish were misclassified as either Kuskokwim (X percent) or </w:t>
      </w:r>
      <w:proofErr w:type="spellStart"/>
      <w:r w:rsidRPr="00841F42">
        <w:rPr>
          <w:rFonts w:ascii="Garamond" w:hAnsi="Garamond"/>
          <w:sz w:val="22"/>
          <w:szCs w:val="22"/>
        </w:rPr>
        <w:t>Nushagak</w:t>
      </w:r>
      <w:proofErr w:type="spellEnd"/>
      <w:r w:rsidRPr="00841F42">
        <w:rPr>
          <w:rFonts w:ascii="Garamond" w:hAnsi="Garamond"/>
          <w:sz w:val="22"/>
          <w:szCs w:val="22"/>
        </w:rPr>
        <w:t xml:space="preserve"> (Y percent) in the overlapping analysis. </w:t>
      </w:r>
      <w:r>
        <w:rPr>
          <w:rFonts w:ascii="Garamond" w:hAnsi="Garamond"/>
          <w:sz w:val="22"/>
          <w:szCs w:val="22"/>
        </w:rPr>
        <w:t xml:space="preserve">Interestingly, misclassification of </w:t>
      </w:r>
      <w:proofErr w:type="spellStart"/>
      <w:r>
        <w:rPr>
          <w:rFonts w:ascii="Garamond" w:hAnsi="Garamond"/>
          <w:sz w:val="22"/>
          <w:szCs w:val="22"/>
        </w:rPr>
        <w:t>Nushagak</w:t>
      </w:r>
      <w:proofErr w:type="spellEnd"/>
      <w:r>
        <w:rPr>
          <w:rFonts w:ascii="Garamond" w:hAnsi="Garamond"/>
          <w:sz w:val="22"/>
          <w:szCs w:val="22"/>
        </w:rPr>
        <w:t xml:space="preserve"> fish was limited </w:t>
      </w:r>
      <w:r>
        <w:rPr>
          <w:rFonts w:ascii="Garamond" w:hAnsi="Garamond"/>
          <w:sz w:val="22"/>
          <w:szCs w:val="22"/>
        </w:rPr>
        <w:lastRenderedPageBreak/>
        <w:t xml:space="preserve">to Kuskokwim assignment (X in Total and Y in overlapping) and no </w:t>
      </w:r>
      <w:proofErr w:type="spellStart"/>
      <w:r>
        <w:rPr>
          <w:rFonts w:ascii="Garamond" w:hAnsi="Garamond"/>
          <w:sz w:val="22"/>
          <w:szCs w:val="22"/>
        </w:rPr>
        <w:t>Nushagak</w:t>
      </w:r>
      <w:proofErr w:type="spellEnd"/>
      <w:r>
        <w:rPr>
          <w:rFonts w:ascii="Garamond" w:hAnsi="Garamond"/>
          <w:sz w:val="22"/>
          <w:szCs w:val="22"/>
        </w:rPr>
        <w:t xml:space="preserve"> fish were misclassified as Yukon in our dataset. </w:t>
      </w:r>
    </w:p>
    <w:p w14:paraId="55EFA72A" w14:textId="77777777" w:rsidR="003A63D4" w:rsidRPr="00841F42" w:rsidRDefault="003A63D4" w:rsidP="00A043C9">
      <w:pPr>
        <w:tabs>
          <w:tab w:val="left" w:pos="3088"/>
        </w:tabs>
        <w:spacing w:line="480" w:lineRule="auto"/>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55B41359" w14:textId="1A8184E9" w:rsidR="008D0D27" w:rsidRDefault="004B1012" w:rsidP="004B1012">
      <w:r>
        <w:tab/>
        <w:t>Principal component analysis of the GAM-smoothed Sr⁸⁷/⁸⁶ isotope ratio time series data revealed significant clustering of watershed classes in reduced-dimensional space. The first two principal components captured 97.3% of the total variance in the dataset (PC1: 92.2%, PC2: 5.1%), indicating that most of the variation among otolith isotope profiles could be explained by these primary axes of differentiation</w:t>
      </w:r>
    </w:p>
    <w:p w14:paraId="34D13AFF" w14:textId="4788C8C6" w:rsidR="004B1012" w:rsidRDefault="004B1012" w:rsidP="004B1012">
      <w:r>
        <w:tab/>
        <w:t xml:space="preserve">The first principal component primarily separated most Yukon samples from the other two watersheds. However, significant overlap exists between all three components on the left side of the principal component. The second principal component further separates the </w:t>
      </w:r>
      <w:r w:rsidR="00841057">
        <w:t xml:space="preserve">three watersheds into relatively </w:t>
      </w:r>
      <w:proofErr w:type="spellStart"/>
      <w:r w:rsidR="00841057">
        <w:t>distrinct</w:t>
      </w:r>
      <w:proofErr w:type="spellEnd"/>
      <w:r w:rsidR="00841057">
        <w:t xml:space="preserve"> clusters. However, significant overlap still exists between all three. This overlap pattern suggests that while watershed-specific isotopic signatures exist, classification boundaries are not </w:t>
      </w:r>
      <w:proofErr w:type="gramStart"/>
      <w:r w:rsidR="00841057">
        <w:t>absolute</w:t>
      </w:r>
      <w:proofErr w:type="gramEnd"/>
      <w:r w:rsidR="00841057">
        <w:t xml:space="preserve"> and individual otoliths may exhibit intermediate signatures that complicate definitive assignment.</w:t>
      </w:r>
    </w:p>
    <w:p w14:paraId="6B502497" w14:textId="77777777" w:rsidR="00841057" w:rsidRDefault="00841057" w:rsidP="004B1012"/>
    <w:p w14:paraId="087DFC9A" w14:textId="77777777" w:rsidR="00841057" w:rsidRDefault="00841057" w:rsidP="004B1012">
      <w:pPr>
        <w:rPr>
          <w:rFonts w:ascii="Garamond" w:hAnsi="Garamond"/>
        </w:rPr>
      </w:pPr>
    </w:p>
    <w:p w14:paraId="429512CA" w14:textId="709315B1" w:rsidR="001D0BCE" w:rsidRPr="001D0BCE" w:rsidRDefault="008D0D27" w:rsidP="003E5607">
      <w:pPr>
        <w:tabs>
          <w:tab w:val="left" w:pos="3088"/>
        </w:tabs>
        <w:rPr>
          <w:rFonts w:ascii="Garamond" w:hAnsi="Garamond"/>
        </w:rPr>
      </w:pPr>
      <w:r>
        <w:rPr>
          <w:rFonts w:ascii="Garamond" w:hAnsi="Garamond"/>
        </w:rPr>
        <w:t xml:space="preserve"> </w:t>
      </w:r>
    </w:p>
    <w:p w14:paraId="5E758BDC" w14:textId="77777777" w:rsidR="00ED3EE6" w:rsidRPr="001D0BCE" w:rsidRDefault="00ED3EE6" w:rsidP="003E5607">
      <w:pPr>
        <w:tabs>
          <w:tab w:val="left" w:pos="3088"/>
        </w:tabs>
        <w:rPr>
          <w:rFonts w:ascii="Garamond" w:hAnsi="Garamond"/>
          <w:b/>
          <w:bCs/>
        </w:rPr>
      </w:pPr>
    </w:p>
    <w:p w14:paraId="71BD97FB" w14:textId="25FCBE70" w:rsidR="00ED3EE6" w:rsidRPr="001D0BCE" w:rsidRDefault="00ED3EE6" w:rsidP="003E5607">
      <w:pPr>
        <w:tabs>
          <w:tab w:val="left" w:pos="3088"/>
        </w:tabs>
        <w:rPr>
          <w:rFonts w:ascii="Garamond" w:hAnsi="Garamond"/>
          <w:b/>
          <w:bCs/>
        </w:rPr>
      </w:pPr>
      <w:r w:rsidRPr="001D0BCE">
        <w:rPr>
          <w:rFonts w:ascii="Garamond" w:hAnsi="Garamond"/>
          <w:b/>
          <w:bCs/>
        </w:rPr>
        <w:t xml:space="preserve">Timeseries feature importance </w:t>
      </w:r>
    </w:p>
    <w:p w14:paraId="06F8E81E" w14:textId="77777777" w:rsidR="00ED3EE6" w:rsidRPr="001D0BCE" w:rsidRDefault="00ED3EE6" w:rsidP="003E5607">
      <w:pPr>
        <w:tabs>
          <w:tab w:val="left" w:pos="3088"/>
        </w:tabs>
        <w:rPr>
          <w:rFonts w:ascii="Garamond" w:hAnsi="Garamond"/>
          <w:b/>
          <w:bCs/>
        </w:rPr>
      </w:pPr>
    </w:p>
    <w:p w14:paraId="0C3781D8" w14:textId="77777777" w:rsidR="00793ED4" w:rsidRDefault="00793ED4" w:rsidP="003E5607">
      <w:pPr>
        <w:tabs>
          <w:tab w:val="left" w:pos="3088"/>
        </w:tabs>
        <w:rPr>
          <w:rFonts w:ascii="Garamond" w:hAnsi="Garamond"/>
          <w:b/>
          <w:bCs/>
        </w:rPr>
      </w:pPr>
    </w:p>
    <w:p w14:paraId="7E06D324" w14:textId="77777777" w:rsidR="00793ED4" w:rsidRDefault="00793ED4" w:rsidP="003E5607">
      <w:pPr>
        <w:tabs>
          <w:tab w:val="left" w:pos="3088"/>
        </w:tabs>
        <w:rPr>
          <w:rFonts w:ascii="Garamond" w:hAnsi="Garamond"/>
          <w:b/>
          <w:bCs/>
        </w:rPr>
      </w:pPr>
    </w:p>
    <w:p w14:paraId="10B15B8E" w14:textId="54F1DA40" w:rsidR="00A043C9" w:rsidRDefault="00ED3EE6" w:rsidP="003E5607">
      <w:pPr>
        <w:tabs>
          <w:tab w:val="left" w:pos="3088"/>
        </w:tabs>
        <w:rPr>
          <w:rFonts w:ascii="Garamond" w:hAnsi="Garamond"/>
          <w:b/>
          <w:bCs/>
        </w:rPr>
      </w:pPr>
      <w:r w:rsidRPr="001D0BCE">
        <w:rPr>
          <w:rFonts w:ascii="Garamond" w:hAnsi="Garamond"/>
          <w:b/>
          <w:bCs/>
        </w:rPr>
        <w:t xml:space="preserve">Probability tuning </w:t>
      </w:r>
    </w:p>
    <w:p w14:paraId="2DBF306D" w14:textId="77777777" w:rsidR="00A043C9" w:rsidRDefault="00A043C9" w:rsidP="003E5607">
      <w:pPr>
        <w:tabs>
          <w:tab w:val="left" w:pos="3088"/>
        </w:tabs>
        <w:rPr>
          <w:rFonts w:ascii="Garamond" w:hAnsi="Garamond"/>
          <w:b/>
          <w:bCs/>
        </w:rPr>
      </w:pPr>
    </w:p>
    <w:p w14:paraId="268713AE" w14:textId="087CF3E0" w:rsidR="00A043C9" w:rsidRPr="00A043C9" w:rsidRDefault="00A043C9" w:rsidP="003E5607">
      <w:pPr>
        <w:tabs>
          <w:tab w:val="left" w:pos="3088"/>
        </w:tabs>
        <w:rPr>
          <w:rFonts w:ascii="Garamond" w:hAnsi="Garamond"/>
          <w:b/>
          <w:bCs/>
        </w:rPr>
      </w:pPr>
      <w:r>
        <w:rPr>
          <w:rFonts w:ascii="Garamond" w:hAnsi="Garamond"/>
          <w:b/>
          <w:bCs/>
        </w:rPr>
        <w:t xml:space="preserve">Thresholding impacts. </w:t>
      </w:r>
    </w:p>
    <w:p w14:paraId="60C8B728" w14:textId="442860CE"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ab/>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1070"/>
    <w:rsid w:val="000941AF"/>
    <w:rsid w:val="00096BA7"/>
    <w:rsid w:val="000C2944"/>
    <w:rsid w:val="000D1B34"/>
    <w:rsid w:val="000F0779"/>
    <w:rsid w:val="000F4F29"/>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57118"/>
    <w:rsid w:val="00292609"/>
    <w:rsid w:val="002F10A9"/>
    <w:rsid w:val="002F5E0E"/>
    <w:rsid w:val="002F666C"/>
    <w:rsid w:val="00302CA2"/>
    <w:rsid w:val="0031165E"/>
    <w:rsid w:val="0032184B"/>
    <w:rsid w:val="00354445"/>
    <w:rsid w:val="003606FC"/>
    <w:rsid w:val="003642FE"/>
    <w:rsid w:val="0038560E"/>
    <w:rsid w:val="00386D82"/>
    <w:rsid w:val="003A63D4"/>
    <w:rsid w:val="003A69C6"/>
    <w:rsid w:val="003A7A96"/>
    <w:rsid w:val="003B0A46"/>
    <w:rsid w:val="003E5607"/>
    <w:rsid w:val="003F7E9E"/>
    <w:rsid w:val="00406C9B"/>
    <w:rsid w:val="004139BE"/>
    <w:rsid w:val="004146AA"/>
    <w:rsid w:val="00420300"/>
    <w:rsid w:val="00435068"/>
    <w:rsid w:val="00443445"/>
    <w:rsid w:val="004472CA"/>
    <w:rsid w:val="00464971"/>
    <w:rsid w:val="00477D73"/>
    <w:rsid w:val="00480252"/>
    <w:rsid w:val="004B1012"/>
    <w:rsid w:val="004C0AA3"/>
    <w:rsid w:val="004C2541"/>
    <w:rsid w:val="004C4DA5"/>
    <w:rsid w:val="004D2BA0"/>
    <w:rsid w:val="00511B5E"/>
    <w:rsid w:val="00525222"/>
    <w:rsid w:val="00526D9D"/>
    <w:rsid w:val="00527EB9"/>
    <w:rsid w:val="00533C00"/>
    <w:rsid w:val="0053609D"/>
    <w:rsid w:val="00542302"/>
    <w:rsid w:val="00563F6D"/>
    <w:rsid w:val="005672B1"/>
    <w:rsid w:val="005A0FE2"/>
    <w:rsid w:val="005B3BF5"/>
    <w:rsid w:val="005C1DE3"/>
    <w:rsid w:val="005E7567"/>
    <w:rsid w:val="005F0F57"/>
    <w:rsid w:val="0063065E"/>
    <w:rsid w:val="00643661"/>
    <w:rsid w:val="006624B2"/>
    <w:rsid w:val="00683419"/>
    <w:rsid w:val="00694712"/>
    <w:rsid w:val="006A5948"/>
    <w:rsid w:val="006C63F4"/>
    <w:rsid w:val="006D0CB1"/>
    <w:rsid w:val="006D1DD4"/>
    <w:rsid w:val="006D218F"/>
    <w:rsid w:val="006E1563"/>
    <w:rsid w:val="00701699"/>
    <w:rsid w:val="00726EC4"/>
    <w:rsid w:val="00737BCD"/>
    <w:rsid w:val="0075722E"/>
    <w:rsid w:val="00780305"/>
    <w:rsid w:val="007803F1"/>
    <w:rsid w:val="0078300E"/>
    <w:rsid w:val="00793ED4"/>
    <w:rsid w:val="00813C70"/>
    <w:rsid w:val="00820C00"/>
    <w:rsid w:val="008310CB"/>
    <w:rsid w:val="00841057"/>
    <w:rsid w:val="00841F42"/>
    <w:rsid w:val="008475B7"/>
    <w:rsid w:val="00882F20"/>
    <w:rsid w:val="00884ECC"/>
    <w:rsid w:val="00892DEA"/>
    <w:rsid w:val="00894C0A"/>
    <w:rsid w:val="008A52C4"/>
    <w:rsid w:val="008A53F5"/>
    <w:rsid w:val="008A7985"/>
    <w:rsid w:val="008C5595"/>
    <w:rsid w:val="008C5FCA"/>
    <w:rsid w:val="008C6234"/>
    <w:rsid w:val="008D0D27"/>
    <w:rsid w:val="00907410"/>
    <w:rsid w:val="009157FF"/>
    <w:rsid w:val="0092735E"/>
    <w:rsid w:val="00941848"/>
    <w:rsid w:val="0095522F"/>
    <w:rsid w:val="00960D9E"/>
    <w:rsid w:val="00965651"/>
    <w:rsid w:val="009743E7"/>
    <w:rsid w:val="0099371C"/>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4F2C"/>
    <w:rsid w:val="00B119FB"/>
    <w:rsid w:val="00B2797F"/>
    <w:rsid w:val="00B30111"/>
    <w:rsid w:val="00B32AF3"/>
    <w:rsid w:val="00B335D4"/>
    <w:rsid w:val="00B936A6"/>
    <w:rsid w:val="00BD3BE0"/>
    <w:rsid w:val="00BD5921"/>
    <w:rsid w:val="00BF2E8A"/>
    <w:rsid w:val="00C02555"/>
    <w:rsid w:val="00C1569E"/>
    <w:rsid w:val="00C265F6"/>
    <w:rsid w:val="00C426E7"/>
    <w:rsid w:val="00C73537"/>
    <w:rsid w:val="00C9741A"/>
    <w:rsid w:val="00CA34D3"/>
    <w:rsid w:val="00CD36CA"/>
    <w:rsid w:val="00CE7F91"/>
    <w:rsid w:val="00CF0294"/>
    <w:rsid w:val="00CF0435"/>
    <w:rsid w:val="00CF5C6C"/>
    <w:rsid w:val="00D7690A"/>
    <w:rsid w:val="00D848A0"/>
    <w:rsid w:val="00D86BCC"/>
    <w:rsid w:val="00D97F1C"/>
    <w:rsid w:val="00DA7891"/>
    <w:rsid w:val="00DB0B6F"/>
    <w:rsid w:val="00DE389D"/>
    <w:rsid w:val="00DF1513"/>
    <w:rsid w:val="00E06D65"/>
    <w:rsid w:val="00E22B3F"/>
    <w:rsid w:val="00E454BB"/>
    <w:rsid w:val="00E45DBA"/>
    <w:rsid w:val="00E46DD7"/>
    <w:rsid w:val="00E50AAB"/>
    <w:rsid w:val="00E51F5E"/>
    <w:rsid w:val="00E673AF"/>
    <w:rsid w:val="00E73D9A"/>
    <w:rsid w:val="00EC7467"/>
    <w:rsid w:val="00ED165F"/>
    <w:rsid w:val="00ED3EE6"/>
    <w:rsid w:val="00EE450C"/>
    <w:rsid w:val="00F06C0C"/>
    <w:rsid w:val="00F13113"/>
    <w:rsid w:val="00F52F54"/>
    <w:rsid w:val="00F6547F"/>
    <w:rsid w:val="00F75B08"/>
    <w:rsid w:val="00F864E5"/>
    <w:rsid w:val="00FA1987"/>
    <w:rsid w:val="00FA6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1812</TotalTime>
  <Pages>9</Pages>
  <Words>12968</Words>
  <Characters>73922</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59</cp:revision>
  <dcterms:created xsi:type="dcterms:W3CDTF">2025-05-19T03:17:00Z</dcterms:created>
  <dcterms:modified xsi:type="dcterms:W3CDTF">2025-08-18T18:16:00Z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