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5FCA1CD8" w14:textId="7FAC063D" w:rsidR="00CA63D8" w:rsidRDefault="00CA63D8" w:rsidP="00CA63D8">
      <w:pPr>
        <w:spacing w:line="480" w:lineRule="auto"/>
        <w:rPr>
          <w:rFonts w:ascii="Garamond" w:hAnsi="Garamond"/>
        </w:rPr>
      </w:pPr>
    </w:p>
    <w:p w14:paraId="2A93C8C7" w14:textId="66AC2A42" w:rsidR="00CA63D8" w:rsidRDefault="00CA63D8" w:rsidP="00CA63D8">
      <w:pPr>
        <w:spacing w:line="480" w:lineRule="auto"/>
        <w:rPr>
          <w:rFonts w:ascii="Garamond" w:hAnsi="Garamond"/>
        </w:rPr>
      </w:pPr>
      <w:r>
        <w:rPr>
          <w:rFonts w:ascii="Garamond" w:hAnsi="Garamond"/>
        </w:rPr>
        <w:t xml:space="preserve">Abstract: </w:t>
      </w:r>
    </w:p>
    <w:p w14:paraId="617ABD49" w14:textId="77777777" w:rsidR="00CA63D8" w:rsidRDefault="00CA63D8" w:rsidP="00CA63D8">
      <w:pPr>
        <w:spacing w:line="480" w:lineRule="auto"/>
        <w:rPr>
          <w:rFonts w:ascii="Garamond" w:hAnsi="Garamond"/>
        </w:rPr>
      </w:pPr>
    </w:p>
    <w:p w14:paraId="26181149" w14:textId="77777777" w:rsidR="00CA63D8" w:rsidRDefault="00CA63D8" w:rsidP="00CA63D8">
      <w:pPr>
        <w:spacing w:line="480" w:lineRule="auto"/>
        <w:rPr>
          <w:rFonts w:ascii="Garamond" w:hAnsi="Garamond"/>
        </w:rPr>
      </w:pPr>
    </w:p>
    <w:p w14:paraId="519016C2" w14:textId="77777777" w:rsidR="00CA63D8" w:rsidRDefault="00CA63D8" w:rsidP="00CA63D8">
      <w:pPr>
        <w:spacing w:line="480" w:lineRule="auto"/>
        <w:rPr>
          <w:rFonts w:ascii="Garamond" w:hAnsi="Garamond"/>
        </w:rPr>
      </w:pPr>
    </w:p>
    <w:p w14:paraId="05004B05" w14:textId="77777777" w:rsidR="00CA63D8" w:rsidRDefault="00CA63D8" w:rsidP="00CA63D8">
      <w:pPr>
        <w:spacing w:line="480" w:lineRule="auto"/>
        <w:rPr>
          <w:rFonts w:ascii="Garamond" w:hAnsi="Garamond"/>
        </w:rPr>
      </w:pPr>
    </w:p>
    <w:p w14:paraId="04F4D7F6" w14:textId="77777777" w:rsidR="00CA63D8" w:rsidRDefault="00CA63D8" w:rsidP="00CA63D8">
      <w:pPr>
        <w:spacing w:line="480" w:lineRule="auto"/>
        <w:rPr>
          <w:rFonts w:ascii="Garamond" w:hAnsi="Garamond"/>
        </w:rPr>
      </w:pPr>
    </w:p>
    <w:p w14:paraId="66331E66" w14:textId="77777777" w:rsidR="00CA63D8" w:rsidRDefault="00CA63D8" w:rsidP="00CA63D8">
      <w:pPr>
        <w:spacing w:line="480" w:lineRule="auto"/>
        <w:rPr>
          <w:rFonts w:ascii="Garamond" w:hAnsi="Garamond"/>
        </w:rPr>
      </w:pPr>
    </w:p>
    <w:p w14:paraId="028D5EE6" w14:textId="77777777" w:rsidR="00CA63D8" w:rsidRDefault="00CA63D8" w:rsidP="00CA63D8">
      <w:pPr>
        <w:spacing w:line="480" w:lineRule="auto"/>
        <w:rPr>
          <w:rFonts w:ascii="Garamond" w:hAnsi="Garamond"/>
        </w:rPr>
      </w:pPr>
    </w:p>
    <w:p w14:paraId="79E3D503" w14:textId="77777777" w:rsidR="00CA63D8" w:rsidRDefault="00CA63D8" w:rsidP="00CA63D8">
      <w:pPr>
        <w:spacing w:line="480" w:lineRule="auto"/>
        <w:rPr>
          <w:rFonts w:ascii="Garamond" w:hAnsi="Garamond"/>
        </w:rPr>
      </w:pPr>
    </w:p>
    <w:p w14:paraId="414F837D" w14:textId="77777777" w:rsidR="00CA63D8" w:rsidRDefault="00CA63D8" w:rsidP="00CA63D8">
      <w:pPr>
        <w:spacing w:line="480" w:lineRule="auto"/>
        <w:rPr>
          <w:rFonts w:ascii="Garamond" w:hAnsi="Garamond"/>
        </w:rPr>
      </w:pPr>
    </w:p>
    <w:p w14:paraId="5F6D726D" w14:textId="77777777" w:rsidR="00CA63D8" w:rsidRDefault="00CA63D8" w:rsidP="00CA63D8">
      <w:pPr>
        <w:spacing w:line="480" w:lineRule="auto"/>
        <w:rPr>
          <w:rFonts w:ascii="Garamond" w:hAnsi="Garamond"/>
        </w:rPr>
      </w:pPr>
    </w:p>
    <w:p w14:paraId="1564E5D9" w14:textId="77777777" w:rsidR="00CA63D8" w:rsidRDefault="00CA63D8" w:rsidP="00CA63D8">
      <w:pPr>
        <w:spacing w:line="480" w:lineRule="auto"/>
        <w:rPr>
          <w:rFonts w:ascii="Garamond" w:hAnsi="Garamond"/>
        </w:rPr>
      </w:pPr>
    </w:p>
    <w:p w14:paraId="58074BE0" w14:textId="77777777" w:rsidR="00CA63D8" w:rsidRDefault="00CA63D8" w:rsidP="00CA63D8">
      <w:pPr>
        <w:spacing w:line="480" w:lineRule="auto"/>
        <w:rPr>
          <w:rFonts w:ascii="Garamond" w:hAnsi="Garamond"/>
        </w:rPr>
      </w:pPr>
    </w:p>
    <w:p w14:paraId="54E126A9" w14:textId="77777777" w:rsidR="00CA63D8" w:rsidRDefault="00CA63D8" w:rsidP="00CA63D8">
      <w:pPr>
        <w:spacing w:line="480" w:lineRule="auto"/>
        <w:rPr>
          <w:rFonts w:ascii="Garamond" w:hAnsi="Garamond"/>
        </w:rPr>
      </w:pPr>
    </w:p>
    <w:p w14:paraId="59A527E9" w14:textId="77777777" w:rsidR="00CA63D8" w:rsidRDefault="00CA63D8" w:rsidP="00CA63D8">
      <w:pPr>
        <w:spacing w:line="480" w:lineRule="auto"/>
        <w:rPr>
          <w:rFonts w:ascii="Garamond" w:hAnsi="Garamond"/>
        </w:rPr>
      </w:pPr>
    </w:p>
    <w:p w14:paraId="7B0E24F7" w14:textId="77777777" w:rsidR="00CA63D8" w:rsidRDefault="00CA63D8" w:rsidP="00CA63D8">
      <w:pPr>
        <w:spacing w:line="480" w:lineRule="auto"/>
        <w:rPr>
          <w:rFonts w:ascii="Garamond" w:hAnsi="Garamond"/>
        </w:rPr>
      </w:pP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A428816" w14:textId="77777777" w:rsidR="00DE161A" w:rsidRDefault="00DE161A" w:rsidP="00DE161A">
      <w:pPr>
        <w:spacing w:line="480" w:lineRule="auto"/>
        <w:ind w:firstLine="720"/>
        <w:rPr>
          <w:rFonts w:ascii="Garamond" w:hAnsi="Garamond"/>
          <w:sz w:val="22"/>
          <w:szCs w:val="22"/>
        </w:rPr>
      </w:pPr>
      <w:r w:rsidRPr="00DE161A">
        <w:rPr>
          <w:rFonts w:ascii="Garamond" w:hAnsi="Garamond"/>
          <w:sz w:val="22"/>
          <w:szCs w:val="22"/>
        </w:rPr>
        <w:t xml:space="preserve">Understanding the impacts of environmental and anthropogenic stressors on ecosystem health requires monitoring approaches that operate across multiple spatial and temporal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{"citationID":"LWMpUmIK","properties":{"formattedCitation":"(Hutchinson, 1953; Levin, 1992)","plainCitation":"(Hutchinson, 1953; Levin, 1992)","noteIndex":0},"citationItems":[{"id":5726,"uris":["http://zotero.org/users/8421274/items/X348FCQK"],"itemData":{"id":5726,"type":"article-journal","container-title":"Proceedings of the Academy of Natural Sciences of Philadelphia","ISSN":"0097-3157","note":"publisher: Academy of Natural Sciences","page":"1-12","source":"JSTOR","title":"The Concept of Pattern in Ecology","volume":"105","author":[{"family":"Hutchinson","given":"G. Evelyn"}],"issued":{"date-parts":[["1953"]]}}},{"id":274,"uris":["http://zotero.org/users/8421274/items/D2QML5DG"],"itemData":{"id":274,"type":"article-journal","abstract":"A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(Hutchinson, 1953; Levin, 1992)</w:t>
      </w:r>
      <w:r w:rsidRPr="00DE161A">
        <w:rPr>
          <w:rFonts w:ascii="Garamond" w:hAnsi="Garamond"/>
          <w:sz w:val="22"/>
          <w:szCs w:val="22"/>
        </w:rPr>
        <w:fldChar w:fldCharType="end"/>
      </w:r>
      <w:r w:rsidRPr="00DE161A">
        <w:rPr>
          <w:rFonts w:ascii="Garamond" w:hAnsi="Garamond"/>
          <w:sz w:val="22"/>
          <w:szCs w:val="22"/>
        </w:rPr>
        <w:t>. Although P</w:t>
      </w:r>
      <w:r w:rsidRPr="00DE161A">
        <w:rPr>
          <w:rFonts w:ascii="Garamond" w:hAnsi="Garamond"/>
          <w:sz w:val="22"/>
          <w:szCs w:val="22"/>
        </w:rPr>
        <w:t>opulation-level assessments offer broad-scale perspectives</w:t>
      </w:r>
      <w:r w:rsidRPr="00DE161A">
        <w:rPr>
          <w:rFonts w:ascii="Garamond" w:hAnsi="Garamond"/>
          <w:sz w:val="22"/>
          <w:szCs w:val="22"/>
        </w:rPr>
        <w:t xml:space="preserve"> of ecosystem health, </w:t>
      </w:r>
      <w:r w:rsidRPr="00DE161A">
        <w:rPr>
          <w:rFonts w:ascii="Garamond" w:hAnsi="Garamond"/>
          <w:sz w:val="22"/>
          <w:szCs w:val="22"/>
        </w:rPr>
        <w:t>they can obscure the contributions of processes functioning at finer spatial scales</w:t>
      </w:r>
      <w:r w:rsidRPr="00DE161A">
        <w:rPr>
          <w:rFonts w:ascii="Garamond" w:hAnsi="Garamond"/>
          <w:sz w:val="22"/>
          <w:szCs w:val="22"/>
        </w:rPr>
        <w:t xml:space="preserve">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{"citationID":"fhJR0xBw","properties":{"formattedCitation":"(Anderson, 2018; Wessman &amp; Asner, 1998)","plainCitation":"(Anderson, 2018; Wessman &amp; Asner, 1998)","noteIndex":0},"citationItems":[{"id":5728,"uris":["http://zotero.org/users/8421274/items/57BSKMSV"],"itemData":{"id":5728,"type":"article-journal","abstract":"Human activity and land-use change are dramatically altering the sizes, geographical distributions and functioning of biological populations worldwide, with tremendous consequences for human well-being. Yet our ability to measure, monitor and forecast biodiversity change – crucial to addressing it – remains limited. Biodiversity monitoring systems are being developed to improve this capacity by deriving metrics of change from an array of in situ data (e.g. field plots or species occurrence records) and Earth observations (EO; e.g. satellite or airborne imagery). However, there are few ecologically based frameworks for integrating these data into meaningful metrics of biodiversity change. Here, I describe how concepts of pattern and scale in ecology could be used to design such a framework. I review three core topics: the role of scale in measuring and modelling biodiversity patterns with EO, scale-dependent challenges linking in situ and EO data and opportunities to apply concepts of pattern and scale to EO to improve biodiversity mapping. From this analysis emerges an actionable approach for measuring, monitoring and forecasting biodiversity change, highlighting key opportunities to establish EO as the backbone of global-scale, science-driven conservation.","container-title":"Ecology Letters","DOI":"10.1111/ele.13106","ISSN":"1461-0248","issue":"10","language":"en","license":"© 2018 John Wiley &amp; Sons Ltd/CNRS","note":"_eprint: https://onlinelibrary.wiley.com/doi/pdf/10.1111/ele.13106","page":"1572-1585","source":"Wiley Online Library","title":"Biodiversity monitoring, earth observations and the ecology of scale","volume":"21","author":[{"family":"Anderson","given":"Christopher B."}],"issued":{"date-parts":[["2018"]]}}},{"id":5731,"uris":["http://zotero.org/users/8421274/items/MG7PC46L"],"itemData":{"id":5731,"type":"chapter","abstract":"Both the structure and function of terrestrial ecosystems have significant impact on atmosphere-biosphere dynamics. Analyzing and predicting their roles in global environmental change present a major challenge to ecosystem scientists. Measurements at landscape, regional, and global scales are both necessary and difficult because they incorporate the full complexity of interacting system components, variations inherent in resource and climate constraints, and the effects of land-cover or land-use change. Our objective in this chapter is to identify the large-scale measurements that will most effectively further our understanding of regional and global ecology. To do this, our discussion expands from present-day measurements of biophysical structure and function to the areas in which new measurements can span our knowledge gaps. Although today’s observation strategies are conducted at several scales, they tend to address either structure (e.g. vegetation-type distribution) or function (e.g. trace-gas fluxes) and rarely link the two. They lack integration as a result of several gaps, the most significant of which may be knowledge of dynamic carbon allocation processes and changing land-cover and land-use distributions. Continued development of dynamic global vegetation models is needed to couple ecosystem redistribution with biogeochemistry. However, because allocation is not mechanistically simulated by present-day ecosystem process models, remote sensing of aboveground allocation patterns will be required to constrain simulations for the foreseeable future. We contend that a stronger effort to link the physical structure to the function is critically needed to advance our understanding and predictive capability at large scales, and that quantitative remote sensing will provide important measurements to make those links.","container-title":"Successes, Limitations, and Frontiers in Ecosystem Science","event-place":"New York, NY","ISBN":"978-1-4612-1724-4","language":"en","note":"DOI: 10.1007/978-1-4612-1724-4_14","page":"346-371","publisher":"Springer","publisher-place":"New York, NY","source":"Springer Link","title":"Ecosystems and Problems of Measurement at Large Spatial Scales","URL":"https://doi.org/10.1007/978-1-4612-1724-4_14","author":[{"family":"Wessman","given":"Carol A."},{"family":"Asner","given":"Gregory P."}],"editor":[{"family":"Pace","given":"Michael L."},{"family":"Groffman","given":"Peter M."}],"accessed":{"date-parts":[["2025",9,6]]},"issued":{"date-parts":[["1998"]]}}}],"schema":"https://github.com/citation-style-language/schema/raw/master/csl-citation.json"}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(Anderson, 2018; Wessman &amp; Asner, 1998)</w:t>
      </w:r>
      <w:r w:rsidRPr="00DE161A">
        <w:rPr>
          <w:rFonts w:ascii="Garamond" w:hAnsi="Garamond"/>
          <w:sz w:val="22"/>
          <w:szCs w:val="22"/>
        </w:rPr>
        <w:fldChar w:fldCharType="end"/>
      </w:r>
      <w:r w:rsidRPr="00DE161A">
        <w:rPr>
          <w:rFonts w:ascii="Garamond" w:hAnsi="Garamond"/>
          <w:sz w:val="22"/>
          <w:szCs w:val="22"/>
        </w:rPr>
        <w:t xml:space="preserve">. Monitoring at fine spatial scales in remote, complex ecosystems where </w:t>
      </w:r>
      <w:r w:rsidR="00F436E6" w:rsidRPr="00DE161A">
        <w:rPr>
          <w:rFonts w:ascii="Garamond" w:hAnsi="Garamond"/>
          <w:sz w:val="22"/>
          <w:szCs w:val="22"/>
        </w:rPr>
        <w:t xml:space="preserve">conventional </w:t>
      </w:r>
      <w:r w:rsidRPr="00DE161A">
        <w:rPr>
          <w:rFonts w:ascii="Garamond" w:hAnsi="Garamond"/>
          <w:sz w:val="22"/>
          <w:szCs w:val="22"/>
        </w:rPr>
        <w:t xml:space="preserve">methods </w:t>
      </w:r>
      <w:r w:rsidR="00F436E6" w:rsidRPr="00DE161A">
        <w:rPr>
          <w:rFonts w:ascii="Garamond" w:hAnsi="Garamond"/>
          <w:sz w:val="22"/>
          <w:szCs w:val="22"/>
        </w:rPr>
        <w:t xml:space="preserve">may be impractical or inadequate </w:t>
      </w:r>
      <w:r w:rsidRPr="00DE161A">
        <w:rPr>
          <w:rFonts w:ascii="Garamond" w:hAnsi="Garamond"/>
          <w:sz w:val="22"/>
          <w:szCs w:val="22"/>
        </w:rPr>
        <w:t xml:space="preserve">is a challenge. However, </w:t>
      </w:r>
      <w:r w:rsidRPr="00DE161A">
        <w:rPr>
          <w:rFonts w:ascii="Garamond" w:hAnsi="Garamond"/>
          <w:sz w:val="22"/>
          <w:szCs w:val="22"/>
        </w:rPr>
        <w:t>such efforts are essential for designing management strategies that safeguard the reliability of ecosystem services, which themselves are produced and delivered across diverse spatial scales</w:t>
      </w:r>
      <w:r>
        <w:rPr>
          <w:rFonts w:ascii="Garamond" w:hAnsi="Garamond"/>
          <w:sz w:val="22"/>
          <w:szCs w:val="22"/>
        </w:rPr>
        <w:t xml:space="preserve">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{"citationID":"D7lkBRjQ","properties":{"formattedCitation":"(Hein et al., 2006)","plainCitation":"(Hein et al., 2006)","noteIndex":0},"citationItems":[{"id":5732,"uris":["http://zotero.org/users/8421274/items/XBA25GMC"],"itemData":{"id":5732,"type":"article-journal","abstract":"Since the late 1960s, the valuation of ecosystem services has received ample attention in scientific literature. However, to date, there has been relatively little elaboration of the various spatial and temporal scales at which ecosystem services are supplied. This paper analyzes the spatial scales of ecosystem services, and it examines how stakeholders at different spatial scales attach different values to ecosystem services. The paper first establishes an enhanced framework for the valuation of ecosystem services, with specific attention for stakeholders. The framework includes a procedure to assess the value of regulation services that avoids double counting of these services. Subsequently, the paper analyses the spatial scales of ecosystem services: the ecological scales at which ecosystem services are generated, and the institutional scales at which stakeholders benefit from ecosystem services. On the basis of the proposed valuation framework, we value four selected ecosystem services supplied by the De Wieden wetlands in The Netherlands, and we analyze how these services accrue to stakeholders at different institutional scales. These services are the provision of reed for cutting, the provision of fish, recreation, and nature conservation. In the De Wieden wetland, reed cutting and fisheries are only important at the municipal scale, recreation is most relevant at the municipal and provincial scale, and nature conservation is important in particular at the national and international level. Our analysis shows that stakeholders at different spatial scales can have very different interests in ecosystem services, and we argue that it is highly important to consider the scales of ecosystem services when valuation of services is applied to support the formulation or implementation of ecosystem management plans.","container-title":"Ecological Economics","DOI":"10.1016/j.ecolecon.2005.04.005","ISSN":"0921-8009","issue":"2","journalAbbreviation":"Ecological Economics","page":"209-228","source":"ScienceDirect","title":"Spatial scales, stakeholders and the valuation of ecosystem services","volume":"57","author":[{"family":"Hein","given":"Lars"},{"family":"Koppen","given":"Kris","non-dropping-particle":"van"},{"family":"Groot","given":"Rudolf S.","non-dropping-particle":"de"},{"family":"Ierland","given":"Ekko C.","non-dropping-particle":"van"}],"issued":{"date-parts":[["2006",5,1]]}}}],"schema":"https://github.com/citation-style-language/schema/raw/master/csl-citation.json"}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(Hein et al., 2006)</w:t>
      </w:r>
      <w:r w:rsidRPr="00DE161A">
        <w:rPr>
          <w:rFonts w:ascii="Garamond" w:hAnsi="Garamond"/>
          <w:sz w:val="22"/>
          <w:szCs w:val="22"/>
        </w:rPr>
        <w:fldChar w:fldCharType="end"/>
      </w:r>
      <w:r>
        <w:rPr>
          <w:rFonts w:ascii="Garamond" w:hAnsi="Garamond"/>
          <w:sz w:val="22"/>
          <w:szCs w:val="22"/>
        </w:rPr>
        <w:t xml:space="preserve">. </w:t>
      </w:r>
    </w:p>
    <w:p w14:paraId="038F9429" w14:textId="77777777" w:rsidR="00DE161A" w:rsidRDefault="006F600C" w:rsidP="00DE161A">
      <w:pPr>
        <w:spacing w:line="480" w:lineRule="auto"/>
        <w:ind w:firstLine="720"/>
        <w:rPr>
          <w:rFonts w:ascii="Garamond" w:hAnsi="Garamond"/>
          <w:sz w:val="22"/>
          <w:szCs w:val="22"/>
        </w:rPr>
      </w:pPr>
      <w:r w:rsidRPr="00DE161A">
        <w:rPr>
          <w:rFonts w:ascii="Garamond" w:hAnsi="Garamond"/>
          <w:sz w:val="22"/>
          <w:szCs w:val="22"/>
        </w:rPr>
        <w:t>Management of Pacific salmon populations exemplifies</w:t>
      </w:r>
      <w:r w:rsidR="00DE161A" w:rsidRPr="00DE161A">
        <w:rPr>
          <w:rFonts w:ascii="Garamond" w:hAnsi="Garamond"/>
          <w:sz w:val="22"/>
          <w:szCs w:val="22"/>
        </w:rPr>
        <w:t xml:space="preserve"> the challenge of monitoring across several spatial scales. Adult migrating s</w:t>
      </w:r>
      <w:r w:rsidR="00DE161A" w:rsidRPr="00DE161A">
        <w:rPr>
          <w:rFonts w:ascii="Garamond" w:hAnsi="Garamond"/>
          <w:sz w:val="22"/>
          <w:szCs w:val="22"/>
        </w:rPr>
        <w:t xml:space="preserve">almon exhibit remarkable diversity in both run timing and the spatial extent of habitat use, often </w:t>
      </w:r>
      <w:r w:rsidR="00DE161A" w:rsidRPr="00DE161A">
        <w:rPr>
          <w:rFonts w:ascii="Garamond" w:hAnsi="Garamond"/>
          <w:sz w:val="22"/>
          <w:szCs w:val="22"/>
        </w:rPr>
        <w:t xml:space="preserve">in </w:t>
      </w:r>
      <w:r w:rsidR="00DE161A" w:rsidRPr="00DE161A">
        <w:rPr>
          <w:rFonts w:ascii="Garamond" w:hAnsi="Garamond"/>
          <w:sz w:val="22"/>
          <w:szCs w:val="22"/>
        </w:rPr>
        <w:t>remote and complex ecosystems</w:t>
      </w:r>
      <w:r w:rsidR="00DE161A" w:rsidRPr="00DE161A">
        <w:rPr>
          <w:rFonts w:ascii="Garamond" w:hAnsi="Garamond"/>
          <w:sz w:val="22"/>
          <w:szCs w:val="22"/>
        </w:rPr>
        <w:t xml:space="preserve"> </w:t>
      </w:r>
      <w:r w:rsidR="00DE161A" w:rsidRPr="00DE161A">
        <w:rPr>
          <w:rFonts w:ascii="Garamond" w:hAnsi="Garamond"/>
          <w:sz w:val="22"/>
          <w:szCs w:val="22"/>
        </w:rPr>
        <w:fldChar w:fldCharType="begin"/>
      </w:r>
      <w:r w:rsidR="00DE161A" w:rsidRPr="00DE161A">
        <w:rPr>
          <w:rFonts w:ascii="Garamond" w:hAnsi="Garamond"/>
          <w:sz w:val="22"/>
          <w:szCs w:val="22"/>
        </w:rPr>
        <w:instrText xml:space="preserve"> ADDIN ZOTERO_ITEM CSL_CITATION {"citationID":"b0UtHQha","properties":{"formattedCitation":"(Quinn,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DE161A" w:rsidRPr="00DE161A">
        <w:rPr>
          <w:rFonts w:ascii="Garamond" w:hAnsi="Garamond"/>
          <w:sz w:val="22"/>
          <w:szCs w:val="22"/>
        </w:rPr>
        <w:fldChar w:fldCharType="separate"/>
      </w:r>
      <w:r w:rsidR="00DE161A" w:rsidRPr="00DE161A">
        <w:rPr>
          <w:rFonts w:ascii="Garamond" w:hAnsi="Garamond"/>
          <w:noProof/>
          <w:sz w:val="22"/>
          <w:szCs w:val="22"/>
        </w:rPr>
        <w:t>(Quinn, 2018)</w:t>
      </w:r>
      <w:r w:rsidR="00DE161A" w:rsidRPr="00DE161A">
        <w:rPr>
          <w:rFonts w:ascii="Garamond" w:hAnsi="Garamond"/>
          <w:sz w:val="22"/>
          <w:szCs w:val="22"/>
        </w:rPr>
        <w:fldChar w:fldCharType="end"/>
      </w:r>
      <w:r w:rsidR="00DE161A" w:rsidRPr="00DE161A">
        <w:rPr>
          <w:rFonts w:ascii="Garamond" w:hAnsi="Garamond"/>
          <w:sz w:val="22"/>
          <w:szCs w:val="22"/>
        </w:rPr>
        <w:t xml:space="preserve">. </w:t>
      </w:r>
      <w:r w:rsidR="00DE161A" w:rsidRPr="00DE161A">
        <w:rPr>
          <w:rFonts w:ascii="Garamond" w:hAnsi="Garamond"/>
          <w:sz w:val="22"/>
          <w:szCs w:val="22"/>
        </w:rPr>
        <w:t xml:space="preserve">In Western Alaska, which is home to some of the healthiest remaining salmon ecosystems worldwide, fish returning to the Yukon, Kuskokwim, and </w:t>
      </w:r>
      <w:proofErr w:type="spellStart"/>
      <w:r w:rsidR="00DE161A" w:rsidRPr="00DE161A">
        <w:rPr>
          <w:rFonts w:ascii="Garamond" w:hAnsi="Garamond"/>
          <w:sz w:val="22"/>
          <w:szCs w:val="22"/>
        </w:rPr>
        <w:t>Nushagak</w:t>
      </w:r>
      <w:proofErr w:type="spellEnd"/>
      <w:r w:rsidR="00DE161A" w:rsidRPr="00DE161A">
        <w:rPr>
          <w:rFonts w:ascii="Garamond" w:hAnsi="Garamond"/>
          <w:sz w:val="22"/>
          <w:szCs w:val="22"/>
        </w:rPr>
        <w:t xml:space="preserve"> rivers migrate vast distances through rugged terrain</w:t>
      </w:r>
      <w:r w:rsidR="00DE161A">
        <w:rPr>
          <w:rFonts w:ascii="Garamond" w:hAnsi="Garamond"/>
          <w:sz w:val="22"/>
          <w:szCs w:val="22"/>
        </w:rPr>
        <w:t xml:space="preserve">, where monitoring at the basin or sub-basin scale is limited. </w:t>
      </w:r>
      <w:r w:rsidRPr="00DE161A">
        <w:rPr>
          <w:rFonts w:ascii="Garamond" w:hAnsi="Garamond"/>
          <w:sz w:val="22"/>
          <w:szCs w:val="22"/>
        </w:rPr>
        <w:t xml:space="preserve">Salmon in this region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serve as a subsistence resource for upstream communities</w:t>
      </w:r>
      <w:r w:rsidR="00DE161A">
        <w:rPr>
          <w:rFonts w:ascii="Garamond" w:hAnsi="Garamond"/>
          <w:sz w:val="22"/>
          <w:szCs w:val="22"/>
        </w:rPr>
        <w:t>, however, r</w:t>
      </w:r>
      <w:r w:rsidR="00F15670" w:rsidRPr="00FD2359">
        <w:rPr>
          <w:rFonts w:ascii="Garamond" w:hAnsi="Garamond"/>
          <w:sz w:val="22"/>
          <w:szCs w:val="22"/>
        </w:rPr>
        <w:t>ecent sustained declines in the number of Chinook salmon (</w:t>
      </w:r>
      <w:r w:rsidR="00F15670" w:rsidRPr="00FD2359">
        <w:rPr>
          <w:rStyle w:val="Emphasis"/>
          <w:rFonts w:ascii="Garamond" w:hAnsi="Garamond"/>
          <w:sz w:val="22"/>
          <w:szCs w:val="22"/>
        </w:rPr>
        <w:t>Oncorhynchus tshawytscha</w:t>
      </w:r>
      <w:commentRangeStart w:id="0"/>
      <w:r w:rsidR="00F15670" w:rsidRPr="00FD2359">
        <w:rPr>
          <w:rFonts w:ascii="Garamond" w:hAnsi="Garamond"/>
          <w:sz w:val="22"/>
          <w:szCs w:val="22"/>
        </w:rPr>
        <w:t>)</w:t>
      </w:r>
      <w:commentRangeEnd w:id="0"/>
      <w:r w:rsidR="00DE161A">
        <w:rPr>
          <w:rStyle w:val="CommentReference"/>
        </w:rPr>
        <w:commentReference w:id="0"/>
      </w:r>
      <w:r w:rsidR="00F15670" w:rsidRPr="00FD2359">
        <w:rPr>
          <w:rFonts w:ascii="Garamond" w:hAnsi="Garamond"/>
          <w:sz w:val="22"/>
          <w:szCs w:val="22"/>
        </w:rPr>
        <w:t xml:space="preserve"> returning to </w:t>
      </w:r>
      <w:r w:rsidR="00FD2359" w:rsidRPr="00FD2359">
        <w:rPr>
          <w:rFonts w:ascii="Garamond" w:hAnsi="Garamond"/>
          <w:sz w:val="22"/>
          <w:szCs w:val="22"/>
        </w:rPr>
        <w:t>Western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 </w:t>
      </w:r>
    </w:p>
    <w:p w14:paraId="5D22D366" w14:textId="77777777" w:rsidR="00DE161A" w:rsidRDefault="00FD2359" w:rsidP="00DE161A">
      <w:pPr>
        <w:spacing w:line="480" w:lineRule="auto"/>
        <w:ind w:firstLine="720"/>
        <w:rPr>
          <w:rFonts w:ascii="Garamond" w:hAnsi="Garamond"/>
          <w:sz w:val="22"/>
          <w:szCs w:val="22"/>
        </w:rPr>
      </w:pPr>
      <w:r w:rsidRPr="00DE161A">
        <w:rPr>
          <w:rFonts w:ascii="Garamond" w:hAnsi="Garamond"/>
          <w:sz w:val="22"/>
          <w:szCs w:val="22"/>
        </w:rPr>
        <w:t xml:space="preserve">Several </w:t>
      </w:r>
      <w:r w:rsidR="00DE161A" w:rsidRPr="00DE161A">
        <w:rPr>
          <w:rFonts w:ascii="Garamond" w:hAnsi="Garamond"/>
          <w:sz w:val="22"/>
          <w:szCs w:val="22"/>
        </w:rPr>
        <w:t>marine-based</w:t>
      </w:r>
      <w:r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as </w:t>
      </w:r>
      <w:r w:rsidRPr="00DE161A">
        <w:rPr>
          <w:rFonts w:ascii="Garamond" w:hAnsi="Garamond"/>
          <w:sz w:val="22"/>
          <w:szCs w:val="22"/>
        </w:rPr>
        <w:t>bycatch in federal trawl fisheries</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 xml:space="preserve">valuating their impact </w:t>
      </w:r>
      <w:r w:rsidR="00DE161A" w:rsidRPr="00DE161A">
        <w:rPr>
          <w:rFonts w:ascii="Garamond" w:hAnsi="Garamond"/>
          <w:sz w:val="22"/>
          <w:szCs w:val="22"/>
        </w:rPr>
        <w:t>requires comparison against river-specific population dynamics, which vary both among watersheds and across years.</w:t>
      </w:r>
      <w:r w:rsidR="00DE161A">
        <w:rPr>
          <w:rFonts w:ascii="Garamond" w:hAnsi="Garamond"/>
          <w:sz w:val="22"/>
          <w:szCs w:val="22"/>
        </w:rPr>
        <w:t xml:space="preserve"> </w:t>
      </w:r>
      <w:r w:rsidR="00DE161A" w:rsidRPr="00DE161A">
        <w:rPr>
          <w:rFonts w:ascii="Garamond" w:hAnsi="Garamond"/>
          <w:sz w:val="22"/>
          <w:szCs w:val="22"/>
        </w:rPr>
        <w:t>However, genetic stock identification (GSI), a powerful and widely used tool for estimating the provenance of Chinook salmon stocks for in-season management, cannot discriminate within the Coastal Western Alaska (CWAK) genetic reporting group</w:t>
      </w:r>
      <w:r w:rsidR="00DE161A">
        <w:rPr>
          <w:rFonts w:ascii="Garamond" w:hAnsi="Garamond"/>
          <w:sz w:val="22"/>
          <w:szCs w:val="22"/>
        </w:rPr>
        <w:t xml:space="preserve">, which contains some portion of all three watersheds </w:t>
      </w:r>
      <w:r w:rsidR="00DE161A">
        <w:rPr>
          <w:rFonts w:ascii="Garamond" w:hAnsi="Garamond"/>
          <w:sz w:val="22"/>
          <w:szCs w:val="22"/>
        </w:rPr>
        <w:lastRenderedPageBreak/>
        <w:t xml:space="preserve">(Figure 1). </w:t>
      </w:r>
      <w:r w:rsidR="00DE161A" w:rsidRPr="00DE161A">
        <w:rPr>
          <w:rFonts w:ascii="Garamond" w:hAnsi="Garamond"/>
          <w:sz w:val="22"/>
          <w:szCs w:val="22"/>
        </w:rPr>
        <w:t>As a result, evaluating marine-based hypotheses has been constrained by the inability to determine the river of origin for fish</w:t>
      </w:r>
      <w:r w:rsidR="00DE161A">
        <w:rPr>
          <w:rFonts w:ascii="Garamond" w:hAnsi="Garamond"/>
          <w:sz w:val="22"/>
          <w:szCs w:val="22"/>
        </w:rPr>
        <w:t xml:space="preserve"> in the marine environment</w:t>
      </w:r>
      <w:r w:rsidR="00DE161A" w:rsidRPr="00DE161A">
        <w:rPr>
          <w:rFonts w:ascii="Garamond" w:hAnsi="Garamond"/>
          <w:sz w:val="22"/>
          <w:szCs w:val="22"/>
        </w:rPr>
        <w:t>.</w:t>
      </w:r>
    </w:p>
    <w:p w14:paraId="541CC541" w14:textId="3BA7783B" w:rsidR="0010010D" w:rsidRPr="00CA63D8" w:rsidRDefault="00DE161A" w:rsidP="00DE161A">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Pr>
          <w:rFonts w:ascii="Garamond" w:hAnsi="Garamond"/>
          <w:sz w:val="22"/>
          <w:szCs w:val="22"/>
        </w:rPr>
        <w:t xml:space="preserve">s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FD2359" w:rsidRPr="00CA63D8">
        <w:rPr>
          <w:rFonts w:ascii="Garamond" w:hAnsi="Garamond"/>
          <w:sz w:val="22"/>
          <w:szCs w:val="22"/>
        </w:rPr>
        <w:t xml:space="preserve">the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FD2359" w:rsidRPr="00CA63D8">
        <w:rPr>
          <w:rFonts w:ascii="Garamond" w:hAnsi="Garamond"/>
          <w:sz w:val="22"/>
          <w:szCs w:val="22"/>
        </w:rPr>
        <w:t xml:space="preserve">is </w:t>
      </w:r>
      <w:r w:rsidR="0010010D" w:rsidRPr="00CA63D8">
        <w:rPr>
          <w:rFonts w:ascii="Garamond" w:hAnsi="Garamond"/>
          <w:sz w:val="22"/>
          <w:szCs w:val="22"/>
        </w:rPr>
        <w:t xml:space="preserve">temporally stable in Alaskan watersheds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Pr>
          <w:rFonts w:ascii="Garamond" w:hAnsi="Garamond"/>
          <w:sz w:val="22"/>
          <w:szCs w:val="22"/>
        </w:rPr>
        <w:t xml:space="preserve">This signature has been used to </w:t>
      </w:r>
      <w:r w:rsidR="00FD2359" w:rsidRPr="00CA63D8">
        <w:rPr>
          <w:rFonts w:ascii="Garamond" w:hAnsi="Garamond"/>
          <w:sz w:val="22"/>
          <w:szCs w:val="22"/>
        </w:rPr>
        <w:t>estimate provenance</w:t>
      </w:r>
      <w:r>
        <w:rPr>
          <w:rFonts w:ascii="Garamond" w:hAnsi="Garamond"/>
          <w:sz w:val="22"/>
          <w:szCs w:val="22"/>
        </w:rPr>
        <w:t xml:space="preserve"> of Western Alaska Chinook salmon from known watersheds by </w:t>
      </w:r>
      <w:r w:rsidR="00FD2359" w:rsidRPr="00CA63D8">
        <w:rPr>
          <w:rFonts w:ascii="Garamond" w:hAnsi="Garamond"/>
          <w:sz w:val="22"/>
          <w:szCs w:val="22"/>
        </w:rPr>
        <w:t xml:space="preserve">comparing </w:t>
      </w:r>
      <w:r>
        <w:rPr>
          <w:rFonts w:ascii="Garamond" w:hAnsi="Garamond"/>
          <w:sz w:val="22"/>
          <w:szCs w:val="22"/>
        </w:rPr>
        <w:t xml:space="preserve">a single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from the natal 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While </w:t>
      </w:r>
      <w:r>
        <w:rPr>
          <w:rFonts w:ascii="Garamond" w:hAnsi="Garamond"/>
          <w:sz w:val="22"/>
          <w:szCs w:val="22"/>
        </w:rPr>
        <w:t xml:space="preserve">heterogeneity in strontium isotope ratios is sufficient within a single river-basin, redundancy in strontium isotope ratios at the regional scale prevents </w:t>
      </w:r>
      <w:r w:rsidR="0010010D" w:rsidRPr="00CA63D8">
        <w:rPr>
          <w:rFonts w:ascii="Garamond" w:hAnsi="Garamond"/>
          <w:sz w:val="22"/>
          <w:szCs w:val="22"/>
        </w:rPr>
        <w:t xml:space="preserve">reliable assignments </w:t>
      </w:r>
      <w:r>
        <w:rPr>
          <w:rFonts w:ascii="Garamond" w:hAnsi="Garamond"/>
          <w:sz w:val="22"/>
          <w:szCs w:val="22"/>
        </w:rPr>
        <w:t xml:space="preserve">of a river of origin </w:t>
      </w:r>
      <w:r w:rsidR="007C6AED" w:rsidRPr="00CA63D8">
        <w:rPr>
          <w:rFonts w:ascii="Garamond" w:hAnsi="Garamond"/>
          <w:sz w:val="22"/>
          <w:szCs w:val="22"/>
        </w:rPr>
        <w:t xml:space="preserve">using </w:t>
      </w:r>
      <w:r>
        <w:rPr>
          <w:rFonts w:ascii="Garamond" w:hAnsi="Garamond"/>
          <w:sz w:val="22"/>
          <w:szCs w:val="22"/>
        </w:rPr>
        <w:t>this method for marine caught fish,</w:t>
      </w:r>
      <w:r w:rsidR="00CA63D8" w:rsidRPr="00CA63D8">
        <w:rPr>
          <w:rFonts w:ascii="Garamond" w:hAnsi="Garamond"/>
          <w:sz w:val="22"/>
          <w:szCs w:val="22"/>
        </w:rPr>
        <w:t xml:space="preserve"> which could have originated from any of the three watersheds</w:t>
      </w:r>
      <w:r w:rsidR="0010010D" w:rsidRPr="00CA63D8">
        <w:rPr>
          <w:rFonts w:ascii="Garamond" w:hAnsi="Garamond"/>
          <w:sz w:val="22"/>
          <w:szCs w:val="22"/>
        </w:rPr>
        <w:t xml:space="preserve"> (Figure 1).</w:t>
      </w:r>
    </w:p>
    <w:p w14:paraId="1D808454" w14:textId="6402038C" w:rsidR="00CA63D8" w:rsidRPr="00CA63D8" w:rsidRDefault="00CA63D8" w:rsidP="00DE161A">
      <w:pPr>
        <w:spacing w:line="480" w:lineRule="auto"/>
        <w:ind w:firstLine="720"/>
        <w:rPr>
          <w:rFonts w:ascii="Garamond" w:hAnsi="Garamond"/>
          <w:sz w:val="22"/>
          <w:szCs w:val="22"/>
        </w:rPr>
      </w:pPr>
      <w:r w:rsidRPr="00CA63D8">
        <w:rPr>
          <w:rFonts w:ascii="Garamond" w:hAnsi="Garamond"/>
          <w:sz w:val="22"/>
          <w:szCs w:val="22"/>
        </w:rPr>
        <w:t xml:space="preserve">Otolith growth and isotopic incorporation occur continuously over an individual’s lifetime, producing a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 time series along the growth axis</w:t>
      </w:r>
      <w:r w:rsidR="00DE161A">
        <w:rPr>
          <w:rFonts w:ascii="Garamond" w:hAnsi="Garamond"/>
          <w:sz w:val="22"/>
          <w:szCs w:val="22"/>
        </w:rPr>
        <w:t xml:space="preserve"> of the otolith</w:t>
      </w:r>
      <w:r w:rsidRPr="00CA63D8">
        <w:rPr>
          <w:rFonts w:ascii="Garamond" w:hAnsi="Garamond"/>
          <w:sz w:val="22"/>
          <w:szCs w:val="22"/>
        </w:rPr>
        <w:t xml:space="preserve"> that encodes sequential habitat use, relative growth, and maternal migration history </w:t>
      </w:r>
      <w:r w:rsidR="00F64010" w:rsidRPr="00CA63D8">
        <w:rPr>
          <w:rFonts w:ascii="Garamond" w:hAnsi="Garamond"/>
          <w:sz w:val="22"/>
          <w:szCs w:val="22"/>
        </w:rPr>
        <w:fldChar w:fldCharType="begin"/>
      </w:r>
      <w:r w:rsidR="00F64010" w:rsidRPr="00CA63D8">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CA63D8">
        <w:rPr>
          <w:rFonts w:ascii="Garamond" w:hAnsi="Garamond"/>
          <w:sz w:val="22"/>
          <w:szCs w:val="22"/>
        </w:rPr>
        <w:fldChar w:fldCharType="separate"/>
      </w:r>
      <w:r w:rsidR="00F64010" w:rsidRPr="00CA63D8">
        <w:rPr>
          <w:rFonts w:ascii="Garamond" w:hAnsi="Garamond"/>
          <w:noProof/>
          <w:sz w:val="22"/>
          <w:szCs w:val="22"/>
        </w:rPr>
        <w:t>(Hegg et al., 2019; Reis-Santos et al., 2022)</w:t>
      </w:r>
      <w:r w:rsidR="00F64010" w:rsidRPr="00CA63D8">
        <w:rPr>
          <w:rFonts w:ascii="Garamond" w:hAnsi="Garamond"/>
          <w:sz w:val="22"/>
          <w:szCs w:val="22"/>
        </w:rPr>
        <w:fldChar w:fldCharType="end"/>
      </w:r>
      <w:r w:rsidR="00F64010" w:rsidRPr="00CA63D8">
        <w:rPr>
          <w:rFonts w:ascii="Garamond" w:hAnsi="Garamond"/>
          <w:sz w:val="22"/>
          <w:szCs w:val="22"/>
        </w:rPr>
        <w:t xml:space="preserve">. </w:t>
      </w:r>
      <w:r w:rsidR="00DE161A">
        <w:rPr>
          <w:rFonts w:ascii="Garamond" w:hAnsi="Garamond"/>
          <w:sz w:val="22"/>
          <w:szCs w:val="22"/>
        </w:rPr>
        <w:t>In some cases,</w:t>
      </w:r>
      <w:r w:rsidR="00FC2E42" w:rsidRPr="00CA63D8">
        <w:rPr>
          <w:rFonts w:ascii="Garamond" w:hAnsi="Garamond"/>
          <w:sz w:val="22"/>
          <w:szCs w:val="22"/>
        </w:rPr>
        <w:t xml:space="preserve"> </w:t>
      </w:r>
      <w:r w:rsidR="007F08A6" w:rsidRPr="00CA63D8">
        <w:rPr>
          <w:rFonts w:ascii="Garamond" w:hAnsi="Garamond"/>
          <w:sz w:val="22"/>
          <w:szCs w:val="22"/>
        </w:rPr>
        <w:t>rapid movements through multiple environments may prevent full isotopic equilibration</w:t>
      </w:r>
      <w:r w:rsidR="00DE161A">
        <w:rPr>
          <w:rFonts w:ascii="Garamond" w:hAnsi="Garamond"/>
          <w:sz w:val="22"/>
          <w:szCs w:val="22"/>
        </w:rPr>
        <w:t xml:space="preserve"> between the otolith and the ambient water of the environment. </w:t>
      </w:r>
      <w:r w:rsidRPr="00CA63D8">
        <w:rPr>
          <w:rFonts w:ascii="Garamond" w:hAnsi="Garamond"/>
          <w:sz w:val="22"/>
          <w:szCs w:val="22"/>
        </w:rPr>
        <w:t>For Pacific salmon, which migrate quickly through sequential habitats to the ocean</w:t>
      </w:r>
      <w:r w:rsidR="00DE161A">
        <w:rPr>
          <w:rFonts w:ascii="Garamond" w:hAnsi="Garamond"/>
          <w:sz w:val="22"/>
          <w:szCs w:val="22"/>
        </w:rPr>
        <w:t xml:space="preserve"> following freshwater rearing, </w:t>
      </w:r>
      <w:r w:rsidRPr="00CA63D8">
        <w:rPr>
          <w:rFonts w:ascii="Garamond" w:hAnsi="Garamond"/>
          <w:sz w:val="22"/>
          <w:szCs w:val="22"/>
        </w:rPr>
        <w:t xml:space="preserve">otolith strontium data </w:t>
      </w:r>
      <w:r w:rsidR="00DE161A">
        <w:rPr>
          <w:rFonts w:ascii="Garamond" w:hAnsi="Garamond"/>
          <w:sz w:val="22"/>
          <w:szCs w:val="22"/>
        </w:rPr>
        <w:t xml:space="preserve">following natal origin does not necessarily reflect the true Sr8786 ratio of successive outmigration habitats but rather a series of subtle patterns resulting from incomplete and ongoing turnover reactions. The shape of these patterns and the relationship between them may encode meaningful relationships which together form </w:t>
      </w:r>
      <w:r w:rsidRPr="00CA63D8">
        <w:rPr>
          <w:rFonts w:ascii="Garamond" w:hAnsi="Garamond"/>
          <w:sz w:val="22"/>
          <w:szCs w:val="22"/>
        </w:rPr>
        <w:t>a</w:t>
      </w:r>
      <w:r w:rsidR="00DE161A">
        <w:rPr>
          <w:rFonts w:ascii="Garamond" w:hAnsi="Garamond"/>
          <w:sz w:val="22"/>
          <w:szCs w:val="22"/>
        </w:rPr>
        <w:t xml:space="preserve">n identifiable </w:t>
      </w:r>
      <w:r w:rsidRPr="00CA63D8">
        <w:rPr>
          <w:rFonts w:ascii="Garamond" w:hAnsi="Garamond"/>
          <w:sz w:val="22"/>
          <w:szCs w:val="22"/>
        </w:rPr>
        <w:t xml:space="preserve">“fingerprint” </w:t>
      </w:r>
      <w:r w:rsidR="00DE161A">
        <w:rPr>
          <w:rFonts w:ascii="Garamond" w:hAnsi="Garamond"/>
          <w:sz w:val="22"/>
          <w:szCs w:val="22"/>
        </w:rPr>
        <w:t xml:space="preserve">of a river-specific life history. </w:t>
      </w:r>
      <w:r w:rsidRPr="00CA63D8">
        <w:rPr>
          <w:rFonts w:ascii="Garamond" w:hAnsi="Garamond"/>
          <w:sz w:val="22"/>
          <w:szCs w:val="22"/>
        </w:rPr>
        <w:t xml:space="preserve">However, because these patterns are subtle and the number of </w:t>
      </w:r>
      <w:r w:rsidRPr="00CA63D8">
        <w:rPr>
          <w:rFonts w:ascii="Garamond" w:hAnsi="Garamond"/>
          <w:sz w:val="22"/>
          <w:szCs w:val="22"/>
        </w:rPr>
        <w:lastRenderedPageBreak/>
        <w:t>possible combinations in large river basins is high, such identifiers are difficult to detect using traditional statistical or manual methods.</w:t>
      </w:r>
    </w:p>
    <w:p w14:paraId="5ED2AE5F" w14:textId="669FDA24" w:rsidR="00F6547F" w:rsidRPr="007C6AED" w:rsidRDefault="00F64010" w:rsidP="00CA63D8">
      <w:pPr>
        <w:spacing w:line="480" w:lineRule="auto"/>
        <w:ind w:firstLine="720"/>
        <w:rPr>
          <w:rFonts w:ascii="Garamond" w:hAnsi="Garamond"/>
          <w:sz w:val="22"/>
          <w:szCs w:val="22"/>
        </w:rPr>
      </w:pPr>
      <w:r w:rsidRPr="007C6AED">
        <w:rPr>
          <w:rFonts w:ascii="Garamond" w:hAnsi="Garamond"/>
          <w:sz w:val="22"/>
          <w:szCs w:val="22"/>
        </w:rPr>
        <w:t xml:space="preserve">Machine learning methods, which are particularly well-suited to interpreting complex, multidimensional patterns in datasets, have only recently been applied to otolith chemical analysis. However, their limited applications have shown promising performance relative to traditional techniques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(Arai et al., 2023; Mercier et al., 2011)</w:t>
      </w:r>
      <w:r w:rsidRPr="007C6AED">
        <w:rPr>
          <w:rFonts w:ascii="Garamond" w:hAnsi="Garamond"/>
          <w:sz w:val="22"/>
          <w:szCs w:val="22"/>
        </w:rPr>
        <w:fldChar w:fldCharType="end"/>
      </w:r>
      <w:r w:rsidRPr="007C6AED">
        <w:rPr>
          <w:rFonts w:ascii="Garamond" w:hAnsi="Garamond"/>
          <w:sz w:val="22"/>
          <w:szCs w:val="22"/>
        </w:rPr>
        <w:t xml:space="preserve">. At the same time, there is growing recognition that collapsing continuous laser ablation (LA) data into single, discrete values results in the loss of potentially powerful information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(Hegg &amp; Kennedy, 2021)</w:t>
      </w:r>
      <w:r w:rsidRPr="007C6AED">
        <w:rPr>
          <w:rFonts w:ascii="Garamond" w:hAnsi="Garamond"/>
          <w:sz w:val="22"/>
          <w:szCs w:val="22"/>
        </w:rPr>
        <w:fldChar w:fldCharType="end"/>
      </w:r>
      <w:r w:rsidRPr="007C6AED">
        <w:rPr>
          <w:rFonts w:ascii="Garamond" w:hAnsi="Garamond"/>
          <w:sz w:val="22"/>
          <w:szCs w:val="22"/>
        </w:rPr>
        <w:t xml:space="preserve">. Leveraging the statistical power of machine learning on sequentially ordered otolith time-series data may enable the detection of otherwise indiscernible patterns within and across LA datasets, potentially revealing key life history traits and providing novel insights into ecological processes across space and time. Here, we apply machine learning classification algorithms to </w:t>
      </w:r>
      <w:r w:rsidR="002C12CC">
        <w:rPr>
          <w:rFonts w:ascii="Garamond" w:hAnsi="Garamond"/>
          <w:sz w:val="22"/>
          <w:szCs w:val="22"/>
        </w:rPr>
        <w:t xml:space="preserve">a large dataset of </w:t>
      </w:r>
      <w:r w:rsidRPr="007C6AED">
        <w:rPr>
          <w:rFonts w:ascii="Garamond" w:hAnsi="Garamond"/>
          <w:sz w:val="22"/>
          <w:szCs w:val="22"/>
        </w:rPr>
        <w:t>otolith LA data from Chinook salmon in Western Alaska</w:t>
      </w:r>
      <w:r w:rsidR="002C12CC">
        <w:rPr>
          <w:rFonts w:ascii="Garamond" w:hAnsi="Garamond"/>
          <w:sz w:val="22"/>
          <w:szCs w:val="22"/>
        </w:rPr>
        <w:t xml:space="preserve"> with a known river of origin. In doing so, we </w:t>
      </w:r>
      <w:r w:rsidRPr="007C6AED">
        <w:rPr>
          <w:rFonts w:ascii="Garamond" w:hAnsi="Garamond"/>
          <w:sz w:val="22"/>
          <w:szCs w:val="22"/>
        </w:rPr>
        <w:t>test the potential of machine learning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179E324F"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51389E" w:rsidRPr="00CA63D8">
        <w:rPr>
          <w:rFonts w:ascii="Garamond" w:hAnsi="Garamond"/>
          <w:b/>
          <w:bCs/>
          <w:sz w:val="22"/>
          <w:szCs w:val="22"/>
        </w:rPr>
        <w:t xml:space="preserve"> Data</w:t>
      </w:r>
      <w:r w:rsidR="00CA63D8">
        <w:rPr>
          <w:rFonts w:ascii="Garamond" w:hAnsi="Garamond"/>
          <w:b/>
          <w:bCs/>
          <w:sz w:val="22"/>
          <w:szCs w:val="22"/>
        </w:rPr>
        <w:t xml:space="preserve">: </w:t>
      </w:r>
    </w:p>
    <w:p w14:paraId="5A85303E" w14:textId="475B8D8F"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 xml:space="preserve">~250 otoliths from each year were selected for further analysis. Selected samples were </w:t>
      </w:r>
      <w:r w:rsidR="0075722E" w:rsidRPr="00CE7F91">
        <w:rPr>
          <w:rFonts w:ascii="Garamond" w:hAnsi="Garamond"/>
          <w:sz w:val="22"/>
          <w:szCs w:val="22"/>
        </w:rPr>
        <w:lastRenderedPageBreak/>
        <w:t>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1"/>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1"/>
      <w:r w:rsidR="002A47CE">
        <w:rPr>
          <w:rStyle w:val="CommentReference"/>
        </w:rPr>
        <w:commentReference w:id="1"/>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p>
    <w:p w14:paraId="362240BC" w14:textId="77777777" w:rsidR="00CE7F91" w:rsidRDefault="00CE7F91" w:rsidP="00071CCC">
      <w:pPr>
        <w:rPr>
          <w:rFonts w:ascii="Garamond" w:hAnsi="Garamond"/>
          <w:b/>
          <w:bCs/>
          <w:sz w:val="22"/>
          <w:szCs w:val="22"/>
          <w:u w:val="single"/>
        </w:rPr>
      </w:pPr>
    </w:p>
    <w:p w14:paraId="5CC4E6D5" w14:textId="50FB23D5" w:rsidR="00616EA6" w:rsidRPr="00557AB9" w:rsidRDefault="004D2BA0" w:rsidP="00557AB9">
      <w:pPr>
        <w:rPr>
          <w:rFonts w:ascii="Garamond" w:hAnsi="Garamond"/>
          <w:b/>
          <w:bCs/>
          <w:sz w:val="22"/>
          <w:szCs w:val="22"/>
          <w:u w:val="single"/>
        </w:rPr>
      </w:pPr>
      <w:r w:rsidRPr="00F6547F">
        <w:rPr>
          <w:rFonts w:ascii="Garamond" w:hAnsi="Garamond"/>
          <w:b/>
          <w:bCs/>
          <w:sz w:val="22"/>
          <w:szCs w:val="22"/>
          <w:u w:val="single"/>
        </w:rPr>
        <w:t xml:space="preserve">Data preprocessing </w:t>
      </w:r>
    </w:p>
    <w:p w14:paraId="7EC1B482" w14:textId="63D34199" w:rsidR="00CE7F91" w:rsidRDefault="005E7567" w:rsidP="002A47CE">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CE7F91">
        <w:rPr>
          <w:rFonts w:ascii="Garamond" w:hAnsi="Garamond"/>
          <w:sz w:val="22"/>
          <w:szCs w:val="22"/>
        </w:rPr>
        <w:t>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2A47CE">
        <w:rPr>
          <w:rFonts w:ascii="Garamond" w:hAnsi="Garamond"/>
          <w:sz w:val="22"/>
          <w:szCs w:val="22"/>
        </w:rPr>
        <w:t xml:space="preserve">a convergency of </w:t>
      </w:r>
      <w:r w:rsidR="002A47CE" w:rsidRPr="005E7567">
        <w:rPr>
          <w:rFonts w:ascii="Cambria Math" w:hAnsi="Cambria Math" w:cs="Cambria Math"/>
          <w:sz w:val="22"/>
          <w:szCs w:val="22"/>
        </w:rPr>
        <w:t>⁸⁷</w:t>
      </w:r>
      <w:r w:rsidR="002A47CE" w:rsidRPr="005E7567">
        <w:rPr>
          <w:rFonts w:ascii="Garamond" w:hAnsi="Garamond"/>
          <w:sz w:val="22"/>
          <w:szCs w:val="22"/>
        </w:rPr>
        <w:t>Sr/</w:t>
      </w:r>
      <w:r w:rsidR="002A47CE" w:rsidRPr="005E7567">
        <w:rPr>
          <w:rFonts w:ascii="Cambria Math" w:hAnsi="Cambria Math" w:cs="Cambria Math"/>
          <w:sz w:val="22"/>
          <w:szCs w:val="22"/>
        </w:rPr>
        <w:t>⁸⁶</w:t>
      </w:r>
      <w:r w:rsidR="002A47CE" w:rsidRPr="005E7567">
        <w:rPr>
          <w:rFonts w:ascii="Garamond" w:hAnsi="Garamond"/>
          <w:sz w:val="22"/>
          <w:szCs w:val="22"/>
        </w:rPr>
        <w:t>Sr</w:t>
      </w:r>
      <w:r w:rsidR="002A47CE">
        <w:rPr>
          <w:rFonts w:ascii="Garamond" w:hAnsi="Garamond"/>
          <w:sz w:val="22"/>
          <w:szCs w:val="22"/>
        </w:rPr>
        <w:t xml:space="preserve"> </w:t>
      </w:r>
      <w:r w:rsidR="00CE7F91">
        <w:rPr>
          <w:rFonts w:ascii="Garamond" w:hAnsi="Garamond"/>
          <w:sz w:val="22"/>
          <w:szCs w:val="22"/>
        </w:rPr>
        <w:t xml:space="preserve">values </w:t>
      </w:r>
      <w:r w:rsidR="002A47CE">
        <w:rPr>
          <w:rFonts w:ascii="Garamond" w:hAnsi="Garamond"/>
          <w:sz w:val="22"/>
          <w:szCs w:val="22"/>
        </w:rPr>
        <w:t xml:space="preserve">towards the </w:t>
      </w:r>
      <w:r w:rsidR="00CE7F91">
        <w:rPr>
          <w:rFonts w:ascii="Garamond" w:hAnsi="Garamond"/>
          <w:sz w:val="22"/>
          <w:szCs w:val="22"/>
        </w:rPr>
        <w:t xml:space="preserve">global marine value </w:t>
      </w:r>
      <w:r w:rsidRPr="005E7567">
        <w:rPr>
          <w:rFonts w:ascii="Garamond" w:hAnsi="Garamond"/>
          <w:sz w:val="22"/>
          <w:szCs w:val="22"/>
        </w:rPr>
        <w:t>(0.7092)</w:t>
      </w:r>
      <w:r w:rsidR="002A47CE">
        <w:rPr>
          <w:rFonts w:ascii="Garamond" w:hAnsi="Garamond"/>
          <w:sz w:val="22"/>
          <w:szCs w:val="22"/>
        </w:rPr>
        <w:t xml:space="preserve">.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xml:space="preserve">, a rapid increase in Sr88,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time</w:t>
      </w:r>
      <w:r w:rsidR="00616EA6">
        <w:rPr>
          <w:rFonts w:ascii="Garamond" w:hAnsi="Garamond"/>
          <w:sz w:val="22"/>
          <w:szCs w:val="22"/>
        </w:rPr>
        <w:t>s</w:t>
      </w:r>
      <w:r w:rsidR="002A47CE">
        <w:rPr>
          <w:rFonts w:ascii="Garamond" w:hAnsi="Garamond"/>
          <w:sz w:val="22"/>
          <w:szCs w:val="22"/>
        </w:rPr>
        <w:t>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proofErr w:type="gramStart"/>
      <w:r w:rsidR="00CE7F91">
        <w:rPr>
          <w:rFonts w:ascii="Garamond" w:hAnsi="Garamond"/>
          <w:sz w:val="22"/>
          <w:szCs w:val="22"/>
        </w:rPr>
        <w:t>were</w:t>
      </w:r>
      <w:proofErr w:type="gramEnd"/>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 xml:space="preserve">All trimmed datasets were then manually </w:t>
      </w:r>
      <w:proofErr w:type="spellStart"/>
      <w:r w:rsidR="00616EA6">
        <w:rPr>
          <w:rFonts w:ascii="Garamond" w:hAnsi="Garamond"/>
          <w:sz w:val="22"/>
          <w:szCs w:val="22"/>
        </w:rPr>
        <w:t>QC’d</w:t>
      </w:r>
      <w:proofErr w:type="spellEnd"/>
      <w:r w:rsidR="00616EA6">
        <w:rPr>
          <w:rFonts w:ascii="Garamond" w:hAnsi="Garamond"/>
          <w:sz w:val="22"/>
          <w:szCs w:val="22"/>
        </w:rPr>
        <w:t>,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(971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4A0C6C0A"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w:t>
      </w:r>
      <w:r w:rsidR="00F67738" w:rsidRPr="00F67738">
        <w:rPr>
          <w:rFonts w:ascii="Garamond" w:hAnsi="Garamond"/>
          <w:sz w:val="22"/>
          <w:szCs w:val="22"/>
        </w:rPr>
        <w:lastRenderedPageBreak/>
        <w:t xml:space="preserve">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timeseries 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 xml:space="preserve">(700 points for non-MA and 600 points for MA-smoothed samples, respectively)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machine learning algorithms </w:t>
      </w:r>
      <w:r w:rsidR="00557AB9">
        <w:rPr>
          <w:rFonts w:ascii="Garamond" w:hAnsi="Garamond"/>
          <w:sz w:val="22"/>
          <w:szCs w:val="22"/>
        </w:rPr>
        <w:t xml:space="preserve">while minimizing warping from interpolation.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BF46108"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w:t>
      </w:r>
      <w:r w:rsidR="00557AB9">
        <w:rPr>
          <w:rFonts w:ascii="Garamond" w:hAnsi="Garamond"/>
          <w:sz w:val="22"/>
          <w:szCs w:val="22"/>
        </w:rPr>
        <w:t xml:space="preserve"> visually</w:t>
      </w:r>
      <w:r w:rsidR="00AF5A80" w:rsidRPr="00730E96">
        <w:rPr>
          <w:rFonts w:ascii="Garamond" w:hAnsi="Garamond"/>
          <w:sz w:val="22"/>
          <w:szCs w:val="22"/>
        </w:rPr>
        <w:t xml:space="preserve"> assess the degree of separation between populations in reduced dimensional space</w:t>
      </w:r>
      <w:r w:rsidR="00730E96">
        <w:rPr>
          <w:rFonts w:ascii="Garamond" w:hAnsi="Garamond"/>
          <w:sz w:val="22"/>
          <w:szCs w:val="22"/>
        </w:rPr>
        <w:t xml:space="preserve"> (Figure 4). </w:t>
      </w:r>
    </w:p>
    <w:p w14:paraId="2682F25E" w14:textId="2517984F" w:rsidR="00FE6991" w:rsidRDefault="00AF5A80" w:rsidP="00CD3FB4">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timeseries </w:t>
      </w:r>
      <w:r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730E96" w:rsidRPr="00AE24AA">
        <w:rPr>
          <w:rFonts w:ascii="Garamond" w:hAnsi="Garamond"/>
          <w:sz w:val="22"/>
          <w:szCs w:val="22"/>
        </w:rPr>
        <w:t xml:space="preserve">of 0.7075- 0.7080. PCA plots were produced to visualize clustering of both PC1 (47.46% of variance) and PC2 (20.93% of variance) as well as between PC1 and PC3 (10.23% of variance). </w:t>
      </w:r>
      <w:r w:rsidR="005F1D8A" w:rsidRPr="00AE24AA">
        <w:rPr>
          <w:rFonts w:ascii="Garamond" w:hAnsi="Garamond"/>
          <w:sz w:val="22"/>
          <w:szCs w:val="22"/>
        </w:rPr>
        <w:t xml:space="preserve">To identify the most discriminatory portions of the timeseries, the absolute values of principal component loadings </w:t>
      </w:r>
      <w:r w:rsidR="00CD3FB4">
        <w:rPr>
          <w:rFonts w:ascii="Garamond" w:hAnsi="Garamond"/>
          <w:sz w:val="22"/>
          <w:szCs w:val="22"/>
        </w:rPr>
        <w:t xml:space="preserve">were then mapped </w:t>
      </w:r>
      <w:r w:rsidR="005F1D8A" w:rsidRPr="00AE24AA">
        <w:rPr>
          <w:rFonts w:ascii="Garamond" w:hAnsi="Garamond"/>
          <w:sz w:val="22"/>
          <w:szCs w:val="22"/>
        </w:rPr>
        <w:t>onto their corresponding timeseries positions</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0E87D85D" w14:textId="77777777" w:rsidR="00CD3FB4" w:rsidRPr="00CD3FB4" w:rsidRDefault="00CD3FB4" w:rsidP="00CD3FB4">
      <w:pPr>
        <w:spacing w:line="480" w:lineRule="auto"/>
        <w:ind w:firstLine="720"/>
        <w:rPr>
          <w:rFonts w:ascii="Garamond" w:hAnsi="Garamond"/>
          <w:sz w:val="22"/>
          <w:szCs w:val="22"/>
        </w:rPr>
      </w:pP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lastRenderedPageBreak/>
        <w:t xml:space="preserve">Machine Learning Classification Models </w:t>
      </w:r>
    </w:p>
    <w:p w14:paraId="3CA0415B" w14:textId="3F94E579"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444663" w:rsidRPr="009B73BD">
        <w:rPr>
          <w:rFonts w:ascii="Garamond" w:hAnsi="Garamond"/>
          <w:sz w:val="22"/>
          <w:szCs w:val="22"/>
        </w:rPr>
        <w:t xml:space="preserve"> training </w:t>
      </w:r>
      <w:proofErr w:type="gramStart"/>
      <w:r w:rsidR="00444663" w:rsidRPr="009B73BD">
        <w:rPr>
          <w:rFonts w:ascii="Garamond" w:hAnsi="Garamond"/>
          <w:sz w:val="22"/>
          <w:szCs w:val="22"/>
        </w:rPr>
        <w:t>and</w:t>
      </w:r>
      <w:proofErr w:type="gramEnd"/>
      <w:r w:rsidR="00444663" w:rsidRPr="009B73BD">
        <w:rPr>
          <w:rFonts w:ascii="Garamond" w:hAnsi="Garamond"/>
          <w:sz w:val="22"/>
          <w:szCs w:val="22"/>
        </w:rPr>
        <w:t xml:space="preserve"> testing sets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Pr>
          <w:rFonts w:ascii="Garamond" w:hAnsi="Garamond"/>
          <w:sz w:val="22"/>
          <w:szCs w:val="22"/>
        </w:rPr>
        <w:t xml:space="preserve">On the training set for each dataset, we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 xml:space="preserve">tidy </w:t>
      </w:r>
      <w:proofErr w:type="gramStart"/>
      <w:r w:rsidRPr="00701699">
        <w:rPr>
          <w:rStyle w:val="HTMLCode"/>
          <w:rFonts w:ascii="Garamond" w:eastAsiaTheme="majorEastAsia" w:hAnsi="Garamond"/>
          <w:sz w:val="22"/>
          <w:szCs w:val="22"/>
        </w:rPr>
        <w:t>models</w:t>
      </w:r>
      <w:proofErr w:type="gramEnd"/>
      <w:r w:rsidR="00444663" w:rsidRPr="00701699">
        <w:rPr>
          <w:rFonts w:ascii="Garamond" w:hAnsi="Garamond"/>
          <w:sz w:val="22"/>
          <w:szCs w:val="22"/>
        </w:rPr>
        <w:t xml:space="preserve"> framework in </w:t>
      </w:r>
      <w:commentRangeStart w:id="2"/>
      <w:r w:rsidR="00444663" w:rsidRPr="00701699">
        <w:rPr>
          <w:rFonts w:ascii="Garamond" w:hAnsi="Garamond"/>
          <w:sz w:val="22"/>
          <w:szCs w:val="22"/>
        </w:rPr>
        <w:t>R</w:t>
      </w:r>
      <w:r w:rsidR="00444663">
        <w:rPr>
          <w:rFonts w:ascii="Garamond" w:hAnsi="Garamond"/>
          <w:sz w:val="22"/>
          <w:szCs w:val="22"/>
        </w:rPr>
        <w:t xml:space="preserve">. </w:t>
      </w:r>
      <w:commentRangeEnd w:id="2"/>
      <w:r>
        <w:rPr>
          <w:rStyle w:val="CommentReference"/>
        </w:rPr>
        <w:commentReference w:id="2"/>
      </w:r>
    </w:p>
    <w:p w14:paraId="090C2636" w14:textId="00BA7DA8"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training dataset for each data type</w:t>
      </w:r>
      <w:r w:rsidRPr="00AF5A80">
        <w:rPr>
          <w:rFonts w:ascii="Garamond" w:hAnsi="Garamond"/>
          <w:sz w:val="22"/>
          <w:szCs w:val="22"/>
        </w:rPr>
        <w:t>. First, models were tested on the original randomly selected 20% holdout set</w:t>
      </w:r>
      <w:r w:rsidR="00CD3FB4">
        <w:rPr>
          <w:rFonts w:ascii="Garamond" w:hAnsi="Garamond"/>
          <w:sz w:val="22"/>
          <w:szCs w:val="22"/>
        </w:rPr>
        <w:t xml:space="preserve"> </w:t>
      </w:r>
      <w:proofErr w:type="gramStart"/>
      <w:r w:rsidR="00CD3FB4">
        <w:rPr>
          <w:rFonts w:ascii="Garamond" w:hAnsi="Garamond"/>
          <w:sz w:val="22"/>
          <w:szCs w:val="22"/>
        </w:rPr>
        <w:t>( N</w:t>
      </w:r>
      <w:proofErr w:type="gramEnd"/>
      <w:r w:rsidR="00CD3FB4">
        <w:rPr>
          <w:rFonts w:ascii="Garamond" w:hAnsi="Garamond"/>
          <w:sz w:val="22"/>
          <w:szCs w:val="22"/>
        </w:rPr>
        <w:t xml:space="preserve"> = </w:t>
      </w:r>
      <w:proofErr w:type="gramStart"/>
      <w:r w:rsidR="00CD3FB4">
        <w:rPr>
          <w:rFonts w:ascii="Garamond" w:hAnsi="Garamond"/>
          <w:sz w:val="22"/>
          <w:szCs w:val="22"/>
        </w:rPr>
        <w:t>X )</w:t>
      </w:r>
      <w:proofErr w:type="gramEnd"/>
      <w:r w:rsidRPr="00AF5A80">
        <w:rPr>
          <w:rFonts w:ascii="Garamond" w:hAnsi="Garamond"/>
          <w:sz w:val="22"/>
          <w:szCs w:val="22"/>
        </w:rPr>
        <w:t xml:space="preserve">.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 xml:space="preserve">Sr values above 0.7150 were </w:t>
      </w:r>
      <w:r w:rsidR="00CD3FB4">
        <w:rPr>
          <w:rFonts w:ascii="Garamond" w:hAnsi="Garamond"/>
          <w:sz w:val="22"/>
          <w:szCs w:val="22"/>
        </w:rPr>
        <w:t>excluded</w:t>
      </w:r>
      <w:r w:rsidRPr="00AF5A80">
        <w:rPr>
          <w:rFonts w:ascii="Garamond" w:hAnsi="Garamond"/>
          <w:sz w:val="22"/>
          <w:szCs w:val="22"/>
        </w:rPr>
        <w:t>. Only the Yukon watershed contains enriched isotope values above this threshold and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proofErr w:type="spellStart"/>
      <w:r w:rsidR="00CD3FB4">
        <w:rPr>
          <w:rFonts w:ascii="Garamond" w:hAnsi="Garamond"/>
          <w:sz w:val="22"/>
          <w:szCs w:val="22"/>
        </w:rPr>
        <w:t>refered</w:t>
      </w:r>
      <w:proofErr w:type="spellEnd"/>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 </w:t>
      </w:r>
      <w:r w:rsidRPr="008A52C4">
        <w:rPr>
          <w:rFonts w:ascii="Garamond" w:hAnsi="Garamond"/>
          <w:sz w:val="22"/>
          <w:szCs w:val="22"/>
        </w:rPr>
        <w:t xml:space="preserve">Model performance was assessed using </w:t>
      </w:r>
      <w:r>
        <w:rPr>
          <w:rFonts w:ascii="Garamond" w:hAnsi="Garamond"/>
          <w:sz w:val="22"/>
          <w:szCs w:val="22"/>
        </w:rPr>
        <w:t>accuracy and F1-Score (Figure 2).</w:t>
      </w:r>
      <w:r w:rsidR="00CD3FB4">
        <w:rPr>
          <w:rFonts w:ascii="Garamond" w:hAnsi="Garamond"/>
          <w:sz w:val="22"/>
          <w:szCs w:val="22"/>
        </w:rPr>
        <w:t xml:space="preserve"> </w:t>
      </w:r>
      <w:r w:rsidR="00043EBC" w:rsidRPr="00043EBC">
        <w:rPr>
          <w:rFonts w:ascii="Garamond" w:hAnsi="Garamond"/>
          <w:sz w:val="22"/>
          <w:szCs w:val="22"/>
        </w:rPr>
        <w:t xml:space="preserve">Model performance was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43EBC" w:rsidRPr="00043EBC">
        <w:rPr>
          <w:rFonts w:ascii="Garamond" w:hAnsi="Garamond"/>
          <w:sz w:val="22"/>
          <w:szCs w:val="22"/>
        </w:rPr>
        <w:t>. 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77777777"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61E756" w14:textId="77777777"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lastRenderedPageBreak/>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p>
    <w:p w14:paraId="13D9480D" w14:textId="1FF0DED8"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removing individuals with genetic assignments from the Middle or Upper Yukon reporting groups, which are outside of the CWAK region. </w:t>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37F28AD4" w14:textId="77777777" w:rsidR="000869FF" w:rsidRDefault="00FB146C" w:rsidP="000869F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may not match the true proportion of correct classifications within each confidence bin. This limits the utility of these results for decision-making based on confidence thresholds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This approach adjusts the raw probability outputs to better align predicted confidence with actual classification accuracy through a non-parametric monotonic transformation. We verified calibration effectiveness through </w:t>
      </w:r>
      <w:r w:rsidR="003A0BEA">
        <w:rPr>
          <w:rFonts w:ascii="Garamond" w:hAnsi="Garamond"/>
          <w:sz w:val="22"/>
          <w:szCs w:val="22"/>
        </w:rPr>
        <w:t xml:space="preserve">visual assessment of </w:t>
      </w:r>
      <w:r w:rsidRPr="00D440B2">
        <w:rPr>
          <w:rFonts w:ascii="Garamond" w:hAnsi="Garamond"/>
          <w:sz w:val="22"/>
          <w:szCs w:val="22"/>
        </w:rPr>
        <w:t>diagrams that plot predicted probabilities against observed class frequencies across probability bins. Additionally, we quantified calibration improvements using Brier scores and logarithmic loss calculated before and after calibration.</w:t>
      </w:r>
      <w:r w:rsidR="00043EBC">
        <w:rPr>
          <w:rFonts w:ascii="Garamond" w:hAnsi="Garamond"/>
          <w:sz w:val="22"/>
          <w:szCs w:val="22"/>
        </w:rPr>
        <w:t xml:space="preserve"> </w:t>
      </w:r>
      <w:r w:rsidRPr="00D440B2">
        <w:rPr>
          <w:rFonts w:ascii="Garamond" w:hAnsi="Garamond"/>
          <w:sz w:val="22"/>
          <w:szCs w:val="22"/>
        </w:rPr>
        <w:t>Calibration transformations were fitted separately for each model-data type combination and stored as reusable functions that can be applied consistently to future predictions. This ensures that probability estimates from our models accurately reflect true classification confidence</w:t>
      </w:r>
      <w:r w:rsidR="00E2005E">
        <w:rPr>
          <w:rFonts w:ascii="Garamond" w:hAnsi="Garamond"/>
          <w:sz w:val="22"/>
          <w:szCs w:val="22"/>
        </w:rPr>
        <w:t xml:space="preserve">. </w:t>
      </w:r>
    </w:p>
    <w:p w14:paraId="6C00951C" w14:textId="50DE9650" w:rsidR="00F6547F" w:rsidRPr="00985634" w:rsidRDefault="00E2005E" w:rsidP="000869FF">
      <w:pPr>
        <w:pStyle w:val="whitespace-normal"/>
        <w:spacing w:line="480" w:lineRule="auto"/>
        <w:ind w:firstLine="720"/>
        <w:rPr>
          <w:rFonts w:ascii="Garamond" w:hAnsi="Garamond"/>
          <w:sz w:val="22"/>
          <w:szCs w:val="22"/>
        </w:rPr>
      </w:pPr>
      <w:r>
        <w:rPr>
          <w:rFonts w:ascii="Garamond" w:hAnsi="Garamond"/>
          <w:sz w:val="22"/>
          <w:szCs w:val="22"/>
        </w:rPr>
        <w:lastRenderedPageBreak/>
        <w:t xml:space="preserve">From calibrated </w:t>
      </w:r>
      <w:r w:rsidR="000869FF">
        <w:rPr>
          <w:rFonts w:ascii="Garamond" w:hAnsi="Garamond"/>
          <w:sz w:val="22"/>
          <w:szCs w:val="22"/>
        </w:rPr>
        <w:t xml:space="preserve">testing set </w:t>
      </w:r>
      <w:r>
        <w:rPr>
          <w:rFonts w:ascii="Garamond" w:hAnsi="Garamond"/>
          <w:sz w:val="22"/>
          <w:szCs w:val="22"/>
        </w:rPr>
        <w:t>probabiliti</w:t>
      </w:r>
      <w:r w:rsidR="000869FF">
        <w:rPr>
          <w:rFonts w:ascii="Garamond" w:hAnsi="Garamond"/>
          <w:sz w:val="22"/>
          <w:szCs w:val="22"/>
        </w:rPr>
        <w:t>es</w:t>
      </w:r>
      <w:r>
        <w:rPr>
          <w:rFonts w:ascii="Garamond" w:hAnsi="Garamond"/>
          <w:sz w:val="22"/>
          <w:szCs w:val="22"/>
        </w:rPr>
        <w:t xml:space="preserve"> we tested the accuracy obtained </w:t>
      </w:r>
      <w:r w:rsidR="000869FF">
        <w:rPr>
          <w:rFonts w:ascii="Garamond" w:hAnsi="Garamond"/>
          <w:sz w:val="22"/>
          <w:szCs w:val="22"/>
        </w:rPr>
        <w:t xml:space="preserve">from our model with an added confidence threshold. Meaning, we evaluated the proportion of correctly assigned individuals which were also given a calibrated probability value above a given threshold. </w:t>
      </w:r>
      <w:r w:rsidR="00C51A58">
        <w:rPr>
          <w:rFonts w:ascii="Garamond" w:hAnsi="Garamond"/>
          <w:sz w:val="22"/>
          <w:szCs w:val="22"/>
        </w:rPr>
        <w:t xml:space="preserve">We tested thresholds of 60 – 90 % by 5% increments and recorded both the class specific and overall accuracy at each (Figure 6). </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0DFB3662"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of watershed classes in reduced-dimensional space. The first two principal components together captured 97.3% of the total variance in the dataset (PC1: 92.2%, PC2: 5.1%, Figure 4). Despite clear clustering patterns, some overlap remained among all three watersheds. Kuskokwim samples (Figure 4, red) exhibited the greatest degree of overlap, showing significant overlap with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individuals. Yukon samples covered a much larger region of the principal component space, reflecting the broader range of potential isotope values that create unique timeseries compared to the more constrained ranges observed in the other two watershed classes</w:t>
      </w:r>
    </w:p>
    <w:p w14:paraId="06F8E81E" w14:textId="19BBB1F8" w:rsidR="00ED3EE6" w:rsidRPr="00D53F6D" w:rsidRDefault="00D53F6D" w:rsidP="00D70E26">
      <w:pPr>
        <w:spacing w:line="480" w:lineRule="auto"/>
        <w:ind w:firstLine="720"/>
        <w:rPr>
          <w:rFonts w:ascii="Garamond" w:hAnsi="Garamond"/>
          <w:sz w:val="22"/>
          <w:szCs w:val="22"/>
        </w:rPr>
      </w:pPr>
      <w:r w:rsidRPr="00D53F6D">
        <w:rPr>
          <w:rFonts w:ascii="Garamond" w:hAnsi="Garamond"/>
          <w:sz w:val="22"/>
          <w:szCs w:val="22"/>
        </w:rPr>
        <w:t xml:space="preserve">Mapping the loadings of each principal component onto the timeseries revealed distinct regions driving class separation. The first principal component showed high loading values in the middle portion of the timeseries,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 migration. The relative shape at this point in the timeseries reflects differences in mainstem tributary Sr87/86 values among the three watersheds</w:t>
      </w:r>
      <w:r w:rsidR="00D70E26">
        <w:rPr>
          <w:rFonts w:ascii="Garamond" w:hAnsi="Garamond"/>
          <w:sz w:val="22"/>
          <w:szCs w:val="22"/>
        </w:rPr>
        <w:t xml:space="preserve"> (e.g. X, </w:t>
      </w:r>
      <w:proofErr w:type="gramStart"/>
      <w:r w:rsidR="00D70E26">
        <w:rPr>
          <w:rFonts w:ascii="Garamond" w:hAnsi="Garamond"/>
          <w:sz w:val="22"/>
          <w:szCs w:val="22"/>
        </w:rPr>
        <w:t>Y,Z</w:t>
      </w:r>
      <w:proofErr w:type="gramEnd"/>
      <w:r w:rsidR="00D70E26">
        <w:rPr>
          <w:rFonts w:ascii="Garamond" w:hAnsi="Garamond"/>
          <w:sz w:val="22"/>
          <w:szCs w:val="22"/>
        </w:rPr>
        <w:t xml:space="preserve"> in the Yukon, Kuskokwim, and </w:t>
      </w:r>
      <w:proofErr w:type="spellStart"/>
      <w:r w:rsidR="00D70E26">
        <w:rPr>
          <w:rFonts w:ascii="Garamond" w:hAnsi="Garamond"/>
          <w:sz w:val="22"/>
          <w:szCs w:val="22"/>
        </w:rPr>
        <w:t>Nushagak</w:t>
      </w:r>
      <w:proofErr w:type="spellEnd"/>
      <w:r w:rsidR="00D70E26">
        <w:rPr>
          <w:rFonts w:ascii="Garamond" w:hAnsi="Garamond"/>
          <w:sz w:val="22"/>
          <w:szCs w:val="22"/>
        </w:rPr>
        <w:t xml:space="preserve">, respectively). Interestingly, timeseries of fish from the CWAK region within the Yukon river-basin contained a less pronounced increase in Sr8786 values before the marine onset (Figure 5b.) </w:t>
      </w:r>
      <w:r w:rsidRPr="00D53F6D">
        <w:rPr>
          <w:rFonts w:ascii="Garamond" w:hAnsi="Garamond"/>
          <w:sz w:val="22"/>
          <w:szCs w:val="22"/>
        </w:rPr>
        <w:t xml:space="preserve">Principal component 3 appeared to be driven by values at the very </w:t>
      </w:r>
      <w:r w:rsidRPr="00D53F6D">
        <w:rPr>
          <w:rFonts w:ascii="Garamond" w:hAnsi="Garamond"/>
          <w:sz w:val="22"/>
          <w:szCs w:val="22"/>
        </w:rPr>
        <w:lastRenderedPageBreak/>
        <w:t>beginning of the timeseries, corresponding to the start of the natal origin signature. The minimal discrimination among watersheds along this component was expected</w:t>
      </w:r>
      <w:r w:rsidR="00D70E26">
        <w:rPr>
          <w:rFonts w:ascii="Garamond" w:hAnsi="Garamond"/>
          <w:sz w:val="22"/>
          <w:szCs w:val="22"/>
        </w:rPr>
        <w:t xml:space="preserve"> given that all individuals in this </w:t>
      </w:r>
      <w:proofErr w:type="spellStart"/>
      <w:r w:rsidR="00D70E26">
        <w:rPr>
          <w:rFonts w:ascii="Garamond" w:hAnsi="Garamond"/>
          <w:sz w:val="22"/>
          <w:szCs w:val="22"/>
        </w:rPr>
        <w:t>subet</w:t>
      </w:r>
      <w:proofErr w:type="spellEnd"/>
      <w:r w:rsidR="00D70E26">
        <w:rPr>
          <w:rFonts w:ascii="Garamond" w:hAnsi="Garamond"/>
          <w:sz w:val="22"/>
          <w:szCs w:val="22"/>
        </w:rPr>
        <w:t xml:space="preserve"> </w:t>
      </w:r>
      <w:r w:rsidRPr="00D53F6D">
        <w:rPr>
          <w:rFonts w:ascii="Garamond" w:hAnsi="Garamond"/>
          <w:sz w:val="22"/>
          <w:szCs w:val="22"/>
        </w:rPr>
        <w:t>share the same natal origin value</w:t>
      </w:r>
      <w:r w:rsidR="00D70E26">
        <w:rPr>
          <w:rFonts w:ascii="Garamond" w:hAnsi="Garamond"/>
          <w:sz w:val="22"/>
          <w:szCs w:val="22"/>
        </w:rPr>
        <w:t xml:space="preserve">. </w:t>
      </w:r>
    </w:p>
    <w:p w14:paraId="632A1589" w14:textId="77777777" w:rsidR="0038052F" w:rsidRPr="000869FF" w:rsidRDefault="0038052F" w:rsidP="0038052F">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77777777"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r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In general, RF analysis outperformed both KNN and SVM, however, SVM was the highest performer on Raw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77777777"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(Sr8786 &gt;.7150), Yukon classification accuracy dropped to 86.8%. Classification accuracy for </w:t>
      </w:r>
      <w:proofErr w:type="spellStart"/>
      <w:r>
        <w:rPr>
          <w:rFonts w:ascii="Garamond" w:hAnsi="Garamond"/>
          <w:sz w:val="22"/>
          <w:szCs w:val="22"/>
        </w:rPr>
        <w:t>Nushagak</w:t>
      </w:r>
      <w:proofErr w:type="spellEnd"/>
      <w:r>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 8 in the overlapping analysis). </w:t>
      </w:r>
      <w:commentRangeStart w:id="3"/>
      <w:r>
        <w:rPr>
          <w:rFonts w:ascii="Garamond" w:hAnsi="Garamond"/>
          <w:sz w:val="22"/>
          <w:szCs w:val="22"/>
        </w:rPr>
        <w:t xml:space="preserve">Among Yukon fish, individuals within the CWAK region (Lower Yukon genetic reporting group, n = 30) were classified with 73.3% accuracy as compared to 97.9% in non CWAK fish. </w:t>
      </w:r>
      <w:commentRangeEnd w:id="3"/>
      <w:r>
        <w:rPr>
          <w:rStyle w:val="CommentReference"/>
        </w:rPr>
        <w:commentReference w:id="3"/>
      </w:r>
    </w:p>
    <w:p w14:paraId="036B5F94" w14:textId="77777777" w:rsidR="00D53F6D" w:rsidRDefault="00D53F6D" w:rsidP="003E5607">
      <w:pPr>
        <w:tabs>
          <w:tab w:val="left" w:pos="3088"/>
        </w:tabs>
        <w:rPr>
          <w:rFonts w:ascii="Garamond" w:hAnsi="Garamond"/>
          <w:b/>
          <w:bCs/>
        </w:rPr>
      </w:pPr>
    </w:p>
    <w:p w14:paraId="689794F5" w14:textId="50A747CA" w:rsidR="00D53F6D"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3752670D" w:rsidR="00C51A58" w:rsidRPr="00C51A58" w:rsidRDefault="00C51A58" w:rsidP="00C51A58">
      <w:pPr>
        <w:pStyle w:val="NoSpacing"/>
        <w:spacing w:line="480" w:lineRule="auto"/>
        <w:ind w:firstLine="720"/>
        <w:rPr>
          <w:rFonts w:ascii="Garamond" w:hAnsi="Garamond"/>
          <w:b/>
          <w:bCs/>
          <w:sz w:val="22"/>
          <w:szCs w:val="22"/>
        </w:rPr>
      </w:pPr>
      <w:r>
        <w:rPr>
          <w:rFonts w:ascii="Garamond" w:hAnsi="Garamond"/>
          <w:sz w:val="22"/>
          <w:szCs w:val="22"/>
        </w:rPr>
        <w:t xml:space="preserve">Across the range of tested thresholds, overall accuracy ranged from 91 – 79% for the total testing set and from 89.5% to 78% for the overlapping dataset.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2D6789A1" w14:textId="7033E7DA"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546D42E5" w14:textId="75F0841C" w:rsidR="00401A6A" w:rsidRDefault="00523B37" w:rsidP="0064756C">
      <w:pPr>
        <w:spacing w:line="480" w:lineRule="auto"/>
        <w:ind w:firstLine="720"/>
        <w:rPr>
          <w:rFonts w:ascii="Garamond" w:hAnsi="Garamond"/>
          <w:sz w:val="22"/>
          <w:szCs w:val="22"/>
        </w:rPr>
      </w:pPr>
      <w:r w:rsidRPr="00523B37">
        <w:rPr>
          <w:rFonts w:ascii="Garamond" w:hAnsi="Garamond"/>
          <w:sz w:val="22"/>
          <w:szCs w:val="22"/>
        </w:rPr>
        <w:t xml:space="preserve">Machine learning tools applied to otolith laser ablation timeseries data proved highly effective for classifying Western Alaska Chinook salmon to their rivers of origin. We selected three methods (KNN, RF, and SVM) to represent a spectrum of commonly used machine learning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on </w:t>
      </w:r>
      <w:r w:rsidRPr="0064756C">
        <w:rPr>
          <w:rFonts w:ascii="Garamond" w:hAnsi="Garamond"/>
          <w:sz w:val="22"/>
          <w:szCs w:val="22"/>
        </w:rPr>
        <w:lastRenderedPageBreak/>
        <w:t xml:space="preserve">smoothed datasets. Notably, even our simplest model (KNN) performed well, delivering reasonably high classification accuracy across both testing sets. </w:t>
      </w:r>
      <w:r w:rsidR="0064756C" w:rsidRPr="0064756C">
        <w:rPr>
          <w:rFonts w:ascii="Garamond" w:hAnsi="Garamond"/>
          <w:sz w:val="22"/>
          <w:szCs w:val="22"/>
        </w:rPr>
        <w:t>Datasets preprocessed with timeseries smoothing techniques significantly outperformed raw laser ablation data. While unsurprising given the inherent noise in otolith LA data, this result demonstrates the added value of incorporating timeseries analysis into otolith datasets. Taken together, these findings highlight the potential for leveraging otolith laser ablation timeseries to characterize fish life history patterns, particularly when paired with statistical techniques capable of handling noisy, multidimensional data</w:t>
      </w:r>
      <w:r w:rsidR="0064756C">
        <w:rPr>
          <w:rFonts w:ascii="Garamond" w:hAnsi="Garamond"/>
          <w:sz w:val="22"/>
          <w:szCs w:val="22"/>
        </w:rPr>
        <w:t xml:space="preserve">. </w:t>
      </w:r>
    </w:p>
    <w:p w14:paraId="5A564DAC" w14:textId="77777777" w:rsidR="00B753DE" w:rsidRDefault="00BE529C" w:rsidP="002D29B3">
      <w:pPr>
        <w:spacing w:line="480" w:lineRule="auto"/>
        <w:ind w:firstLine="720"/>
        <w:rPr>
          <w:rFonts w:ascii="Garamond" w:hAnsi="Garamond"/>
          <w:sz w:val="22"/>
          <w:szCs w:val="22"/>
        </w:rPr>
      </w:pPr>
      <w:r w:rsidRPr="0073705F">
        <w:rPr>
          <w:rFonts w:ascii="Garamond" w:hAnsi="Garamond"/>
          <w:sz w:val="22"/>
          <w:szCs w:val="22"/>
        </w:rPr>
        <w:t xml:space="preserve">Our best classification model achieved watershed-specific accuracies exceeding 90% for all three watersheds when tested against the full dataset. Most misclassifications occurred between </w:t>
      </w:r>
      <w:proofErr w:type="spellStart"/>
      <w:r w:rsidRPr="0073705F">
        <w:rPr>
          <w:rFonts w:ascii="Garamond" w:hAnsi="Garamond"/>
          <w:sz w:val="22"/>
          <w:szCs w:val="22"/>
        </w:rPr>
        <w:t>Nushagak</w:t>
      </w:r>
      <w:proofErr w:type="spellEnd"/>
      <w:r w:rsidRPr="0073705F">
        <w:rPr>
          <w:rFonts w:ascii="Garamond" w:hAnsi="Garamond"/>
          <w:sz w:val="22"/>
          <w:szCs w:val="22"/>
        </w:rPr>
        <w:t xml:space="preserve"> and Kuskokwim fish, consistent with expectations given the greater overlap in Sr87/86 values and closer spatial proximity between these watersheds. In contrast, Yukon fish exhibited distinct otolith patterns due to the watershed's extreme spatial scale, broader range of isotope values, and extended migration timing. Consequently, very few Yukon individuals were misclassified, with those misidentifications slightly favoring Kuskokwim over </w:t>
      </w:r>
      <w:proofErr w:type="spellStart"/>
      <w:r w:rsidRPr="0073705F">
        <w:rPr>
          <w:rFonts w:ascii="Garamond" w:hAnsi="Garamond"/>
          <w:sz w:val="22"/>
          <w:szCs w:val="22"/>
        </w:rPr>
        <w:t>Nushagak</w:t>
      </w:r>
      <w:proofErr w:type="spellEnd"/>
      <w:r w:rsidRPr="0073705F">
        <w:rPr>
          <w:rFonts w:ascii="Garamond" w:hAnsi="Garamond"/>
          <w:sz w:val="22"/>
          <w:szCs w:val="22"/>
        </w:rPr>
        <w:t xml:space="preserve"> due to spatial proximity. </w:t>
      </w:r>
      <w:r w:rsidR="0073705F" w:rsidRPr="0073705F">
        <w:rPr>
          <w:rFonts w:ascii="Garamond" w:hAnsi="Garamond"/>
          <w:sz w:val="22"/>
          <w:szCs w:val="22"/>
        </w:rPr>
        <w:t>However, Yukon classification accuracy dropped substantially in the "overlap" testing set (86.86% vs. 93.7% in the total testing set), despite similar numbers of misidentified individuals. Since the overlap dataset includes only individuals with natal origins found across all three watersheds, this decline likely reflects the removal of the most easily classified cases. This interpretation is supported by higher misclassification rates among CWAK individuals compared to those from the middle and upper Yukon regions, which contain enriched isotope values absent from the overlap dataset</w:t>
      </w:r>
      <w:r w:rsidR="002D29B3">
        <w:rPr>
          <w:rFonts w:ascii="Garamond" w:hAnsi="Garamond"/>
          <w:sz w:val="22"/>
          <w:szCs w:val="22"/>
        </w:rPr>
        <w:t xml:space="preserve">. </w:t>
      </w:r>
    </w:p>
    <w:p w14:paraId="7768580F" w14:textId="74323E18" w:rsidR="002D29B3" w:rsidRPr="003C5C0F" w:rsidRDefault="003C5C0F" w:rsidP="002D29B3">
      <w:pPr>
        <w:spacing w:line="480" w:lineRule="auto"/>
        <w:ind w:firstLine="720"/>
        <w:rPr>
          <w:rFonts w:ascii="Garamond" w:hAnsi="Garamond"/>
          <w:sz w:val="22"/>
          <w:szCs w:val="22"/>
        </w:rPr>
      </w:pPr>
      <w:r w:rsidRPr="003C5C0F">
        <w:rPr>
          <w:rFonts w:ascii="Garamond" w:hAnsi="Garamond"/>
          <w:sz w:val="22"/>
          <w:szCs w:val="22"/>
        </w:rPr>
        <w:t>The classification challenges for CWAK individuals may stem from shorter migration patterns that include less residence time in the mainstem Yukon River, which contains elevated Sr87/86 values.</w:t>
      </w:r>
      <w:r w:rsidR="002D29B3" w:rsidRPr="003C5C0F">
        <w:rPr>
          <w:rFonts w:ascii="Garamond" w:hAnsi="Garamond"/>
          <w:sz w:val="22"/>
          <w:szCs w:val="22"/>
        </w:rPr>
        <w:t xml:space="preserve"> As a result, CWAK individuals contain a much less pronounced increase in isotope values before marine entry</w:t>
      </w:r>
      <w:r w:rsidRPr="003C5C0F">
        <w:rPr>
          <w:rFonts w:ascii="Garamond" w:hAnsi="Garamond"/>
          <w:sz w:val="22"/>
          <w:szCs w:val="22"/>
        </w:rPr>
        <w:t>, which appears to be</w:t>
      </w:r>
      <w:r w:rsidR="002D29B3" w:rsidRPr="003C5C0F">
        <w:rPr>
          <w:rFonts w:ascii="Garamond" w:hAnsi="Garamond"/>
          <w:sz w:val="22"/>
          <w:szCs w:val="22"/>
        </w:rPr>
        <w:t xml:space="preserve"> a distinguishing feature that appears to drive variation </w:t>
      </w:r>
      <w:r w:rsidR="00624A8A" w:rsidRPr="003C5C0F">
        <w:rPr>
          <w:rFonts w:ascii="Garamond" w:hAnsi="Garamond"/>
          <w:sz w:val="22"/>
          <w:szCs w:val="22"/>
        </w:rPr>
        <w:t>among watershed classes</w:t>
      </w:r>
      <w:r w:rsidR="002D29B3" w:rsidRPr="003C5C0F">
        <w:rPr>
          <w:rFonts w:ascii="Garamond" w:hAnsi="Garamond"/>
          <w:sz w:val="22"/>
          <w:szCs w:val="22"/>
        </w:rPr>
        <w:t xml:space="preserve"> (Figure X). </w:t>
      </w:r>
      <w:r w:rsidR="00B753DE" w:rsidRPr="003C5C0F">
        <w:rPr>
          <w:rFonts w:ascii="Garamond" w:hAnsi="Garamond"/>
          <w:sz w:val="22"/>
          <w:szCs w:val="22"/>
        </w:rPr>
        <w:t>This</w:t>
      </w:r>
      <w:r w:rsidRPr="003C5C0F">
        <w:rPr>
          <w:rFonts w:ascii="Garamond" w:hAnsi="Garamond"/>
          <w:sz w:val="22"/>
          <w:szCs w:val="22"/>
        </w:rPr>
        <w:t>, c</w:t>
      </w:r>
      <w:r w:rsidR="00B753DE" w:rsidRPr="003C5C0F">
        <w:rPr>
          <w:rFonts w:ascii="Garamond" w:hAnsi="Garamond"/>
          <w:sz w:val="22"/>
          <w:szCs w:val="22"/>
        </w:rPr>
        <w:t>ombine</w:t>
      </w:r>
      <w:r w:rsidRPr="003C5C0F">
        <w:rPr>
          <w:rFonts w:ascii="Garamond" w:hAnsi="Garamond"/>
          <w:sz w:val="22"/>
          <w:szCs w:val="22"/>
        </w:rPr>
        <w:t>d</w:t>
      </w:r>
      <w:r w:rsidR="00B753DE" w:rsidRPr="003C5C0F">
        <w:rPr>
          <w:rFonts w:ascii="Garamond" w:hAnsi="Garamond"/>
          <w:sz w:val="22"/>
          <w:szCs w:val="22"/>
        </w:rPr>
        <w:t xml:space="preserve"> with a greater overlap in isotope values between CWAK fish, make classification more difficult. Still, secondary features in the otolith data appear to contribute to class separation (Figure X), and </w:t>
      </w:r>
      <w:r w:rsidR="00B753DE" w:rsidRPr="003C5C0F">
        <w:rPr>
          <w:rFonts w:ascii="Garamond" w:hAnsi="Garamond"/>
          <w:sz w:val="22"/>
          <w:szCs w:val="22"/>
        </w:rPr>
        <w:lastRenderedPageBreak/>
        <w:t xml:space="preserve">these small variations may become more readily apparent for classification given greater timeseries analysis techniques, data resolution, or increasing sample size. </w:t>
      </w:r>
    </w:p>
    <w:p w14:paraId="2281EF5A" w14:textId="77777777" w:rsidR="002D29B3" w:rsidRDefault="002D29B3" w:rsidP="002D29B3">
      <w:pPr>
        <w:spacing w:line="480" w:lineRule="auto"/>
        <w:ind w:firstLine="720"/>
        <w:rPr>
          <w:rFonts w:ascii="Garamond" w:hAnsi="Garamond"/>
          <w:sz w:val="22"/>
          <w:szCs w:val="22"/>
        </w:rPr>
      </w:pPr>
    </w:p>
    <w:p w14:paraId="0DAF0DB3" w14:textId="77777777" w:rsidR="00624A8A" w:rsidRDefault="00624A8A" w:rsidP="00624A8A">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p>
    <w:p w14:paraId="6ACD9A69" w14:textId="6C3A251F" w:rsidR="00624A8A" w:rsidRDefault="00624A8A" w:rsidP="00624A8A">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r w:rsidRPr="00624A8A">
        <w:rPr>
          <w:rFonts w:ascii="Times New Roman" w:eastAsia="Times New Roman" w:hAnsi="Times New Roman" w:cs="Times New Roman"/>
          <w:b/>
          <w:bCs/>
          <w:kern w:val="0"/>
          <w:sz w:val="20"/>
          <w:szCs w:val="20"/>
          <w14:ligatures w14:val="none"/>
        </w:rPr>
        <w:t>Implications for Stock Assessment and Management</w:t>
      </w:r>
    </w:p>
    <w:p w14:paraId="1BCB579E" w14:textId="77777777" w:rsidR="00D27C7B" w:rsidRDefault="00D27C7B" w:rsidP="00D27C7B">
      <w:pPr>
        <w:pStyle w:val="whitespace-normal"/>
        <w:spacing w:line="480" w:lineRule="auto"/>
        <w:ind w:firstLine="720"/>
      </w:pPr>
      <w:r>
        <w:t>A tool to estimate provenance of marine-caught Chinook salmon in Western Alaska has the potential to expand assessment of important hypotheses regarding declining salmon health and better incorporate river-specific management efforts into intercept-based marine fisheries. Given the ongoing crisis of declining population health, these methods may also help understand the differential impact of stressors across stocks and communities in the region.</w:t>
      </w:r>
    </w:p>
    <w:p w14:paraId="13A09593" w14:textId="346C95BD" w:rsidR="00D27C7B" w:rsidRDefault="00D27C7B" w:rsidP="002E41F6">
      <w:pPr>
        <w:pStyle w:val="whitespace-normal"/>
        <w:spacing w:line="480" w:lineRule="auto"/>
        <w:ind w:firstLine="720"/>
      </w:pPr>
      <w:r>
        <w:t>The models presented here provide an immediately available tool for estimating provenance from otolith LA-ICPMS data of adult or juvenile marine-caught Chinook salmon. These models were developed from one of the largest datasets of its kind, including samples spanning several years across all three major river basins.</w:t>
      </w:r>
      <w:r w:rsidR="002E41F6">
        <w:t xml:space="preserve"> However, these models can continue to be improved on through additional sampling efforts, application of additional timeseries analysis tools, or through application of other machine or deep learning approaches. </w:t>
      </w:r>
    </w:p>
    <w:p w14:paraId="18270C1A" w14:textId="5B1D0E77" w:rsidR="00E5472C" w:rsidRPr="005E5F5B" w:rsidRDefault="00E5472C" w:rsidP="00D27C7B">
      <w:pPr>
        <w:pStyle w:val="whitespace-normal"/>
        <w:spacing w:line="480" w:lineRule="auto"/>
        <w:rPr>
          <w:rFonts w:ascii="Garamond" w:hAnsi="Garamond"/>
        </w:rPr>
      </w:pPr>
      <w:r w:rsidRPr="005E5F5B">
        <w:rPr>
          <w:rFonts w:ascii="Garamond" w:hAnsi="Garamond"/>
        </w:rPr>
        <w:t>This library of information can continue to be built upon and improved through the addition of new samples, new analytical techniques, or through the combination of powerful timeseries analysis tools not addressed here. In addition, the methods presented here provide quantifiable confidence values which can be directly used by managers to make decisions based on changing thresholds of misassignment risk, offering a practical framework for incorporating uncertainty into management decisions.</w:t>
      </w:r>
    </w:p>
    <w:p w14:paraId="7865D4F6"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lastRenderedPageBreak/>
        <w:t>These methods are not without limitations. They are expensive and have a slow turnaround time, meaning they cannot be used for in-season management, which would be a powerful application of river-specific provenance estimates. Sampling otoliths is lethal, meaning they may not be able to be collected in large numbers for stocks or species of concern, particularly as population health continues to decline.</w:t>
      </w:r>
    </w:p>
    <w:p w14:paraId="75A7E217"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t>In addition, this model is specifically built for Chinook salmon and leverages the strength of a large existing dataset. Similar datasets do not exist for other species of concern, for example chum salmon, limiting broader application. These species may not contain the spatial resolution of multiple environments given their uniquely short life history. However, there may be some patterns in the limited data that would make this approach appropriate for future exploration.</w:t>
      </w:r>
    </w:p>
    <w:p w14:paraId="07308A66" w14:textId="2D51EAEA" w:rsidR="00624A8A" w:rsidRPr="005E5F5B" w:rsidRDefault="00E5472C" w:rsidP="005E5F5B">
      <w:pPr>
        <w:spacing w:before="100" w:beforeAutospacing="1" w:after="100" w:afterAutospacing="1" w:line="480" w:lineRule="auto"/>
        <w:ind w:firstLine="720"/>
        <w:outlineLvl w:val="1"/>
        <w:rPr>
          <w:rFonts w:ascii="Garamond" w:eastAsia="Times New Roman" w:hAnsi="Garamond" w:cs="Times New Roman"/>
          <w:b/>
          <w:bCs/>
          <w:kern w:val="0"/>
          <w:sz w:val="20"/>
          <w:szCs w:val="20"/>
          <w14:ligatures w14:val="none"/>
        </w:rPr>
      </w:pPr>
      <w:r w:rsidRPr="005E5F5B">
        <w:rPr>
          <w:rFonts w:ascii="Garamond" w:hAnsi="Garamond"/>
        </w:rPr>
        <w:t xml:space="preserve">This work addresses the fundamental challenge of achieving adequate spatial resolution for ecosystem monitoring and management in remote, complex systems, particularly as global change accelerates and stakeholder needs intensify. By enabling stock-specific assessments of marine-caught salmon, these methods bridge the critical gap between broad population-level monitoring—which can mask local threats and stock-specific declines—and the fine-scale processes that drive ecosystem health. As climate change continues to alter marine and freshwater environments at unprecedented rates, and as fishing pressures and subsistence needs create competing demands on declining salmon resources, tools that can detect subtle, population-specific responses across spatial scales become increasingly essential. The machine learning framework developed here demonstrates how methodological innovation can unlock information hidden within existing datasets, potentially transforming our capacity to understand and manage ecological systems under mounting environmental and social pressures. Ultimately, such approaches offer pathways toward more </w:t>
      </w:r>
      <w:r w:rsidRPr="005E5F5B">
        <w:rPr>
          <w:rFonts w:ascii="Garamond" w:hAnsi="Garamond"/>
        </w:rPr>
        <w:lastRenderedPageBreak/>
        <w:t>spatially explicit management that can better balance conservation goals with the subsistence and commercial needs of communities whose livelihoods depend on these critical resources</w:t>
      </w:r>
    </w:p>
    <w:p w14:paraId="02E39E02" w14:textId="77777777" w:rsidR="00624A8A" w:rsidRPr="00624A8A" w:rsidRDefault="00624A8A" w:rsidP="00624A8A">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p>
    <w:p w14:paraId="0A6D3D0F" w14:textId="77777777" w:rsidR="00624A8A" w:rsidRDefault="00624A8A" w:rsidP="00624A8A"/>
    <w:p w14:paraId="0C7C8691" w14:textId="77777777" w:rsidR="00624A8A" w:rsidRDefault="00624A8A" w:rsidP="00071CCC">
      <w:pPr>
        <w:rPr>
          <w:rFonts w:ascii="Garamond" w:hAnsi="Garamond"/>
          <w:sz w:val="20"/>
          <w:szCs w:val="20"/>
        </w:rPr>
      </w:pPr>
    </w:p>
    <w:p w14:paraId="7B48F9A1" w14:textId="1BBDCDED" w:rsidR="00985634" w:rsidRDefault="00985634" w:rsidP="00071CCC"/>
    <w:sectPr w:rsidR="0098563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77777777"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Benjamin J. Makhlouf" w:date="2025-08-18T11:18:00Z" w:initials="b">
    <w:p w14:paraId="51CBD6D1" w14:textId="09ADC913" w:rsidR="002A47CE" w:rsidRDefault="002A47CE" w:rsidP="002A47CE">
      <w:r>
        <w:rPr>
          <w:rStyle w:val="CommentReference"/>
        </w:rPr>
        <w:annotationRef/>
      </w:r>
      <w:r>
        <w:rPr>
          <w:sz w:val="20"/>
          <w:szCs w:val="20"/>
        </w:rPr>
        <w:t>Note to self: Ask diego for the specifications for all years</w:t>
      </w:r>
    </w:p>
  </w:comment>
  <w:comment w:id="2" w:author="Benjamin J. Makhlouf" w:date="2025-09-02T09:56:00Z" w:initials="b">
    <w:p w14:paraId="4E3434D0" w14:textId="77777777"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3" w:author="Benjamin J. Makhlouf" w:date="2025-09-02T10:22:00Z" w:initials="b">
    <w:p w14:paraId="16C43ACC" w14:textId="77777777" w:rsidR="0038052F" w:rsidRDefault="0038052F" w:rsidP="0038052F">
      <w:r>
        <w:rPr>
          <w:rStyle w:val="CommentReference"/>
        </w:rPr>
        <w:annotationRef/>
      </w:r>
      <w:r>
        <w:rPr>
          <w:sz w:val="20"/>
          <w:szCs w:val="20"/>
        </w:rPr>
        <w:t>Will do a full CWAK (All watersheds) vs non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0"/>
  <w15:commentEx w15:paraId="51CBD6D1" w15:done="0"/>
  <w15:commentEx w15:paraId="4E3434D0" w15:done="0"/>
  <w15:commentEx w15:paraId="16C43A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6197010A" w16cex:dateUtc="2025-08-18T18:18:00Z"/>
  <w16cex:commentExtensible w16cex:durableId="208C7FE7" w16cex:dateUtc="2025-09-02T16:56:00Z"/>
  <w16cex:commentExtensible w16cex:durableId="3FDF2CD4" w16cex:dateUtc="2025-09-02T17: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51CBD6D1" w16cid:durableId="6197010A"/>
  <w16cid:commentId w16cid:paraId="4E3434D0" w16cid:durableId="208C7FE7"/>
  <w16cid:commentId w16cid:paraId="16C43ACC" w16cid:durableId="3FDF2CD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14197"/>
    <w:rsid w:val="000326A8"/>
    <w:rsid w:val="00043ACE"/>
    <w:rsid w:val="00043EBC"/>
    <w:rsid w:val="00052F65"/>
    <w:rsid w:val="00071CCC"/>
    <w:rsid w:val="00083149"/>
    <w:rsid w:val="000869FF"/>
    <w:rsid w:val="00091070"/>
    <w:rsid w:val="000941AF"/>
    <w:rsid w:val="00096BA7"/>
    <w:rsid w:val="000C2944"/>
    <w:rsid w:val="000D1B34"/>
    <w:rsid w:val="000F0779"/>
    <w:rsid w:val="000F4EE0"/>
    <w:rsid w:val="000F4F29"/>
    <w:rsid w:val="0010010D"/>
    <w:rsid w:val="00103E0E"/>
    <w:rsid w:val="00112ED8"/>
    <w:rsid w:val="00135A3B"/>
    <w:rsid w:val="00154136"/>
    <w:rsid w:val="001844EB"/>
    <w:rsid w:val="00186DE9"/>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948A2"/>
    <w:rsid w:val="002A47CE"/>
    <w:rsid w:val="002C12CC"/>
    <w:rsid w:val="002D29B3"/>
    <w:rsid w:val="002E41F6"/>
    <w:rsid w:val="002F10A9"/>
    <w:rsid w:val="002F5E0E"/>
    <w:rsid w:val="002F666C"/>
    <w:rsid w:val="002F6934"/>
    <w:rsid w:val="00302CA2"/>
    <w:rsid w:val="0031165E"/>
    <w:rsid w:val="00311BF2"/>
    <w:rsid w:val="0032184B"/>
    <w:rsid w:val="00354445"/>
    <w:rsid w:val="003606FC"/>
    <w:rsid w:val="00364186"/>
    <w:rsid w:val="003642FE"/>
    <w:rsid w:val="0038052F"/>
    <w:rsid w:val="0038560E"/>
    <w:rsid w:val="00386D82"/>
    <w:rsid w:val="003A0BEA"/>
    <w:rsid w:val="003A63D4"/>
    <w:rsid w:val="003A69C6"/>
    <w:rsid w:val="003A7A96"/>
    <w:rsid w:val="003B0A46"/>
    <w:rsid w:val="003C5C0F"/>
    <w:rsid w:val="003E5607"/>
    <w:rsid w:val="003F681E"/>
    <w:rsid w:val="003F7E9E"/>
    <w:rsid w:val="00401A6A"/>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97545"/>
    <w:rsid w:val="004B1012"/>
    <w:rsid w:val="004C0AA3"/>
    <w:rsid w:val="004C2541"/>
    <w:rsid w:val="004C4DA5"/>
    <w:rsid w:val="004D2BA0"/>
    <w:rsid w:val="004D6CDE"/>
    <w:rsid w:val="004E5235"/>
    <w:rsid w:val="00511B5E"/>
    <w:rsid w:val="0051389E"/>
    <w:rsid w:val="00523B37"/>
    <w:rsid w:val="00525222"/>
    <w:rsid w:val="00526D9D"/>
    <w:rsid w:val="00527EB9"/>
    <w:rsid w:val="00530E86"/>
    <w:rsid w:val="00533C00"/>
    <w:rsid w:val="0053609D"/>
    <w:rsid w:val="00542302"/>
    <w:rsid w:val="00557AB9"/>
    <w:rsid w:val="00560622"/>
    <w:rsid w:val="00563F6D"/>
    <w:rsid w:val="005672B1"/>
    <w:rsid w:val="005A0FE2"/>
    <w:rsid w:val="005B3BF5"/>
    <w:rsid w:val="005C1DE3"/>
    <w:rsid w:val="005E5F5B"/>
    <w:rsid w:val="005E7567"/>
    <w:rsid w:val="005F0F57"/>
    <w:rsid w:val="005F1D8A"/>
    <w:rsid w:val="00616EA6"/>
    <w:rsid w:val="00624A8A"/>
    <w:rsid w:val="0063065E"/>
    <w:rsid w:val="00643661"/>
    <w:rsid w:val="0064697E"/>
    <w:rsid w:val="0064756C"/>
    <w:rsid w:val="00651A61"/>
    <w:rsid w:val="006624B2"/>
    <w:rsid w:val="006716D7"/>
    <w:rsid w:val="00673B21"/>
    <w:rsid w:val="00683419"/>
    <w:rsid w:val="00694712"/>
    <w:rsid w:val="006A410C"/>
    <w:rsid w:val="006A5948"/>
    <w:rsid w:val="006C1496"/>
    <w:rsid w:val="006C63F4"/>
    <w:rsid w:val="006D0CB1"/>
    <w:rsid w:val="006D1DD4"/>
    <w:rsid w:val="006D218F"/>
    <w:rsid w:val="006D3221"/>
    <w:rsid w:val="006E1563"/>
    <w:rsid w:val="006E32E4"/>
    <w:rsid w:val="006F084E"/>
    <w:rsid w:val="006F3408"/>
    <w:rsid w:val="006F600C"/>
    <w:rsid w:val="00701699"/>
    <w:rsid w:val="00711B8E"/>
    <w:rsid w:val="00721D27"/>
    <w:rsid w:val="00726EC4"/>
    <w:rsid w:val="00730E96"/>
    <w:rsid w:val="0073705F"/>
    <w:rsid w:val="00737BCD"/>
    <w:rsid w:val="0075722E"/>
    <w:rsid w:val="00780305"/>
    <w:rsid w:val="007803F1"/>
    <w:rsid w:val="0078300E"/>
    <w:rsid w:val="00793ED4"/>
    <w:rsid w:val="00795E53"/>
    <w:rsid w:val="00796E6F"/>
    <w:rsid w:val="007C6AED"/>
    <w:rsid w:val="007D5270"/>
    <w:rsid w:val="007F08A6"/>
    <w:rsid w:val="007F1A2B"/>
    <w:rsid w:val="00802938"/>
    <w:rsid w:val="00813C70"/>
    <w:rsid w:val="0081488C"/>
    <w:rsid w:val="00820C00"/>
    <w:rsid w:val="008310CB"/>
    <w:rsid w:val="00841057"/>
    <w:rsid w:val="00841F42"/>
    <w:rsid w:val="008475B7"/>
    <w:rsid w:val="00882F20"/>
    <w:rsid w:val="00884ECC"/>
    <w:rsid w:val="00886C18"/>
    <w:rsid w:val="00892DEA"/>
    <w:rsid w:val="00894C0A"/>
    <w:rsid w:val="008A1DA2"/>
    <w:rsid w:val="008A52C4"/>
    <w:rsid w:val="008A53F5"/>
    <w:rsid w:val="008A545E"/>
    <w:rsid w:val="008A7985"/>
    <w:rsid w:val="008C5595"/>
    <w:rsid w:val="008C5FCA"/>
    <w:rsid w:val="008C6234"/>
    <w:rsid w:val="008C7400"/>
    <w:rsid w:val="008D0D27"/>
    <w:rsid w:val="008E7FFA"/>
    <w:rsid w:val="00907410"/>
    <w:rsid w:val="00911D52"/>
    <w:rsid w:val="009157FF"/>
    <w:rsid w:val="0092735E"/>
    <w:rsid w:val="009326D5"/>
    <w:rsid w:val="00941848"/>
    <w:rsid w:val="00945E61"/>
    <w:rsid w:val="0095522F"/>
    <w:rsid w:val="0095592C"/>
    <w:rsid w:val="00960D9E"/>
    <w:rsid w:val="00965651"/>
    <w:rsid w:val="00967D0B"/>
    <w:rsid w:val="009743E7"/>
    <w:rsid w:val="00985634"/>
    <w:rsid w:val="0099371C"/>
    <w:rsid w:val="00997FB9"/>
    <w:rsid w:val="009A02DB"/>
    <w:rsid w:val="009A29F5"/>
    <w:rsid w:val="009B0B8C"/>
    <w:rsid w:val="009B4729"/>
    <w:rsid w:val="009B73BD"/>
    <w:rsid w:val="009C5E47"/>
    <w:rsid w:val="009D0CB2"/>
    <w:rsid w:val="009E23C6"/>
    <w:rsid w:val="009F51C3"/>
    <w:rsid w:val="00A0360F"/>
    <w:rsid w:val="00A043C9"/>
    <w:rsid w:val="00A113DB"/>
    <w:rsid w:val="00A16CAA"/>
    <w:rsid w:val="00A31015"/>
    <w:rsid w:val="00A42A3A"/>
    <w:rsid w:val="00A4709E"/>
    <w:rsid w:val="00A4712A"/>
    <w:rsid w:val="00A53E07"/>
    <w:rsid w:val="00A60C7C"/>
    <w:rsid w:val="00A83F4D"/>
    <w:rsid w:val="00AA6FED"/>
    <w:rsid w:val="00AA7224"/>
    <w:rsid w:val="00AB079F"/>
    <w:rsid w:val="00AB4F2C"/>
    <w:rsid w:val="00AE24AA"/>
    <w:rsid w:val="00AF5A80"/>
    <w:rsid w:val="00B008EE"/>
    <w:rsid w:val="00B119FB"/>
    <w:rsid w:val="00B2797F"/>
    <w:rsid w:val="00B30111"/>
    <w:rsid w:val="00B31CD2"/>
    <w:rsid w:val="00B32AF3"/>
    <w:rsid w:val="00B335D4"/>
    <w:rsid w:val="00B753DE"/>
    <w:rsid w:val="00B84DE8"/>
    <w:rsid w:val="00B936A6"/>
    <w:rsid w:val="00B96193"/>
    <w:rsid w:val="00BB5BBB"/>
    <w:rsid w:val="00BD2714"/>
    <w:rsid w:val="00BD3BE0"/>
    <w:rsid w:val="00BD5921"/>
    <w:rsid w:val="00BE529C"/>
    <w:rsid w:val="00BF2E8A"/>
    <w:rsid w:val="00C02555"/>
    <w:rsid w:val="00C1569E"/>
    <w:rsid w:val="00C16ECB"/>
    <w:rsid w:val="00C2398D"/>
    <w:rsid w:val="00C265F6"/>
    <w:rsid w:val="00C26DD3"/>
    <w:rsid w:val="00C426E7"/>
    <w:rsid w:val="00C51A58"/>
    <w:rsid w:val="00C73537"/>
    <w:rsid w:val="00C9741A"/>
    <w:rsid w:val="00CA34D3"/>
    <w:rsid w:val="00CA63D8"/>
    <w:rsid w:val="00CD36CA"/>
    <w:rsid w:val="00CD3FB4"/>
    <w:rsid w:val="00CE7F91"/>
    <w:rsid w:val="00CF0294"/>
    <w:rsid w:val="00CF0435"/>
    <w:rsid w:val="00CF5C6C"/>
    <w:rsid w:val="00D210C3"/>
    <w:rsid w:val="00D25194"/>
    <w:rsid w:val="00D27C7B"/>
    <w:rsid w:val="00D440B2"/>
    <w:rsid w:val="00D53F6D"/>
    <w:rsid w:val="00D55132"/>
    <w:rsid w:val="00D70E26"/>
    <w:rsid w:val="00D7690A"/>
    <w:rsid w:val="00D848A0"/>
    <w:rsid w:val="00D86BCC"/>
    <w:rsid w:val="00D97F1C"/>
    <w:rsid w:val="00DA7891"/>
    <w:rsid w:val="00DB0B6F"/>
    <w:rsid w:val="00DC7070"/>
    <w:rsid w:val="00DE161A"/>
    <w:rsid w:val="00DE389D"/>
    <w:rsid w:val="00DF1513"/>
    <w:rsid w:val="00E06D65"/>
    <w:rsid w:val="00E2005E"/>
    <w:rsid w:val="00E22B3F"/>
    <w:rsid w:val="00E454BB"/>
    <w:rsid w:val="00E45DBA"/>
    <w:rsid w:val="00E46DD7"/>
    <w:rsid w:val="00E50AAB"/>
    <w:rsid w:val="00E51F5E"/>
    <w:rsid w:val="00E5472C"/>
    <w:rsid w:val="00E673AF"/>
    <w:rsid w:val="00E73D9A"/>
    <w:rsid w:val="00EC7467"/>
    <w:rsid w:val="00ED165F"/>
    <w:rsid w:val="00ED3EE6"/>
    <w:rsid w:val="00EE450C"/>
    <w:rsid w:val="00F001C8"/>
    <w:rsid w:val="00F044CE"/>
    <w:rsid w:val="00F06C0C"/>
    <w:rsid w:val="00F13113"/>
    <w:rsid w:val="00F15670"/>
    <w:rsid w:val="00F436E6"/>
    <w:rsid w:val="00F52F54"/>
    <w:rsid w:val="00F64010"/>
    <w:rsid w:val="00F6547F"/>
    <w:rsid w:val="00F67738"/>
    <w:rsid w:val="00F75B08"/>
    <w:rsid w:val="00F864E5"/>
    <w:rsid w:val="00F94D1D"/>
    <w:rsid w:val="00FA1987"/>
    <w:rsid w:val="00FA6CD2"/>
    <w:rsid w:val="00FB146C"/>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3213</TotalTime>
  <Pages>15</Pages>
  <Words>12343</Words>
  <Characters>70356</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cp:revision>
  <dcterms:created xsi:type="dcterms:W3CDTF">2025-05-19T03:17:00Z</dcterms:created>
  <dcterms:modified xsi:type="dcterms:W3CDTF">2025-09-07T00:22:00Z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id="IvA4sCFE"/&gt;&lt;style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