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617ABD49" w14:textId="77777777" w:rsidR="00CA63D8" w:rsidRDefault="00CA63D8" w:rsidP="00CA63D8">
      <w:pPr>
        <w:spacing w:line="480" w:lineRule="auto"/>
        <w:rPr>
          <w:rFonts w:ascii="Garamond" w:hAnsi="Garamond"/>
        </w:rPr>
      </w:pPr>
    </w:p>
    <w:p w14:paraId="26181149" w14:textId="77777777" w:rsidR="00CA63D8" w:rsidRDefault="00CA63D8" w:rsidP="00CA63D8">
      <w:pPr>
        <w:spacing w:line="480" w:lineRule="auto"/>
        <w:rPr>
          <w:rFonts w:ascii="Garamond" w:hAnsi="Garamond"/>
        </w:rPr>
      </w:pPr>
    </w:p>
    <w:p w14:paraId="519016C2" w14:textId="77777777" w:rsidR="00CA63D8" w:rsidRDefault="00CA63D8" w:rsidP="00CA63D8">
      <w:pPr>
        <w:spacing w:line="480" w:lineRule="auto"/>
        <w:rPr>
          <w:rFonts w:ascii="Garamond" w:hAnsi="Garamond"/>
        </w:rPr>
      </w:pPr>
    </w:p>
    <w:p w14:paraId="05004B05" w14:textId="77777777" w:rsidR="00CA63D8" w:rsidRDefault="00CA63D8" w:rsidP="00CA63D8">
      <w:pPr>
        <w:spacing w:line="480" w:lineRule="auto"/>
        <w:rPr>
          <w:rFonts w:ascii="Garamond" w:hAnsi="Garamond"/>
        </w:rPr>
      </w:pPr>
    </w:p>
    <w:p w14:paraId="04F4D7F6" w14:textId="77777777" w:rsidR="00CA63D8" w:rsidRDefault="00CA63D8" w:rsidP="00CA63D8">
      <w:pPr>
        <w:spacing w:line="480" w:lineRule="auto"/>
        <w:rPr>
          <w:rFonts w:ascii="Garamond" w:hAnsi="Garamond"/>
        </w:rPr>
      </w:pPr>
    </w:p>
    <w:p w14:paraId="66331E66" w14:textId="77777777" w:rsidR="00CA63D8" w:rsidRDefault="00CA63D8" w:rsidP="00CA63D8">
      <w:pPr>
        <w:spacing w:line="480" w:lineRule="auto"/>
        <w:rPr>
          <w:rFonts w:ascii="Garamond" w:hAnsi="Garamond"/>
        </w:rPr>
      </w:pPr>
    </w:p>
    <w:p w14:paraId="028D5EE6" w14:textId="77777777" w:rsidR="00CA63D8" w:rsidRDefault="00CA63D8" w:rsidP="00CA63D8">
      <w:pPr>
        <w:spacing w:line="480" w:lineRule="auto"/>
        <w:rPr>
          <w:rFonts w:ascii="Garamond" w:hAnsi="Garamond"/>
        </w:rPr>
      </w:pPr>
    </w:p>
    <w:p w14:paraId="79E3D503" w14:textId="77777777" w:rsidR="00CA63D8" w:rsidRDefault="00CA63D8" w:rsidP="00CA63D8">
      <w:pPr>
        <w:spacing w:line="480" w:lineRule="auto"/>
        <w:rPr>
          <w:rFonts w:ascii="Garamond" w:hAnsi="Garamond"/>
        </w:rPr>
      </w:pPr>
    </w:p>
    <w:p w14:paraId="414F837D" w14:textId="77777777" w:rsidR="00CA63D8" w:rsidRDefault="00CA63D8" w:rsidP="00CA63D8">
      <w:pPr>
        <w:spacing w:line="480" w:lineRule="auto"/>
        <w:rPr>
          <w:rFonts w:ascii="Garamond" w:hAnsi="Garamond"/>
        </w:rPr>
      </w:pPr>
    </w:p>
    <w:p w14:paraId="5F6D726D" w14:textId="77777777" w:rsidR="00CA63D8" w:rsidRDefault="00CA63D8" w:rsidP="00CA63D8">
      <w:pPr>
        <w:spacing w:line="480" w:lineRule="auto"/>
        <w:rPr>
          <w:rFonts w:ascii="Garamond" w:hAnsi="Garamond"/>
        </w:rPr>
      </w:pPr>
    </w:p>
    <w:p w14:paraId="1564E5D9" w14:textId="77777777" w:rsidR="00CA63D8" w:rsidRDefault="00CA63D8" w:rsidP="00CA63D8">
      <w:pPr>
        <w:spacing w:line="480" w:lineRule="auto"/>
        <w:rPr>
          <w:rFonts w:ascii="Garamond" w:hAnsi="Garamond"/>
        </w:rPr>
      </w:pPr>
    </w:p>
    <w:p w14:paraId="58074BE0" w14:textId="77777777" w:rsidR="00CA63D8" w:rsidRDefault="00CA63D8" w:rsidP="00CA63D8">
      <w:pPr>
        <w:spacing w:line="480" w:lineRule="auto"/>
        <w:rPr>
          <w:rFonts w:ascii="Garamond" w:hAnsi="Garamond"/>
        </w:rPr>
      </w:pPr>
    </w:p>
    <w:p w14:paraId="54E126A9" w14:textId="77777777" w:rsidR="00CA63D8" w:rsidRDefault="00CA63D8" w:rsidP="00CA63D8">
      <w:pPr>
        <w:spacing w:line="480" w:lineRule="auto"/>
        <w:rPr>
          <w:rFonts w:ascii="Garamond" w:hAnsi="Garamond"/>
        </w:rPr>
      </w:pPr>
    </w:p>
    <w:p w14:paraId="59A527E9" w14:textId="77777777" w:rsidR="00CA63D8" w:rsidRDefault="00CA63D8" w:rsidP="00CA63D8">
      <w:pPr>
        <w:spacing w:line="480" w:lineRule="auto"/>
        <w:rPr>
          <w:rFonts w:ascii="Garamond" w:hAnsi="Garamond"/>
        </w:rPr>
      </w:pPr>
    </w:p>
    <w:p w14:paraId="7B0E24F7" w14:textId="77777777" w:rsidR="00CA63D8" w:rsidRDefault="00CA63D8" w:rsidP="00CA63D8">
      <w:pPr>
        <w:spacing w:line="480" w:lineRule="auto"/>
        <w:rPr>
          <w:rFonts w:ascii="Garamond" w:hAnsi="Garamond"/>
        </w:rPr>
      </w:pP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7BFCA7EC" w14:textId="79988722" w:rsidR="00F436E6" w:rsidRPr="00A42A3A" w:rsidRDefault="00F436E6" w:rsidP="00F15670">
      <w:pPr>
        <w:spacing w:line="480" w:lineRule="auto"/>
        <w:ind w:firstLine="720"/>
        <w:rPr>
          <w:rFonts w:ascii="Garamond" w:hAnsi="Garamond"/>
          <w:sz w:val="22"/>
          <w:szCs w:val="22"/>
        </w:rPr>
      </w:pPr>
      <w:r w:rsidRPr="00A42A3A">
        <w:rPr>
          <w:rFonts w:ascii="Garamond" w:hAnsi="Garamond"/>
        </w:rPr>
        <w:t>Understanding how environmental stressors affect ecosystems across spatial and temporal scales is essential for monitoring and managing ecological responses to global change. This task is especially difficult in remote, complex systems, where conventional monitoring may be impractical or inadequate for capturing fine-scale processes.</w:t>
      </w:r>
      <w:r w:rsidRPr="00A42A3A">
        <w:rPr>
          <w:rFonts w:ascii="Garamond" w:hAnsi="Garamond"/>
        </w:rPr>
        <w:t xml:space="preserve"> </w:t>
      </w:r>
      <w:r w:rsidRPr="00A42A3A">
        <w:rPr>
          <w:rFonts w:ascii="Garamond" w:hAnsi="Garamond"/>
        </w:rPr>
        <w:t>While population-level assessments offer broad-scale perspectives, they can mask threats to ecosystem health at finer spatial scales or within subpopulations. Without adequate spatial resolution, assessments may fail to detect local disturbances or to evaluate how impacts are distributed across ecosystem services.</w:t>
      </w:r>
    </w:p>
    <w:p w14:paraId="48C0066C" w14:textId="77777777" w:rsidR="006F600C" w:rsidRPr="00CA63D8" w:rsidRDefault="006F600C" w:rsidP="007C6AED">
      <w:pPr>
        <w:spacing w:line="480" w:lineRule="auto"/>
        <w:ind w:firstLine="720"/>
        <w:rPr>
          <w:rFonts w:ascii="Garamond" w:hAnsi="Garamond"/>
          <w:sz w:val="22"/>
          <w:szCs w:val="22"/>
        </w:rPr>
      </w:pPr>
      <w:r w:rsidRPr="00CA63D8">
        <w:rPr>
          <w:rFonts w:ascii="Garamond" w:hAnsi="Garamond"/>
          <w:sz w:val="22"/>
          <w:szCs w:val="22"/>
        </w:rPr>
        <w:t xml:space="preserve">Management of Pacific salmon populations in Western Alaska exemplifies these challenges. Returning adults display diverse life histories, run timings, and habitat use across the Yukon, Kuskokwim, and </w:t>
      </w:r>
      <w:proofErr w:type="spellStart"/>
      <w:r w:rsidRPr="00CA63D8">
        <w:rPr>
          <w:rFonts w:ascii="Garamond" w:hAnsi="Garamond"/>
          <w:sz w:val="22"/>
          <w:szCs w:val="22"/>
        </w:rPr>
        <w:t>Nushagak</w:t>
      </w:r>
      <w:proofErr w:type="spellEnd"/>
      <w:r w:rsidRPr="00CA63D8">
        <w:rPr>
          <w:rFonts w:ascii="Garamond" w:hAnsi="Garamond"/>
          <w:sz w:val="22"/>
          <w:szCs w:val="22"/>
        </w:rPr>
        <w:t xml:space="preserve"> rivers, the three major basins in the region. They also migrate vast distances through remote ecosystems, making direct monitoring logistically prohibitive. Salmon in this region support valuable commercial fisheries and serve as a critical subsistence resource for upstream communities. Understanding river- or stock-specific population health over space and time is essential for management that balances harvest opportunities, basin-wide escapement goals, and efforts to build population resilience.</w:t>
      </w:r>
    </w:p>
    <w:p w14:paraId="117F9D6F" w14:textId="77777777" w:rsidR="00FD2359" w:rsidRDefault="006F600C" w:rsidP="00FD2359">
      <w:pPr>
        <w:spacing w:line="480" w:lineRule="auto"/>
        <w:ind w:firstLine="720"/>
        <w:rPr>
          <w:rFonts w:ascii="Garamond" w:hAnsi="Garamond"/>
          <w:sz w:val="22"/>
          <w:szCs w:val="22"/>
        </w:rPr>
      </w:pPr>
      <w:r w:rsidRPr="00FD2359">
        <w:rPr>
          <w:rFonts w:ascii="Garamond" w:hAnsi="Garamond"/>
          <w:sz w:val="22"/>
          <w:szCs w:val="22"/>
        </w:rPr>
        <w:t>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have led to fishery restrictions and contributed to a crisis of food insecurity and cultural loss. </w:t>
      </w:r>
      <w:r w:rsidR="00FD2359" w:rsidRPr="00FD2359">
        <w:rPr>
          <w:rFonts w:ascii="Garamond" w:hAnsi="Garamond"/>
          <w:sz w:val="22"/>
          <w:szCs w:val="22"/>
        </w:rPr>
        <w:t>Consequently, there is a pressing need to evaluate the mechanisms of population decline</w:t>
      </w:r>
      <w:r w:rsidR="00F15670" w:rsidRPr="00FD2359">
        <w:rPr>
          <w:rFonts w:ascii="Garamond" w:hAnsi="Garamond"/>
          <w:sz w:val="22"/>
          <w:szCs w:val="22"/>
        </w:rPr>
        <w:t xml:space="preserve"> and to assess the spatial distribution of impacts across</w:t>
      </w:r>
      <w:r w:rsidR="00FD2359" w:rsidRPr="00FD2359">
        <w:rPr>
          <w:rFonts w:ascii="Garamond" w:hAnsi="Garamond"/>
          <w:sz w:val="22"/>
          <w:szCs w:val="22"/>
        </w:rPr>
        <w:t xml:space="preserve"> the region. </w:t>
      </w:r>
      <w:r w:rsidR="00FD2359" w:rsidRPr="00CA63D8">
        <w:rPr>
          <w:rFonts w:ascii="Garamond" w:hAnsi="Garamond"/>
          <w:sz w:val="22"/>
          <w:szCs w:val="22"/>
        </w:rPr>
        <w:t>Several plausible hypotheses have been proposed, many involving mortality during the marine life stage, including effects of changing habitat conditions, bycatch in federal trawl fisheries, and harvest in targeted intercept fisheries on migrating stocks</w:t>
      </w:r>
      <w:r w:rsidR="00FD2359" w:rsidRPr="00CA63D8">
        <w:rPr>
          <w:rFonts w:ascii="Garamond" w:hAnsi="Garamond"/>
          <w:sz w:val="22"/>
          <w:szCs w:val="22"/>
        </w:rPr>
        <w:t>. P</w:t>
      </w:r>
      <w:r w:rsidR="00FD2359" w:rsidRPr="00CA63D8">
        <w:rPr>
          <w:rFonts w:ascii="Garamond" w:hAnsi="Garamond"/>
          <w:sz w:val="22"/>
          <w:szCs w:val="22"/>
        </w:rPr>
        <w:t>rogress in testing these hypotheses has been hindered by the limited ability to determine the river of origin for marine-caught fish, preventing assessment of marine mortality in the context of river- or sub-basin-specific population health.</w:t>
      </w:r>
    </w:p>
    <w:p w14:paraId="541CC541" w14:textId="58D936DC" w:rsidR="0010010D" w:rsidRPr="00CA63D8" w:rsidRDefault="00FD2359" w:rsidP="00FD2359">
      <w:pPr>
        <w:spacing w:line="480" w:lineRule="auto"/>
        <w:ind w:firstLine="720"/>
        <w:rPr>
          <w:rFonts w:ascii="Garamond" w:hAnsi="Garamond"/>
          <w:sz w:val="22"/>
          <w:szCs w:val="22"/>
        </w:rPr>
      </w:pPr>
      <w:r w:rsidRPr="00CA63D8">
        <w:rPr>
          <w:rFonts w:ascii="Garamond" w:hAnsi="Garamond"/>
          <w:sz w:val="22"/>
          <w:szCs w:val="22"/>
        </w:rPr>
        <w:lastRenderedPageBreak/>
        <w:t>Genetic stock identification (GSI) has become a powerful and widely used tool for estimating the provenance of many Chinook salmon stocks in Alaska and for supporting in-season management.</w:t>
      </w:r>
      <w:r w:rsidRPr="00CA63D8">
        <w:rPr>
          <w:rFonts w:ascii="Garamond" w:hAnsi="Garamond"/>
          <w:sz w:val="22"/>
          <w:szCs w:val="22"/>
        </w:rPr>
        <w:t xml:space="preserve"> </w:t>
      </w:r>
      <w:r w:rsidR="00F15670" w:rsidRPr="00CA63D8">
        <w:rPr>
          <w:rFonts w:ascii="Garamond" w:hAnsi="Garamond"/>
          <w:sz w:val="22"/>
          <w:szCs w:val="22"/>
        </w:rPr>
        <w:t xml:space="preserve">However, </w:t>
      </w:r>
      <w:r w:rsidR="007F08A6" w:rsidRPr="00CA63D8">
        <w:rPr>
          <w:rFonts w:ascii="Garamond" w:hAnsi="Garamond"/>
          <w:sz w:val="22"/>
          <w:szCs w:val="22"/>
        </w:rPr>
        <w:t xml:space="preserve">Chinook salmon in Western Alaska lack sufficient genetic structure </w:t>
      </w:r>
      <w:proofErr w:type="gramStart"/>
      <w:r w:rsidR="007F08A6" w:rsidRPr="00CA63D8">
        <w:rPr>
          <w:rFonts w:ascii="Garamond" w:hAnsi="Garamond"/>
          <w:sz w:val="22"/>
          <w:szCs w:val="22"/>
        </w:rPr>
        <w:t xml:space="preserve">to  </w:t>
      </w:r>
      <w:r w:rsidR="007C6AED" w:rsidRPr="00CA63D8">
        <w:rPr>
          <w:rFonts w:ascii="Garamond" w:hAnsi="Garamond"/>
          <w:sz w:val="22"/>
          <w:szCs w:val="22"/>
        </w:rPr>
        <w:t>within</w:t>
      </w:r>
      <w:proofErr w:type="gramEnd"/>
      <w:r w:rsidR="007C6AED" w:rsidRPr="00CA63D8">
        <w:rPr>
          <w:rFonts w:ascii="Garamond" w:hAnsi="Garamond"/>
          <w:sz w:val="22"/>
          <w:szCs w:val="22"/>
        </w:rPr>
        <w:t xml:space="preserve"> the </w:t>
      </w:r>
      <w:r w:rsidR="007F08A6" w:rsidRPr="00CA63D8">
        <w:rPr>
          <w:rFonts w:ascii="Garamond" w:hAnsi="Garamond"/>
          <w:sz w:val="22"/>
          <w:szCs w:val="22"/>
        </w:rPr>
        <w:t xml:space="preserve">Coastal Western Alaska (CWAK) </w:t>
      </w:r>
      <w:r w:rsidRPr="00CA63D8">
        <w:rPr>
          <w:rFonts w:ascii="Garamond" w:hAnsi="Garamond"/>
          <w:sz w:val="22"/>
          <w:szCs w:val="22"/>
        </w:rPr>
        <w:t>genetic reporting</w:t>
      </w:r>
      <w:r w:rsidR="007F08A6" w:rsidRPr="00CA63D8">
        <w:rPr>
          <w:rFonts w:ascii="Garamond" w:hAnsi="Garamond"/>
          <w:sz w:val="22"/>
          <w:szCs w:val="22"/>
        </w:rPr>
        <w:t xml:space="preserve"> group, which </w:t>
      </w:r>
      <w:r w:rsidR="007C6AED" w:rsidRPr="00CA63D8">
        <w:rPr>
          <w:rFonts w:ascii="Garamond" w:hAnsi="Garamond"/>
          <w:sz w:val="22"/>
          <w:szCs w:val="22"/>
        </w:rPr>
        <w:t>cannot discriminate among river systems</w:t>
      </w:r>
      <w:r w:rsidRPr="00CA63D8">
        <w:rPr>
          <w:rFonts w:ascii="Garamond" w:hAnsi="Garamond"/>
          <w:sz w:val="22"/>
          <w:szCs w:val="22"/>
        </w:rPr>
        <w:t xml:space="preserve"> (Figure 1). </w:t>
      </w:r>
      <w:r w:rsidR="007C6AED" w:rsidRPr="00CA63D8">
        <w:rPr>
          <w:rFonts w:ascii="Garamond" w:hAnsi="Garamond"/>
          <w:sz w:val="22"/>
          <w:szCs w:val="22"/>
        </w:rPr>
        <w:t xml:space="preserve"> </w:t>
      </w:r>
      <w:r w:rsidRPr="00CA63D8">
        <w:rPr>
          <w:rFonts w:ascii="Garamond" w:hAnsi="Garamond"/>
          <w:sz w:val="22"/>
          <w:szCs w:val="22"/>
        </w:rPr>
        <w:t>In parallel, isotope-based methods using fish ear stones (otoliths) have emerged as an alternative approach, offering potentially finer spatial resolution than genetics in some cases</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Pr="00CA63D8">
        <w:rPr>
          <w:rFonts w:ascii="Garamond" w:hAnsi="Garamond"/>
          <w:sz w:val="22"/>
          <w:szCs w:val="22"/>
        </w:rPr>
        <w:t xml:space="preserve">the </w:t>
      </w:r>
      <w:r w:rsidR="0010010D" w:rsidRPr="00CA63D8">
        <w:rPr>
          <w:rFonts w:ascii="Garamond" w:hAnsi="Garamond"/>
          <w:sz w:val="22"/>
          <w:szCs w:val="22"/>
        </w:rPr>
        <w:t>otolith</w:t>
      </w:r>
      <w:r w:rsidRPr="00CA63D8">
        <w:rPr>
          <w:rFonts w:ascii="Garamond" w:hAnsi="Garamond"/>
          <w:sz w:val="22"/>
          <w:szCs w:val="22"/>
        </w:rPr>
        <w:t xml:space="preserve"> structure</w:t>
      </w:r>
      <w:r w:rsidR="0010010D" w:rsidRPr="00CA63D8">
        <w:rPr>
          <w:rFonts w:ascii="Garamond" w:hAnsi="Garamond"/>
          <w:sz w:val="22"/>
          <w:szCs w:val="22"/>
        </w:rPr>
        <w:t xml:space="preserve">, and </w:t>
      </w:r>
      <w:r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Pr="00CA63D8">
        <w:rPr>
          <w:rFonts w:ascii="Garamond" w:hAnsi="Garamond"/>
          <w:sz w:val="22"/>
          <w:szCs w:val="22"/>
        </w:rPr>
        <w:t xml:space="preserve">This signature </w:t>
      </w:r>
      <w:r w:rsidRPr="00CA63D8">
        <w:rPr>
          <w:rFonts w:ascii="Garamond" w:hAnsi="Garamond"/>
          <w:sz w:val="22"/>
          <w:szCs w:val="22"/>
        </w:rPr>
        <w:t xml:space="preserve">has </w:t>
      </w:r>
      <w:proofErr w:type="gramStart"/>
      <w:r w:rsidRPr="00CA63D8">
        <w:rPr>
          <w:rFonts w:ascii="Garamond" w:hAnsi="Garamond"/>
          <w:sz w:val="22"/>
          <w:szCs w:val="22"/>
        </w:rPr>
        <w:t>be</w:t>
      </w:r>
      <w:proofErr w:type="gramEnd"/>
      <w:r w:rsidRPr="00CA63D8">
        <w:rPr>
          <w:rFonts w:ascii="Garamond" w:hAnsi="Garamond"/>
          <w:sz w:val="22"/>
          <w:szCs w:val="22"/>
        </w:rPr>
        <w:t xml:space="preserve"> used to estimate provenance by comparing the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ratio from the freshwater natal portion of the otolith to modeled landscape values (Cite).</w:t>
      </w:r>
      <w:r w:rsidR="007C6AED" w:rsidRPr="00CA63D8">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sidR="00443259" w:rsidRPr="00CA63D8">
        <w:rPr>
          <w:rFonts w:ascii="Garamond" w:hAnsi="Garamond"/>
          <w:sz w:val="22"/>
          <w:szCs w:val="22"/>
        </w:rPr>
        <w:t xml:space="preserve">reliable </w:t>
      </w:r>
      <w:r w:rsidR="0010010D" w:rsidRPr="00CA63D8">
        <w:rPr>
          <w:rFonts w:ascii="Garamond" w:hAnsi="Garamond"/>
          <w:sz w:val="22"/>
          <w:szCs w:val="22"/>
        </w:rPr>
        <w:t>within-</w:t>
      </w:r>
      <w:r w:rsidR="00443259" w:rsidRPr="00CA63D8">
        <w:rPr>
          <w:rFonts w:ascii="Garamond" w:hAnsi="Garamond"/>
          <w:sz w:val="22"/>
          <w:szCs w:val="22"/>
        </w:rPr>
        <w:t>river</w:t>
      </w:r>
      <w:r w:rsidR="0010010D" w:rsidRPr="00CA63D8">
        <w:rPr>
          <w:rFonts w:ascii="Garamond" w:hAnsi="Garamond"/>
          <w:sz w:val="22"/>
          <w:szCs w:val="22"/>
        </w:rPr>
        <w:t xml:space="preserve"> </w:t>
      </w:r>
      <w:r w:rsidR="00443259" w:rsidRPr="00CA63D8">
        <w:rPr>
          <w:rFonts w:ascii="Garamond" w:hAnsi="Garamond"/>
          <w:sz w:val="22"/>
          <w:szCs w:val="22"/>
        </w:rPr>
        <w:t xml:space="preserve">estimates of </w:t>
      </w:r>
      <w:r w:rsidR="0010010D" w:rsidRPr="00CA63D8">
        <w:rPr>
          <w:rFonts w:ascii="Garamond" w:hAnsi="Garamond"/>
          <w:sz w:val="22"/>
          <w:szCs w:val="22"/>
        </w:rPr>
        <w:t xml:space="preserve">provenance </w:t>
      </w:r>
      <w:r w:rsidR="00443259" w:rsidRPr="00CA63D8">
        <w:rPr>
          <w:rFonts w:ascii="Garamond" w:hAnsi="Garamond"/>
          <w:sz w:val="22"/>
          <w:szCs w:val="22"/>
        </w:rPr>
        <w:t>are</w:t>
      </w:r>
      <w:r w:rsidR="0010010D" w:rsidRPr="00CA63D8">
        <w:rPr>
          <w:rFonts w:ascii="Garamond" w:hAnsi="Garamond"/>
          <w:sz w:val="22"/>
          <w:szCs w:val="22"/>
        </w:rPr>
        <w:t xml:space="preserve"> possible in Western Alaska, regional overlap</w:t>
      </w:r>
      <w:r w:rsidR="00CA63D8" w:rsidRPr="00CA63D8">
        <w:rPr>
          <w:rFonts w:ascii="Garamond" w:hAnsi="Garamond"/>
          <w:sz w:val="22"/>
          <w:szCs w:val="22"/>
        </w:rPr>
        <w:t xml:space="preserve"> in </w:t>
      </w:r>
      <w:r w:rsidR="00CA63D8" w:rsidRPr="00CA63D8">
        <w:rPr>
          <w:rFonts w:ascii="Cambria Math" w:hAnsi="Cambria Math" w:cs="Cambria Math"/>
          <w:sz w:val="22"/>
          <w:szCs w:val="22"/>
        </w:rPr>
        <w:t>⁸⁷</w:t>
      </w:r>
      <w:r w:rsidR="00CA63D8" w:rsidRPr="00CA63D8">
        <w:rPr>
          <w:rFonts w:ascii="Garamond" w:hAnsi="Garamond"/>
          <w:sz w:val="22"/>
          <w:szCs w:val="22"/>
        </w:rPr>
        <w:t>Sr/</w:t>
      </w:r>
      <w:r w:rsidR="00CA63D8" w:rsidRPr="00CA63D8">
        <w:rPr>
          <w:rFonts w:ascii="Cambria Math" w:hAnsi="Cambria Math" w:cs="Cambria Math"/>
          <w:sz w:val="22"/>
          <w:szCs w:val="22"/>
        </w:rPr>
        <w:t>⁸⁶</w:t>
      </w:r>
      <w:r w:rsidR="00CA63D8" w:rsidRPr="00CA63D8">
        <w:rPr>
          <w:rFonts w:ascii="Garamond" w:hAnsi="Garamond"/>
          <w:sz w:val="22"/>
          <w:szCs w:val="22"/>
        </w:rPr>
        <w:t>Sr</w:t>
      </w:r>
      <w:r w:rsidR="00CA63D8" w:rsidRPr="00CA63D8">
        <w:rPr>
          <w:rFonts w:ascii="Garamond" w:hAnsi="Garamond"/>
          <w:sz w:val="22"/>
          <w:szCs w:val="22"/>
        </w:rPr>
        <w:t xml:space="preserve"> ratios</w:t>
      </w:r>
      <w:r w:rsidR="0010010D" w:rsidRPr="00CA63D8">
        <w:rPr>
          <w:rFonts w:ascii="Garamond" w:hAnsi="Garamond"/>
          <w:sz w:val="22"/>
          <w:szCs w:val="22"/>
        </w:rPr>
        <w:t xml:space="preserve"> among </w:t>
      </w:r>
      <w:r w:rsidR="00CA63D8" w:rsidRPr="00CA63D8">
        <w:rPr>
          <w:rFonts w:ascii="Garamond" w:hAnsi="Garamond"/>
          <w:sz w:val="22"/>
          <w:szCs w:val="22"/>
        </w:rPr>
        <w:t xml:space="preserve">all three river systems </w:t>
      </w:r>
      <w:r w:rsidR="0010010D" w:rsidRPr="00CA63D8">
        <w:rPr>
          <w:rFonts w:ascii="Garamond" w:hAnsi="Garamond"/>
          <w:sz w:val="22"/>
          <w:szCs w:val="22"/>
        </w:rPr>
        <w:t>prevent</w:t>
      </w:r>
      <w:r w:rsidR="007C6AED" w:rsidRPr="00CA63D8">
        <w:rPr>
          <w:rFonts w:ascii="Garamond" w:hAnsi="Garamond"/>
          <w:sz w:val="22"/>
          <w:szCs w:val="22"/>
        </w:rPr>
        <w:t>s</w:t>
      </w:r>
      <w:r w:rsidR="0010010D" w:rsidRPr="00CA63D8">
        <w:rPr>
          <w:rFonts w:ascii="Garamond" w:hAnsi="Garamond"/>
          <w:sz w:val="22"/>
          <w:szCs w:val="22"/>
        </w:rPr>
        <w:t xml:space="preserve"> reliable assignments </w:t>
      </w:r>
      <w:r w:rsidR="007C6AED" w:rsidRPr="00CA63D8">
        <w:rPr>
          <w:rFonts w:ascii="Garamond" w:hAnsi="Garamond"/>
          <w:sz w:val="22"/>
          <w:szCs w:val="22"/>
        </w:rPr>
        <w:t xml:space="preserve">using the </w:t>
      </w:r>
      <w:r w:rsidR="0010010D" w:rsidRPr="00CA63D8">
        <w:rPr>
          <w:rFonts w:ascii="Garamond" w:hAnsi="Garamond"/>
          <w:sz w:val="22"/>
          <w:szCs w:val="22"/>
        </w:rPr>
        <w:t>natal</w:t>
      </w:r>
      <w:r w:rsidR="007C6AED" w:rsidRPr="00CA63D8">
        <w:rPr>
          <w:rFonts w:ascii="Garamond" w:hAnsi="Garamond"/>
          <w:sz w:val="22"/>
          <w:szCs w:val="22"/>
        </w:rPr>
        <w:t xml:space="preserve"> freshwater</w:t>
      </w:r>
      <w:r w:rsidR="0010010D" w:rsidRPr="00CA63D8">
        <w:rPr>
          <w:rFonts w:ascii="Garamond" w:hAnsi="Garamond"/>
          <w:sz w:val="22"/>
          <w:szCs w:val="22"/>
        </w:rPr>
        <w:t xml:space="preserve"> </w:t>
      </w:r>
      <w:r w:rsidR="007C6AED" w:rsidRPr="00CA63D8">
        <w:rPr>
          <w:rFonts w:ascii="Garamond" w:hAnsi="Garamond"/>
          <w:sz w:val="22"/>
          <w:szCs w:val="22"/>
        </w:rPr>
        <w:t>ratio</w:t>
      </w:r>
      <w:r w:rsidR="00CA63D8" w:rsidRPr="00CA63D8">
        <w:rPr>
          <w:rFonts w:ascii="Garamond" w:hAnsi="Garamond"/>
          <w:sz w:val="22"/>
          <w:szCs w:val="22"/>
        </w:rPr>
        <w:t xml:space="preserve"> for marine-caught fish which could have originated from any of the three watersheds</w:t>
      </w:r>
      <w:r w:rsidR="0010010D" w:rsidRPr="00CA63D8">
        <w:rPr>
          <w:rFonts w:ascii="Garamond" w:hAnsi="Garamond"/>
          <w:sz w:val="22"/>
          <w:szCs w:val="22"/>
        </w:rPr>
        <w:t xml:space="preserve"> (Figure 1).</w:t>
      </w:r>
    </w:p>
    <w:p w14:paraId="1D808454" w14:textId="6BF93109" w:rsidR="00CA63D8" w:rsidRPr="00CA63D8" w:rsidRDefault="00CA63D8" w:rsidP="00CA63D8">
      <w:pPr>
        <w:spacing w:line="480" w:lineRule="auto"/>
        <w:ind w:firstLine="720"/>
        <w:rPr>
          <w:rFonts w:ascii="Garamond" w:hAnsi="Garamond"/>
          <w:sz w:val="22"/>
          <w:szCs w:val="22"/>
        </w:rPr>
      </w:pPr>
      <w:r w:rsidRPr="00CA63D8">
        <w:rPr>
          <w:rFonts w:ascii="Garamond" w:hAnsi="Garamond"/>
          <w:sz w:val="22"/>
          <w:szCs w:val="22"/>
        </w:rPr>
        <w:t xml:space="preserve">Otolith growth and isotopic incorporation occur continuously over an individual’s lifetime, producing a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 time series along the growth axis that encodes sequential habitat use, relative growth, and maternal migration history</w:t>
      </w:r>
      <w:r w:rsidRPr="00CA63D8">
        <w:rPr>
          <w:rFonts w:ascii="Garamond" w:hAnsi="Garamond"/>
          <w:sz w:val="22"/>
          <w:szCs w:val="22"/>
        </w:rPr>
        <w:t xml:space="preserve"> </w:t>
      </w:r>
      <w:r w:rsidR="00F64010" w:rsidRPr="00CA63D8">
        <w:rPr>
          <w:rFonts w:ascii="Garamond" w:hAnsi="Garamond"/>
          <w:sz w:val="22"/>
          <w:szCs w:val="22"/>
        </w:rPr>
        <w:fldChar w:fldCharType="begin"/>
      </w:r>
      <w:r w:rsidR="00F64010" w:rsidRPr="00CA63D8">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CA63D8">
        <w:rPr>
          <w:rFonts w:ascii="Garamond" w:hAnsi="Garamond"/>
          <w:sz w:val="22"/>
          <w:szCs w:val="22"/>
        </w:rPr>
        <w:fldChar w:fldCharType="separate"/>
      </w:r>
      <w:r w:rsidR="00F64010" w:rsidRPr="00CA63D8">
        <w:rPr>
          <w:rFonts w:ascii="Garamond" w:hAnsi="Garamond"/>
          <w:noProof/>
          <w:sz w:val="22"/>
          <w:szCs w:val="22"/>
        </w:rPr>
        <w:t>(Hegg et al., 2019; Reis-Santos et al., 2022)</w:t>
      </w:r>
      <w:r w:rsidR="00F64010" w:rsidRPr="00CA63D8">
        <w:rPr>
          <w:rFonts w:ascii="Garamond" w:hAnsi="Garamond"/>
          <w:sz w:val="22"/>
          <w:szCs w:val="22"/>
        </w:rPr>
        <w:fldChar w:fldCharType="end"/>
      </w:r>
      <w:r w:rsidR="00F64010" w:rsidRPr="00CA63D8">
        <w:rPr>
          <w:rFonts w:ascii="Garamond" w:hAnsi="Garamond"/>
          <w:sz w:val="22"/>
          <w:szCs w:val="22"/>
        </w:rPr>
        <w:t xml:space="preserve">. </w:t>
      </w:r>
      <w:r w:rsidR="00FC2E42" w:rsidRPr="00CA63D8">
        <w:rPr>
          <w:rFonts w:ascii="Garamond" w:hAnsi="Garamond"/>
          <w:sz w:val="22"/>
          <w:szCs w:val="22"/>
        </w:rPr>
        <w:t xml:space="preserve">These patterns can be useful for reconstructing life histories. However, </w:t>
      </w:r>
      <w:r w:rsidR="007F08A6" w:rsidRPr="00CA63D8">
        <w:rPr>
          <w:rFonts w:ascii="Garamond" w:hAnsi="Garamond"/>
          <w:sz w:val="22"/>
          <w:szCs w:val="22"/>
        </w:rPr>
        <w:t>rapid movements through multiple environments may prevent full isotopic equilibration</w:t>
      </w:r>
      <w:r w:rsidRPr="00CA63D8">
        <w:rPr>
          <w:rFonts w:ascii="Garamond" w:hAnsi="Garamond"/>
          <w:sz w:val="22"/>
          <w:szCs w:val="22"/>
        </w:rPr>
        <w:t xml:space="preserve"> and o</w:t>
      </w:r>
      <w:r w:rsidR="00FC2E42" w:rsidRPr="00CA63D8">
        <w:rPr>
          <w:rFonts w:ascii="Garamond" w:hAnsi="Garamond"/>
          <w:sz w:val="22"/>
          <w:szCs w:val="22"/>
        </w:rPr>
        <w:t xml:space="preserve">tolith </w:t>
      </w:r>
      <w:r w:rsidR="00FC2E42" w:rsidRPr="00CA63D8">
        <w:rPr>
          <w:rFonts w:ascii="Cambria Math" w:hAnsi="Cambria Math" w:cs="Cambria Math"/>
          <w:sz w:val="22"/>
          <w:szCs w:val="22"/>
        </w:rPr>
        <w:t>⁸⁷</w:t>
      </w:r>
      <w:r w:rsidR="00FC2E42" w:rsidRPr="00CA63D8">
        <w:rPr>
          <w:rFonts w:ascii="Garamond" w:hAnsi="Garamond"/>
          <w:sz w:val="22"/>
          <w:szCs w:val="22"/>
        </w:rPr>
        <w:t>Sr/</w:t>
      </w:r>
      <w:r w:rsidR="00FC2E42" w:rsidRPr="00CA63D8">
        <w:rPr>
          <w:rFonts w:ascii="Cambria Math" w:hAnsi="Cambria Math" w:cs="Cambria Math"/>
          <w:sz w:val="22"/>
          <w:szCs w:val="22"/>
        </w:rPr>
        <w:t>⁸⁶</w:t>
      </w:r>
      <w:r w:rsidR="00FC2E42" w:rsidRPr="00CA63D8">
        <w:rPr>
          <w:rFonts w:ascii="Garamond" w:hAnsi="Garamond"/>
          <w:sz w:val="22"/>
          <w:szCs w:val="22"/>
        </w:rPr>
        <w:t>Sr</w:t>
      </w:r>
      <w:r w:rsidR="00FC2E42" w:rsidRPr="00CA63D8">
        <w:rPr>
          <w:rFonts w:ascii="Garamond" w:hAnsi="Garamond"/>
          <w:sz w:val="22"/>
          <w:szCs w:val="22"/>
        </w:rPr>
        <w:t xml:space="preserve"> values</w:t>
      </w:r>
      <w:r w:rsidRPr="00CA63D8">
        <w:rPr>
          <w:rFonts w:ascii="Garamond" w:hAnsi="Garamond"/>
          <w:sz w:val="22"/>
          <w:szCs w:val="22"/>
        </w:rPr>
        <w:t xml:space="preserve"> may</w:t>
      </w:r>
      <w:r w:rsidR="00FC2E42" w:rsidRPr="00CA63D8">
        <w:rPr>
          <w:rFonts w:ascii="Garamond" w:hAnsi="Garamond"/>
          <w:sz w:val="22"/>
          <w:szCs w:val="22"/>
        </w:rPr>
        <w:t xml:space="preserve"> not directly reflect those of </w:t>
      </w:r>
      <w:r w:rsidRPr="00CA63D8">
        <w:rPr>
          <w:rFonts w:ascii="Garamond" w:hAnsi="Garamond"/>
          <w:sz w:val="22"/>
          <w:szCs w:val="22"/>
        </w:rPr>
        <w:t xml:space="preserve">each subsequent environment. </w:t>
      </w:r>
      <w:r w:rsidRPr="00CA63D8">
        <w:rPr>
          <w:rFonts w:ascii="Garamond" w:hAnsi="Garamond"/>
          <w:sz w:val="22"/>
          <w:szCs w:val="22"/>
        </w:rPr>
        <w:t>For Pacific salmon, which migrate quickly through sequential habitats to the ocean, otolith strontium data may contain subtle patterns that together form a “fingerprint” capable of identifying stocks or watersheds based on unique migration pathways.</w:t>
      </w:r>
      <w:r w:rsidRPr="00CA63D8">
        <w:rPr>
          <w:rFonts w:ascii="Garamond" w:hAnsi="Garamond"/>
          <w:sz w:val="22"/>
          <w:szCs w:val="22"/>
        </w:rPr>
        <w:t xml:space="preserve"> However</w:t>
      </w:r>
      <w:r w:rsidRPr="00CA63D8">
        <w:rPr>
          <w:rFonts w:ascii="Garamond" w:hAnsi="Garamond"/>
          <w:sz w:val="22"/>
          <w:szCs w:val="22"/>
        </w:rPr>
        <w:t>, because these patterns are subtle and the number of possible combinations in large river basins is high, such identifiers are difficult to detect using traditional statistical or manual methods.</w:t>
      </w:r>
    </w:p>
    <w:p w14:paraId="5ED2AE5F" w14:textId="669FDA24" w:rsidR="00F6547F" w:rsidRPr="007C6AED" w:rsidRDefault="00F64010" w:rsidP="00CA63D8">
      <w:pPr>
        <w:spacing w:line="480" w:lineRule="auto"/>
        <w:ind w:firstLine="720"/>
        <w:rPr>
          <w:rFonts w:ascii="Garamond" w:hAnsi="Garamond"/>
          <w:sz w:val="22"/>
          <w:szCs w:val="22"/>
        </w:rPr>
      </w:pPr>
      <w:r w:rsidRPr="007C6AED">
        <w:rPr>
          <w:rFonts w:ascii="Garamond" w:hAnsi="Garamond"/>
          <w:sz w:val="22"/>
          <w:szCs w:val="22"/>
        </w:rPr>
        <w:lastRenderedPageBreak/>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At the same time, there is growing recognition that collapsing continuous laser ablation (LA) data into single, discrete values results in the loss of potentially powerful information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(Hegg &amp; Kennedy, 2021)</w:t>
      </w:r>
      <w:r w:rsidRPr="007C6AED">
        <w:rPr>
          <w:rFonts w:ascii="Garamond" w:hAnsi="Garamond"/>
          <w:sz w:val="22"/>
          <w:szCs w:val="22"/>
        </w:rPr>
        <w:fldChar w:fldCharType="end"/>
      </w:r>
      <w:r w:rsidRPr="007C6AED">
        <w:rPr>
          <w:rFonts w:ascii="Garamond" w:hAnsi="Garamond"/>
          <w:sz w:val="22"/>
          <w:szCs w:val="22"/>
        </w:rPr>
        <w:t xml:space="preserve">. Leveraging the statistical power of machine learning on sequentially ordered otolith time-series data may enable the detection of otherwise indiscernible patterns within and across LA datasets, potentially revealing key life history traits and providing novel insights into ecological processes across space and time. Here, we apply machine learning classification algorithms to </w:t>
      </w:r>
      <w:r w:rsidR="002C12CC">
        <w:rPr>
          <w:rFonts w:ascii="Garamond" w:hAnsi="Garamond"/>
          <w:sz w:val="22"/>
          <w:szCs w:val="22"/>
        </w:rPr>
        <w:t xml:space="preserve">a large dataset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475B8D8F"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 xml:space="preserve">(Donohoe &amp; Zimmerman, 2010; Zimmerman </w:t>
      </w:r>
      <w:r w:rsidR="00C26DD3">
        <w:rPr>
          <w:rFonts w:ascii="Garamond" w:hAnsi="Garamond"/>
          <w:noProof/>
          <w:sz w:val="22"/>
          <w:szCs w:val="22"/>
        </w:rPr>
        <w:lastRenderedPageBreak/>
        <w:t>&amp;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0"/>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0"/>
      <w:r w:rsidR="002A47CE">
        <w:rPr>
          <w:rStyle w:val="CommentReference"/>
        </w:rPr>
        <w:commentReference w:id="0"/>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7EC1B482" w14:textId="63D34199" w:rsidR="00CE7F91" w:rsidRDefault="005E7567" w:rsidP="002A47CE">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CE7F91">
        <w:rPr>
          <w:rFonts w:ascii="Garamond" w:hAnsi="Garamond"/>
          <w:sz w:val="22"/>
          <w:szCs w:val="22"/>
        </w:rPr>
        <w:t>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2A47CE">
        <w:rPr>
          <w:rFonts w:ascii="Garamond" w:hAnsi="Garamond"/>
          <w:sz w:val="22"/>
          <w:szCs w:val="22"/>
        </w:rPr>
        <w:t xml:space="preserve">a convergency of </w:t>
      </w:r>
      <w:r w:rsidR="002A47CE" w:rsidRPr="005E7567">
        <w:rPr>
          <w:rFonts w:ascii="Cambria Math" w:hAnsi="Cambria Math" w:cs="Cambria Math"/>
          <w:sz w:val="22"/>
          <w:szCs w:val="22"/>
        </w:rPr>
        <w:t>⁸⁷</w:t>
      </w:r>
      <w:r w:rsidR="002A47CE" w:rsidRPr="005E7567">
        <w:rPr>
          <w:rFonts w:ascii="Garamond" w:hAnsi="Garamond"/>
          <w:sz w:val="22"/>
          <w:szCs w:val="22"/>
        </w:rPr>
        <w:t>Sr/</w:t>
      </w:r>
      <w:r w:rsidR="002A47CE" w:rsidRPr="005E7567">
        <w:rPr>
          <w:rFonts w:ascii="Cambria Math" w:hAnsi="Cambria Math" w:cs="Cambria Math"/>
          <w:sz w:val="22"/>
          <w:szCs w:val="22"/>
        </w:rPr>
        <w:t>⁸⁶</w:t>
      </w:r>
      <w:r w:rsidR="002A47CE" w:rsidRPr="005E7567">
        <w:rPr>
          <w:rFonts w:ascii="Garamond" w:hAnsi="Garamond"/>
          <w:sz w:val="22"/>
          <w:szCs w:val="22"/>
        </w:rPr>
        <w:t>Sr</w:t>
      </w:r>
      <w:r w:rsidR="002A47CE">
        <w:rPr>
          <w:rFonts w:ascii="Garamond" w:hAnsi="Garamond"/>
          <w:sz w:val="22"/>
          <w:szCs w:val="22"/>
        </w:rPr>
        <w:t xml:space="preserve"> </w:t>
      </w:r>
      <w:r w:rsidR="00CE7F91">
        <w:rPr>
          <w:rFonts w:ascii="Garamond" w:hAnsi="Garamond"/>
          <w:sz w:val="22"/>
          <w:szCs w:val="22"/>
        </w:rPr>
        <w:t xml:space="preserve">values </w:t>
      </w:r>
      <w:r w:rsidR="002A47CE">
        <w:rPr>
          <w:rFonts w:ascii="Garamond" w:hAnsi="Garamond"/>
          <w:sz w:val="22"/>
          <w:szCs w:val="22"/>
        </w:rPr>
        <w:t xml:space="preserve">towards the </w:t>
      </w:r>
      <w:r w:rsidR="00CE7F91">
        <w:rPr>
          <w:rFonts w:ascii="Garamond" w:hAnsi="Garamond"/>
          <w:sz w:val="22"/>
          <w:szCs w:val="22"/>
        </w:rPr>
        <w:t xml:space="preserve">global marine value </w:t>
      </w:r>
      <w:r w:rsidRPr="005E7567">
        <w:rPr>
          <w:rFonts w:ascii="Garamond" w:hAnsi="Garamond"/>
          <w:sz w:val="22"/>
          <w:szCs w:val="22"/>
        </w:rPr>
        <w:t>(0.7092)</w:t>
      </w:r>
      <w:r w:rsidR="002A47CE">
        <w:rPr>
          <w:rFonts w:ascii="Garamond" w:hAnsi="Garamond"/>
          <w:sz w:val="22"/>
          <w:szCs w:val="22"/>
        </w:rPr>
        <w:t xml:space="preserve">.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xml:space="preserve">, a rapid increase in Sr88,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proofErr w:type="gramStart"/>
      <w:r w:rsidR="00CE7F91">
        <w:rPr>
          <w:rFonts w:ascii="Garamond" w:hAnsi="Garamond"/>
          <w:sz w:val="22"/>
          <w:szCs w:val="22"/>
        </w:rPr>
        <w:t>were</w:t>
      </w:r>
      <w:proofErr w:type="gramEnd"/>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 xml:space="preserve">All trimmed datasets were then manually </w:t>
      </w:r>
      <w:proofErr w:type="spellStart"/>
      <w:r w:rsidR="00616EA6">
        <w:rPr>
          <w:rFonts w:ascii="Garamond" w:hAnsi="Garamond"/>
          <w:sz w:val="22"/>
          <w:szCs w:val="22"/>
        </w:rPr>
        <w:t>QC’d</w:t>
      </w:r>
      <w:proofErr w:type="spellEnd"/>
      <w:r w:rsidR="00616EA6">
        <w:rPr>
          <w:rFonts w:ascii="Garamond" w:hAnsi="Garamond"/>
          <w:sz w:val="22"/>
          <w:szCs w:val="22"/>
        </w:rPr>
        <w:t>,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w:t>
      </w:r>
      <w:r w:rsidR="006D1DD4" w:rsidRPr="00F6547F">
        <w:rPr>
          <w:rFonts w:ascii="Garamond" w:hAnsi="Garamond"/>
          <w:sz w:val="22"/>
          <w:szCs w:val="22"/>
        </w:rPr>
        <w:lastRenderedPageBreak/>
        <w:t xml:space="preserve">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2682F25E" w14:textId="2517984F" w:rsidR="00FE6991" w:rsidRDefault="00AF5A80" w:rsidP="00CD3FB4">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730E96" w:rsidRPr="00AE24AA">
        <w:rPr>
          <w:rFonts w:ascii="Garamond" w:hAnsi="Garamond"/>
          <w:sz w:val="22"/>
          <w:szCs w:val="22"/>
        </w:rPr>
        <w:t xml:space="preserve">of 0.7075- 0.7080. PCA plots were produced to visualize clustering of both PC1 (47.46% of variance) and PC2 (20.93% of variance) as well as between PC1 and PC3 (10.23% of variance). </w:t>
      </w:r>
      <w:r w:rsidR="005F1D8A" w:rsidRPr="00AE24AA">
        <w:rPr>
          <w:rFonts w:ascii="Garamond" w:hAnsi="Garamond"/>
          <w:sz w:val="22"/>
          <w:szCs w:val="22"/>
        </w:rPr>
        <w:t xml:space="preserve">To identify the most discriminatory portions of the timeseries, the absolute values of principal component loadings </w:t>
      </w:r>
      <w:r w:rsidR="00CD3FB4">
        <w:rPr>
          <w:rFonts w:ascii="Garamond" w:hAnsi="Garamond"/>
          <w:sz w:val="22"/>
          <w:szCs w:val="22"/>
        </w:rPr>
        <w:t xml:space="preserve">were then mapped </w:t>
      </w:r>
      <w:r w:rsidR="005F1D8A" w:rsidRPr="00AE24AA">
        <w:rPr>
          <w:rFonts w:ascii="Garamond" w:hAnsi="Garamond"/>
          <w:sz w:val="22"/>
          <w:szCs w:val="22"/>
        </w:rPr>
        <w:t>onto their corresponding timeseries positions</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E87D85D" w14:textId="77777777" w:rsidR="00CD3FB4" w:rsidRPr="00CD3FB4" w:rsidRDefault="00CD3FB4" w:rsidP="00CD3FB4">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F94E579" w:rsidR="00444663" w:rsidRDefault="00CD3FB4" w:rsidP="00CD3FB4">
      <w:pPr>
        <w:spacing w:line="480" w:lineRule="auto"/>
        <w:ind w:firstLine="720"/>
        <w:rPr>
          <w:rFonts w:ascii="Garamond" w:hAnsi="Garamond"/>
          <w:sz w:val="22"/>
          <w:szCs w:val="22"/>
        </w:rPr>
      </w:pPr>
      <w:r>
        <w:rPr>
          <w:rFonts w:ascii="Garamond" w:hAnsi="Garamond"/>
          <w:sz w:val="22"/>
          <w:szCs w:val="22"/>
        </w:rPr>
        <w:lastRenderedPageBreak/>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444663" w:rsidRPr="009B73BD">
        <w:rPr>
          <w:rFonts w:ascii="Garamond" w:hAnsi="Garamond"/>
          <w:sz w:val="22"/>
          <w:szCs w:val="22"/>
        </w:rPr>
        <w:t xml:space="preserve"> training </w:t>
      </w:r>
      <w:proofErr w:type="gramStart"/>
      <w:r w:rsidR="00444663" w:rsidRPr="009B73BD">
        <w:rPr>
          <w:rFonts w:ascii="Garamond" w:hAnsi="Garamond"/>
          <w:sz w:val="22"/>
          <w:szCs w:val="22"/>
        </w:rPr>
        <w:t>and</w:t>
      </w:r>
      <w:proofErr w:type="gramEnd"/>
      <w:r w:rsidR="00444663" w:rsidRPr="009B73BD">
        <w:rPr>
          <w:rFonts w:ascii="Garamond" w:hAnsi="Garamond"/>
          <w:sz w:val="22"/>
          <w:szCs w:val="22"/>
        </w:rPr>
        <w:t xml:space="preserve"> testing sets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Pr>
          <w:rFonts w:ascii="Garamond" w:hAnsi="Garamond"/>
          <w:sz w:val="22"/>
          <w:szCs w:val="22"/>
        </w:rPr>
        <w:t xml:space="preserve">On the training set for each dataset, we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1"/>
      <w:r w:rsidR="00444663" w:rsidRPr="00701699">
        <w:rPr>
          <w:rFonts w:ascii="Garamond" w:hAnsi="Garamond"/>
          <w:sz w:val="22"/>
          <w:szCs w:val="22"/>
        </w:rPr>
        <w:t>R</w:t>
      </w:r>
      <w:r w:rsidR="00444663">
        <w:rPr>
          <w:rFonts w:ascii="Garamond" w:hAnsi="Garamond"/>
          <w:sz w:val="22"/>
          <w:szCs w:val="22"/>
        </w:rPr>
        <w:t xml:space="preserve">. </w:t>
      </w:r>
      <w:commentRangeEnd w:id="1"/>
      <w:r>
        <w:rPr>
          <w:rStyle w:val="CommentReference"/>
        </w:rPr>
        <w:commentReference w:id="1"/>
      </w:r>
    </w:p>
    <w:p w14:paraId="090C2636" w14:textId="00BA7DA8"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training dataset for each data type</w:t>
      </w:r>
      <w:r w:rsidRPr="00AF5A80">
        <w:rPr>
          <w:rFonts w:ascii="Garamond" w:hAnsi="Garamond"/>
          <w:sz w:val="22"/>
          <w:szCs w:val="22"/>
        </w:rPr>
        <w:t>. First, models were tested on the original randomly selected 20% holdout set</w:t>
      </w:r>
      <w:r w:rsidR="00CD3FB4">
        <w:rPr>
          <w:rFonts w:ascii="Garamond" w:hAnsi="Garamond"/>
          <w:sz w:val="22"/>
          <w:szCs w:val="22"/>
        </w:rPr>
        <w:t xml:space="preserve"> </w:t>
      </w:r>
      <w:proofErr w:type="gramStart"/>
      <w:r w:rsidR="00CD3FB4">
        <w:rPr>
          <w:rFonts w:ascii="Garamond" w:hAnsi="Garamond"/>
          <w:sz w:val="22"/>
          <w:szCs w:val="22"/>
        </w:rPr>
        <w:t>( N</w:t>
      </w:r>
      <w:proofErr w:type="gramEnd"/>
      <w:r w:rsidR="00CD3FB4">
        <w:rPr>
          <w:rFonts w:ascii="Garamond" w:hAnsi="Garamond"/>
          <w:sz w:val="22"/>
          <w:szCs w:val="22"/>
        </w:rPr>
        <w:t xml:space="preserve"> = </w:t>
      </w:r>
      <w:proofErr w:type="gramStart"/>
      <w:r w:rsidR="00CD3FB4">
        <w:rPr>
          <w:rFonts w:ascii="Garamond" w:hAnsi="Garamond"/>
          <w:sz w:val="22"/>
          <w:szCs w:val="22"/>
        </w:rPr>
        <w:t>X )</w:t>
      </w:r>
      <w:proofErr w:type="gramEnd"/>
      <w:r w:rsidRPr="00AF5A80">
        <w:rPr>
          <w:rFonts w:ascii="Garamond" w:hAnsi="Garamond"/>
          <w:sz w:val="22"/>
          <w:szCs w:val="22"/>
        </w:rPr>
        <w:t xml:space="preserve">.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proofErr w:type="spellStart"/>
      <w:r w:rsidR="00CD3FB4">
        <w:rPr>
          <w:rFonts w:ascii="Garamond" w:hAnsi="Garamond"/>
          <w:sz w:val="22"/>
          <w:szCs w:val="22"/>
        </w:rPr>
        <w:t>refered</w:t>
      </w:r>
      <w:proofErr w:type="spellEnd"/>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 </w:t>
      </w:r>
      <w:r w:rsidRPr="008A52C4">
        <w:rPr>
          <w:rFonts w:ascii="Garamond" w:hAnsi="Garamond"/>
          <w:sz w:val="22"/>
          <w:szCs w:val="22"/>
        </w:rPr>
        <w:t xml:space="preserve">Model performance was assessed using </w:t>
      </w:r>
      <w:r>
        <w:rPr>
          <w:rFonts w:ascii="Garamond" w:hAnsi="Garamond"/>
          <w:sz w:val="22"/>
          <w:szCs w:val="22"/>
        </w:rPr>
        <w:t>accuracy and F1-Score (Figure 2).</w:t>
      </w:r>
      <w:r w:rsidR="00CD3FB4">
        <w:rPr>
          <w:rFonts w:ascii="Garamond" w:hAnsi="Garamond"/>
          <w:sz w:val="22"/>
          <w:szCs w:val="22"/>
        </w:rPr>
        <w:t xml:space="preserv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43EBC" w:rsidRPr="00043EBC">
        <w:rPr>
          <w:rFonts w:ascii="Garamond" w:hAnsi="Garamond"/>
          <w:sz w:val="22"/>
          <w:szCs w:val="22"/>
        </w:rPr>
        <w:t>. 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w:t>
      </w:r>
      <w:r w:rsidRPr="00043EBC">
        <w:rPr>
          <w:rFonts w:ascii="Garamond" w:hAnsi="Garamond"/>
          <w:sz w:val="22"/>
          <w:szCs w:val="22"/>
        </w:rPr>
        <w:lastRenderedPageBreak/>
        <w:t>that accounts for both false positives and false negatives, making it particularly useful for evaluating performance on imbalanced datasets.</w:t>
      </w:r>
    </w:p>
    <w:p w14:paraId="13D9480D" w14:textId="1FF0DED8"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37F28AD4" w14:textId="77777777" w:rsidR="000869FF" w:rsidRDefault="00FB146C" w:rsidP="000869F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p>
    <w:p w14:paraId="6C00951C" w14:textId="50DE9650" w:rsidR="00F6547F" w:rsidRPr="00985634" w:rsidRDefault="00E2005E" w:rsidP="000869FF">
      <w:pPr>
        <w:pStyle w:val="whitespace-normal"/>
        <w:spacing w:line="480" w:lineRule="auto"/>
        <w:ind w:firstLine="720"/>
        <w:rPr>
          <w:rFonts w:ascii="Garamond" w:hAnsi="Garamond"/>
          <w:sz w:val="22"/>
          <w:szCs w:val="22"/>
        </w:rPr>
      </w:pPr>
      <w:r>
        <w:rPr>
          <w:rFonts w:ascii="Garamond" w:hAnsi="Garamond"/>
          <w:sz w:val="22"/>
          <w:szCs w:val="22"/>
        </w:rPr>
        <w:t xml:space="preserve">From calibrated </w:t>
      </w:r>
      <w:r w:rsidR="000869FF">
        <w:rPr>
          <w:rFonts w:ascii="Garamond" w:hAnsi="Garamond"/>
          <w:sz w:val="22"/>
          <w:szCs w:val="22"/>
        </w:rPr>
        <w:t xml:space="preserve">testing set </w:t>
      </w:r>
      <w:r>
        <w:rPr>
          <w:rFonts w:ascii="Garamond" w:hAnsi="Garamond"/>
          <w:sz w:val="22"/>
          <w:szCs w:val="22"/>
        </w:rPr>
        <w:t>probabiliti</w:t>
      </w:r>
      <w:r w:rsidR="000869FF">
        <w:rPr>
          <w:rFonts w:ascii="Garamond" w:hAnsi="Garamond"/>
          <w:sz w:val="22"/>
          <w:szCs w:val="22"/>
        </w:rPr>
        <w:t>es</w:t>
      </w:r>
      <w:r>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Meaning, we evaluated the proportion of correctly assigned individuals which </w:t>
      </w:r>
      <w:r w:rsidR="000869FF">
        <w:rPr>
          <w:rFonts w:ascii="Garamond" w:hAnsi="Garamond"/>
          <w:sz w:val="22"/>
          <w:szCs w:val="22"/>
        </w:rPr>
        <w:lastRenderedPageBreak/>
        <w:t xml:space="preserve">were also given a calibrated probability value above a given threshold. </w:t>
      </w:r>
      <w:r w:rsidR="00C51A58">
        <w:rPr>
          <w:rFonts w:ascii="Garamond" w:hAnsi="Garamond"/>
          <w:sz w:val="22"/>
          <w:szCs w:val="22"/>
        </w:rPr>
        <w:t xml:space="preserve">We tested thresholds of 60 – 90 % by 5% increments and recorded both the class specific and overall accuracy at each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0007BE9E" w14:textId="77BD7FDE" w:rsidR="00ED3EE6" w:rsidRPr="000869FF" w:rsidRDefault="00ED3EE6" w:rsidP="003E5607">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0CBBB586" w14:textId="701E3AB5" w:rsidR="003F681E" w:rsidRDefault="008E7FFA" w:rsidP="003F681E">
      <w:pPr>
        <w:spacing w:line="480" w:lineRule="auto"/>
        <w:ind w:firstLine="720"/>
        <w:rPr>
          <w:rFonts w:ascii="Garamond" w:hAnsi="Garamond"/>
          <w:sz w:val="22"/>
          <w:szCs w:val="22"/>
        </w:rPr>
      </w:pPr>
      <w:r>
        <w:rPr>
          <w:rFonts w:ascii="Garamond" w:hAnsi="Garamond"/>
          <w:sz w:val="22"/>
          <w:szCs w:val="22"/>
        </w:rPr>
        <w:t>Accuracy a</w:t>
      </w:r>
      <w:r w:rsidR="003A63D4"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w:t>
      </w:r>
      <w:r w:rsidR="003F681E">
        <w:rPr>
          <w:rFonts w:ascii="Garamond" w:hAnsi="Garamond"/>
          <w:sz w:val="22"/>
          <w:szCs w:val="22"/>
        </w:rPr>
        <w:t xml:space="preserve">92.2%. The </w:t>
      </w:r>
      <w:r w:rsidR="003A63D4"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001E36C2" w:rsidRPr="00841F42">
        <w:rPr>
          <w:rFonts w:ascii="Garamond" w:hAnsi="Garamond"/>
          <w:sz w:val="22"/>
          <w:szCs w:val="22"/>
        </w:rPr>
        <w:t>In general, RF analysis outperformed both KNN and SVM, however, SVM was the highest performer on Raw datasets (89.8% accuracy on total testing set and 87.0% on overlapping testing set)</w:t>
      </w:r>
      <w:r w:rsidR="003F681E">
        <w:rPr>
          <w:rFonts w:ascii="Garamond" w:hAnsi="Garamond"/>
          <w:sz w:val="22"/>
          <w:szCs w:val="22"/>
        </w:rPr>
        <w:t xml:space="preserve">, which may have more dimensionality due to less autocorrelation among points. </w:t>
      </w:r>
      <w:r w:rsidR="001E36C2" w:rsidRPr="00841F42">
        <w:rPr>
          <w:rFonts w:ascii="Garamond" w:hAnsi="Garamond"/>
          <w:sz w:val="22"/>
          <w:szCs w:val="22"/>
        </w:rPr>
        <w:t>Unsurprisingly, the overlapping training set performance was slightly lower than that of the total training set, with the highest classification accuracy of 90.</w:t>
      </w:r>
      <w:r w:rsidR="003F681E">
        <w:rPr>
          <w:rFonts w:ascii="Garamond" w:hAnsi="Garamond"/>
          <w:sz w:val="22"/>
          <w:szCs w:val="22"/>
        </w:rPr>
        <w:t>9</w:t>
      </w:r>
      <w:r w:rsidR="001E36C2" w:rsidRPr="00841F42">
        <w:rPr>
          <w:rFonts w:ascii="Garamond" w:hAnsi="Garamond"/>
          <w:sz w:val="22"/>
          <w:szCs w:val="22"/>
        </w:rPr>
        <w:t>% as compared to 92.</w:t>
      </w:r>
      <w:r w:rsidR="003F681E">
        <w:rPr>
          <w:rFonts w:ascii="Garamond" w:hAnsi="Garamond"/>
          <w:sz w:val="22"/>
          <w:szCs w:val="22"/>
        </w:rPr>
        <w:t>2</w:t>
      </w:r>
      <w:r w:rsidR="001E36C2" w:rsidRPr="00841F42">
        <w:rPr>
          <w:rFonts w:ascii="Garamond" w:hAnsi="Garamond"/>
          <w:sz w:val="22"/>
          <w:szCs w:val="22"/>
        </w:rPr>
        <w:t xml:space="preserve">%. </w:t>
      </w:r>
      <w:r w:rsidR="003F681E">
        <w:rPr>
          <w:rFonts w:ascii="Garamond" w:hAnsi="Garamond"/>
          <w:sz w:val="22"/>
          <w:szCs w:val="22"/>
        </w:rPr>
        <w:t xml:space="preserve">These results are expected given the relatively straightforward discrimination of highly enriched Yukon samples which were removed in the overlapping comparison.  </w:t>
      </w:r>
    </w:p>
    <w:p w14:paraId="55EFA72A" w14:textId="4DA6C9B0" w:rsidR="003A63D4" w:rsidRPr="00052F65" w:rsidRDefault="003F681E" w:rsidP="00052F65">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(Sr8786 &gt;</w:t>
      </w:r>
      <w:r w:rsidR="00052F65">
        <w:rPr>
          <w:rFonts w:ascii="Garamond" w:hAnsi="Garamond"/>
          <w:sz w:val="22"/>
          <w:szCs w:val="22"/>
        </w:rPr>
        <w:t xml:space="preserve">.7150), Yukon classification accuracy dropped to 86.8%. Classification accuracy for </w:t>
      </w:r>
      <w:proofErr w:type="spellStart"/>
      <w:r w:rsidR="00052F65">
        <w:rPr>
          <w:rFonts w:ascii="Garamond" w:hAnsi="Garamond"/>
          <w:sz w:val="22"/>
          <w:szCs w:val="22"/>
        </w:rPr>
        <w:t>Nushagak</w:t>
      </w:r>
      <w:proofErr w:type="spellEnd"/>
      <w:r w:rsidR="00052F65">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sidR="00052F65">
        <w:rPr>
          <w:rFonts w:ascii="Garamond" w:hAnsi="Garamond"/>
          <w:sz w:val="22"/>
          <w:szCs w:val="22"/>
        </w:rPr>
        <w:t>),</w:t>
      </w:r>
      <w:proofErr w:type="gramEnd"/>
      <w:r w:rsidR="00052F65">
        <w:rPr>
          <w:rFonts w:ascii="Garamond" w:hAnsi="Garamond"/>
          <w:sz w:val="22"/>
          <w:szCs w:val="22"/>
        </w:rPr>
        <w:t xml:space="preserve"> however this represented only one additional individual misclassified (9 in the total analysis vs 8 in the overlapping </w:t>
      </w:r>
      <w:r w:rsidR="00052F65">
        <w:rPr>
          <w:rFonts w:ascii="Garamond" w:hAnsi="Garamond"/>
          <w:sz w:val="22"/>
          <w:szCs w:val="22"/>
        </w:rPr>
        <w:lastRenderedPageBreak/>
        <w:t xml:space="preserve">analysis). </w:t>
      </w:r>
      <w:commentRangeStart w:id="2"/>
      <w:r w:rsidR="006716D7">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2"/>
      <w:r w:rsidR="00D70E26">
        <w:rPr>
          <w:rStyle w:val="CommentReference"/>
        </w:rPr>
        <w:commentReference w:id="2"/>
      </w: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DFB3662"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of watershed classes in reduced-dimensional space. The first two principal components together captured 97.3% of the total variance in the dataset (PC1: 92.2%, PC2: 5.1%, Figure 4). Despite clear clustering patterns, some overlap remained among all three watersheds. Kuskokwim samples (Figure 4, red) exhibited the greatest degree of overlap, showing significant overlap with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individuals. Yukon samples covered a much larger region of the principal component space, reflecting the broader range of potential isotope values that create unique timeseries compared to the more constrained ranges observed in the other two watershed classes</w:t>
      </w:r>
    </w:p>
    <w:p w14:paraId="06F8E81E" w14:textId="19BBB1F8" w:rsidR="00ED3EE6" w:rsidRPr="00D53F6D" w:rsidRDefault="00D53F6D" w:rsidP="00D70E2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Sr87/86 values among the three watersheds</w:t>
      </w:r>
      <w:r w:rsidR="00D70E26">
        <w:rPr>
          <w:rFonts w:ascii="Garamond" w:hAnsi="Garamond"/>
          <w:sz w:val="22"/>
          <w:szCs w:val="22"/>
        </w:rPr>
        <w:t xml:space="preserve"> (e.g. X, </w:t>
      </w:r>
      <w:proofErr w:type="gramStart"/>
      <w:r w:rsidR="00D70E26">
        <w:rPr>
          <w:rFonts w:ascii="Garamond" w:hAnsi="Garamond"/>
          <w:sz w:val="22"/>
          <w:szCs w:val="22"/>
        </w:rPr>
        <w:t>Y,Z</w:t>
      </w:r>
      <w:proofErr w:type="gramEnd"/>
      <w:r w:rsidR="00D70E26">
        <w:rPr>
          <w:rFonts w:ascii="Garamond" w:hAnsi="Garamond"/>
          <w:sz w:val="22"/>
          <w:szCs w:val="22"/>
        </w:rPr>
        <w:t xml:space="preserve"> 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Sr8786 values before the marine onset (Figure 5b.) </w:t>
      </w:r>
      <w:r w:rsidRPr="00D53F6D">
        <w:rPr>
          <w:rFonts w:ascii="Garamond" w:hAnsi="Garamond"/>
          <w:sz w:val="22"/>
          <w:szCs w:val="22"/>
        </w:rPr>
        <w:t>Principal component 3 appeared to be driven by values at the very beginning of the timeseries, corresponding to the start of the natal origin signature. The minimal discrimination among watersheds along this component was expected</w:t>
      </w:r>
      <w:r w:rsidR="00D70E26">
        <w:rPr>
          <w:rFonts w:ascii="Garamond" w:hAnsi="Garamond"/>
          <w:sz w:val="22"/>
          <w:szCs w:val="22"/>
        </w:rPr>
        <w:t xml:space="preserve"> given that all individuals in this </w:t>
      </w:r>
      <w:proofErr w:type="spellStart"/>
      <w:r w:rsidR="00D70E26">
        <w:rPr>
          <w:rFonts w:ascii="Garamond" w:hAnsi="Garamond"/>
          <w:sz w:val="22"/>
          <w:szCs w:val="22"/>
        </w:rPr>
        <w:t>subet</w:t>
      </w:r>
      <w:proofErr w:type="spellEnd"/>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lastRenderedPageBreak/>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99678F1" w14:textId="0CAA8235" w:rsidR="00624A8A" w:rsidRDefault="003E5607" w:rsidP="00071CCC">
      <w:pPr>
        <w:rPr>
          <w:rFonts w:ascii="Garamond" w:hAnsi="Garamond"/>
          <w:b/>
          <w:bCs/>
          <w:sz w:val="32"/>
          <w:szCs w:val="32"/>
        </w:rPr>
      </w:pPr>
      <w:r w:rsidRPr="00D70E26">
        <w:rPr>
          <w:rFonts w:ascii="Garamond" w:hAnsi="Garamond"/>
          <w:b/>
          <w:bCs/>
          <w:sz w:val="32"/>
          <w:szCs w:val="32"/>
        </w:rPr>
        <w:t xml:space="preserve">Discussion </w:t>
      </w:r>
    </w:p>
    <w:p w14:paraId="52CF29A2" w14:textId="77777777" w:rsidR="00624A8A" w:rsidRDefault="00624A8A" w:rsidP="00071CCC">
      <w:pPr>
        <w:rPr>
          <w:rFonts w:ascii="Garamond" w:hAnsi="Garamond"/>
          <w:b/>
          <w:bCs/>
          <w:sz w:val="32"/>
          <w:szCs w:val="32"/>
        </w:rPr>
      </w:pPr>
    </w:p>
    <w:p w14:paraId="358C15D0" w14:textId="33F99B97" w:rsidR="00BB5BBB" w:rsidRPr="00624A8A" w:rsidRDefault="00624A8A" w:rsidP="00624A8A">
      <w:pPr>
        <w:spacing w:line="480" w:lineRule="auto"/>
        <w:ind w:firstLine="720"/>
        <w:rPr>
          <w:rFonts w:ascii="Garamond" w:hAnsi="Garamond"/>
          <w:sz w:val="22"/>
          <w:szCs w:val="22"/>
        </w:rPr>
      </w:pPr>
      <w:r w:rsidRPr="00624A8A">
        <w:rPr>
          <w:rFonts w:ascii="Garamond" w:hAnsi="Garamond"/>
          <w:sz w:val="22"/>
          <w:szCs w:val="22"/>
        </w:rPr>
        <w:t xml:space="preserve">Machine learning applied to otolith timeseries data proved highly effective for watershed classification in Western Alaska Chinook salmon. Random forest emerged as a particularly powerful and robust method for classifying individuals, though other algorithms also performed relatively well, with even the relatively simple KNN approach providing reasonably high classification accuracy. This demonstrates the broad utility of machine learning methods for analyzing multidimensional ecological datasets, particularly </w:t>
      </w:r>
      <w:r w:rsidRPr="00624A8A">
        <w:rPr>
          <w:rFonts w:ascii="Garamond" w:hAnsi="Garamond"/>
          <w:sz w:val="22"/>
          <w:szCs w:val="22"/>
        </w:rPr>
        <w:lastRenderedPageBreak/>
        <w:t>their specific application to often noisy and complicated otolith LA data. Importantly, these results highlight the power of utilizing the full suite of available timeseries data rather than collapsing datasets into discrete values, which risks losing important contextual information that may be critical for discrimination.</w:t>
      </w:r>
      <w:r w:rsidRPr="00624A8A">
        <w:rPr>
          <w:rFonts w:ascii="Garamond" w:hAnsi="Garamond"/>
          <w:sz w:val="22"/>
          <w:szCs w:val="22"/>
        </w:rPr>
        <w:t xml:space="preserve"> </w:t>
      </w:r>
      <w:r w:rsidRPr="00624A8A">
        <w:rPr>
          <w:rFonts w:ascii="Garamond" w:hAnsi="Garamond"/>
          <w:sz w:val="22"/>
          <w:szCs w:val="22"/>
        </w:rPr>
        <w:t>The superior performance of smoothed timeseries data compared to raw data across all models indicates that noise in the raw laser ablation data may inhibit model performance by obscuring meaningful patterns. GAM smoothing</w:t>
      </w:r>
      <w:r w:rsidRPr="00624A8A">
        <w:rPr>
          <w:rFonts w:ascii="Garamond" w:hAnsi="Garamond"/>
          <w:sz w:val="22"/>
          <w:szCs w:val="22"/>
        </w:rPr>
        <w:t xml:space="preserve"> effectively</w:t>
      </w:r>
      <w:r w:rsidRPr="00624A8A">
        <w:rPr>
          <w:rFonts w:ascii="Garamond" w:hAnsi="Garamond"/>
          <w:sz w:val="22"/>
          <w:szCs w:val="22"/>
        </w:rPr>
        <w:t xml:space="preserve"> preserved biologically relevant signals while reducing measurement noise, suggesting that appropriate preprocessing is essential for maximizing the discriminatory power of otolith chemistry data in machine learning applications.</w:t>
      </w:r>
    </w:p>
    <w:p w14:paraId="6D0FC6CB" w14:textId="77777777" w:rsidR="00624A8A" w:rsidRPr="00624A8A" w:rsidRDefault="00624A8A" w:rsidP="00624A8A">
      <w:pPr>
        <w:pStyle w:val="whitespace-normal"/>
        <w:spacing w:line="480" w:lineRule="auto"/>
        <w:ind w:firstLine="720"/>
        <w:rPr>
          <w:rFonts w:ascii="Garamond" w:hAnsi="Garamond"/>
          <w:sz w:val="22"/>
          <w:szCs w:val="22"/>
        </w:rPr>
      </w:pPr>
      <w:r w:rsidRPr="00624A8A">
        <w:rPr>
          <w:rFonts w:ascii="Garamond" w:hAnsi="Garamond"/>
          <w:sz w:val="22"/>
          <w:szCs w:val="22"/>
        </w:rPr>
        <w:t>Our approach provided reliably accurate assignments across all three river basins, with overall accuracies ranging from 71.9% to 92.5% depending on the model and dataset combination. However, classification performance was notably lower within the CWAK (Coastal Western Alaska) genetic reporting group, where Yukon fish were classified with only 73.3% accuracy compared to 97.9% for non-CWAK fish. This pattern aligns with expectations, as geographic proximity correlates with greater similarity in both natal isotope values and features of the otolith timeseries data.</w:t>
      </w:r>
    </w:p>
    <w:p w14:paraId="114A407A" w14:textId="77777777" w:rsidR="00624A8A" w:rsidRPr="00624A8A" w:rsidRDefault="00624A8A" w:rsidP="00624A8A">
      <w:pPr>
        <w:pStyle w:val="whitespace-normal"/>
        <w:spacing w:line="480" w:lineRule="auto"/>
        <w:ind w:firstLine="720"/>
        <w:rPr>
          <w:rFonts w:ascii="Garamond" w:hAnsi="Garamond"/>
          <w:sz w:val="22"/>
          <w:szCs w:val="22"/>
        </w:rPr>
      </w:pPr>
      <w:r w:rsidRPr="00624A8A">
        <w:rPr>
          <w:rFonts w:ascii="Garamond" w:hAnsi="Garamond"/>
          <w:sz w:val="22"/>
          <w:szCs w:val="22"/>
        </w:rPr>
        <w:t>This geographical constraint is clearly demonstrated by CWAK Yukon individuals, which contain a much less pronounced increase in isotope values before marine onset compared to other Yukon fish, thereby lacking a distinguishing feature that appears to drive variation among watershed classes. Given the complex interactions between potential rearing environments, otolith incorporation dynamics, and migration strategies within geographically proximate watersheds, this limitation may be unavoidable for fish originating from similar isotopic landscapes. Nevertheless, PCA analysis indicates that multiple interactive regions of the otolith timeseries data, when considered collectively, can still separate individuals among stocks even when individual features are subtle.</w:t>
      </w:r>
    </w:p>
    <w:p w14:paraId="0DAF0DB3" w14:textId="77777777"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6ACD9A69" w14:textId="6C3A251F" w:rsid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56BFD3A4"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lastRenderedPageBreak/>
        <w:t>A tool to estimate provenance of marine-caught Pacific salmon has the potential to expand our ability to assess important marine-based hypotheses of declining salmon health and to better incorporate river-specific management efforts into intercept-based marine fisheries. Given the pressing situation in Western Alaska, this provides a new tool for understanding salmon ecology and the impacts of global change and human pressures on the ecosystem, as well as better understanding the impact of these stressors across stocks and communities in the region. Doing so increases our potential to understand the full salmon life cycle and to address pressing research questions related to it.</w:t>
      </w:r>
    </w:p>
    <w:p w14:paraId="18270C1A"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The dataset presented here represents one of the largest of its kind and contains samples spanning several years across the basin. This library of information can continue to be built upon and improved through the addition of new samples, new analytical techniques, or through the combination of powerful timeseries analysis tools not addressed here. In addition, the methods presented here provide quantifiable confidence values which can be directly used by managers to make decisions based on changing thresholds of misassignment risk, offering a practical framework for incorporating uncertainty into management decisions.</w:t>
      </w:r>
    </w:p>
    <w:p w14:paraId="7865D4F6"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These methods are not without limitations. They are expensive and have a slow turnaround time, meaning they cannot be used for in-season management, which would be a powerful application of river-specific provenance estimates. Sampling otoliths is lethal, meaning they may not be able to be collected in large numbers for stocks or species of concern, particularly as population health continues to decline.</w:t>
      </w:r>
    </w:p>
    <w:p w14:paraId="75A7E217" w14:textId="77777777" w:rsidR="00E5472C" w:rsidRPr="005E5F5B" w:rsidRDefault="00E5472C" w:rsidP="005E5F5B">
      <w:pPr>
        <w:pStyle w:val="whitespace-normal"/>
        <w:spacing w:line="480" w:lineRule="auto"/>
        <w:ind w:firstLine="720"/>
        <w:rPr>
          <w:rFonts w:ascii="Garamond" w:hAnsi="Garamond"/>
        </w:rPr>
      </w:pPr>
      <w:r w:rsidRPr="005E5F5B">
        <w:rPr>
          <w:rFonts w:ascii="Garamond" w:hAnsi="Garamond"/>
        </w:rPr>
        <w:t xml:space="preserve">In addition, this model is specifically built for Chinook salmon and leverages the strength of a large existing dataset. Similar datasets do not exist for other species of concern, for example chum </w:t>
      </w:r>
      <w:r w:rsidRPr="005E5F5B">
        <w:rPr>
          <w:rFonts w:ascii="Garamond" w:hAnsi="Garamond"/>
        </w:rPr>
        <w:lastRenderedPageBreak/>
        <w:t>salmon, limiting broader application. These species may not contain the spatial resolution of multiple environments given their uniquely short life history. However, there may be some patterns in the limited data that would make this approach appropriate for future exploration.</w:t>
      </w:r>
    </w:p>
    <w:p w14:paraId="07308A66" w14:textId="2D51EAEA" w:rsidR="00624A8A" w:rsidRPr="005E5F5B" w:rsidRDefault="00E5472C" w:rsidP="005E5F5B">
      <w:pPr>
        <w:spacing w:before="100" w:beforeAutospacing="1" w:after="100" w:afterAutospacing="1" w:line="480" w:lineRule="auto"/>
        <w:ind w:firstLine="720"/>
        <w:outlineLvl w:val="1"/>
        <w:rPr>
          <w:rFonts w:ascii="Garamond" w:eastAsia="Times New Roman" w:hAnsi="Garamond" w:cs="Times New Roman"/>
          <w:b/>
          <w:bCs/>
          <w:kern w:val="0"/>
          <w:sz w:val="20"/>
          <w:szCs w:val="20"/>
          <w14:ligatures w14:val="none"/>
        </w:rPr>
      </w:pPr>
      <w:r w:rsidRPr="005E5F5B">
        <w:rPr>
          <w:rFonts w:ascii="Garamond" w:hAnsi="Garamond"/>
        </w:rPr>
        <w:t>This work addresses the fundamental challenge of achieving adequate spatial resolution for ecosystem monitoring and management in remote, complex systems, particularly as global change accelerates and stakeholder needs intensify. By enabling stock-specific assessments of marine-caught salmon, these methods bridge the critical gap between broad population-level monitoring—which can mask local threats and stock-specific declines—and the fine-scale processes that drive ecosystem health. As climate change continues to alter marine and freshwater environments at unprecedented rates, and as fishing pressures and subsistence needs create competing demands on declining salmon resources, tools that can detect subtle, population-specific responses across spatial scales become increasingly essential. The machine learning framework developed here demonstrates how methodological innovation can unlock information hidden within existing datasets, potentially transforming our capacity to understand and manage ecological systems under mounting environmental and social pressures. Ultimately, such approaches offer pathways toward more spatially explicit management that can better balance conservation goals with the subsistence and commercial needs of communities whose livelihoods depend on these critical resources</w:t>
      </w:r>
    </w:p>
    <w:p w14:paraId="02E39E02" w14:textId="77777777" w:rsidR="00624A8A" w:rsidRPr="00624A8A" w:rsidRDefault="00624A8A" w:rsidP="00624A8A">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p>
    <w:p w14:paraId="0A6D3D0F" w14:textId="77777777" w:rsidR="00624A8A" w:rsidRDefault="00624A8A" w:rsidP="00624A8A"/>
    <w:p w14:paraId="0C7C8691" w14:textId="77777777" w:rsidR="00624A8A" w:rsidRDefault="00624A8A" w:rsidP="00071CCC">
      <w:pPr>
        <w:rPr>
          <w:rFonts w:ascii="Garamond" w:hAnsi="Garamond"/>
          <w:sz w:val="20"/>
          <w:szCs w:val="20"/>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8-18T11:18:00Z" w:initials="b">
    <w:p w14:paraId="51CBD6D1" w14:textId="77777777" w:rsidR="002A47CE" w:rsidRDefault="002A47CE" w:rsidP="002A47CE">
      <w:r>
        <w:rPr>
          <w:rStyle w:val="CommentReference"/>
        </w:rPr>
        <w:annotationRef/>
      </w:r>
      <w:r>
        <w:rPr>
          <w:sz w:val="20"/>
          <w:szCs w:val="20"/>
        </w:rPr>
        <w:t>Note to self: Ask diego for the specifications for all years</w:t>
      </w:r>
    </w:p>
  </w:comment>
  <w:comment w:id="1"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2" w:author="Benjamin J. Makhlouf" w:date="2025-09-02T10:22:00Z" w:initials="b">
    <w:p w14:paraId="084F4B46" w14:textId="77777777" w:rsidR="00D70E26" w:rsidRDefault="00D70E26" w:rsidP="00D70E26">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CBD6D1" w15:done="0"/>
  <w15:commentEx w15:paraId="4E3434D0" w15:done="0"/>
  <w15:commentEx w15:paraId="084F4B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97010A" w16cex:dateUtc="2025-08-18T18:18:00Z"/>
  <w16cex:commentExtensible w16cex:durableId="208C7FE7" w16cex:dateUtc="2025-09-02T16:56: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CBD6D1" w16cid:durableId="6197010A"/>
  <w16cid:commentId w16cid:paraId="4E3434D0" w16cid:durableId="208C7FE7"/>
  <w16cid:commentId w16cid:paraId="084F4B46"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26A8"/>
    <w:rsid w:val="00043ACE"/>
    <w:rsid w:val="00043EBC"/>
    <w:rsid w:val="00052F65"/>
    <w:rsid w:val="00071CCC"/>
    <w:rsid w:val="00083149"/>
    <w:rsid w:val="000869FF"/>
    <w:rsid w:val="00091070"/>
    <w:rsid w:val="000941AF"/>
    <w:rsid w:val="00096BA7"/>
    <w:rsid w:val="000C2944"/>
    <w:rsid w:val="000D1B34"/>
    <w:rsid w:val="000F0779"/>
    <w:rsid w:val="000F4EE0"/>
    <w:rsid w:val="000F4F29"/>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F10A9"/>
    <w:rsid w:val="002F5E0E"/>
    <w:rsid w:val="002F666C"/>
    <w:rsid w:val="00302CA2"/>
    <w:rsid w:val="0031165E"/>
    <w:rsid w:val="00311BF2"/>
    <w:rsid w:val="0032184B"/>
    <w:rsid w:val="00354445"/>
    <w:rsid w:val="003606FC"/>
    <w:rsid w:val="00364186"/>
    <w:rsid w:val="003642FE"/>
    <w:rsid w:val="0038560E"/>
    <w:rsid w:val="00386D82"/>
    <w:rsid w:val="003A0BEA"/>
    <w:rsid w:val="003A63D4"/>
    <w:rsid w:val="003A69C6"/>
    <w:rsid w:val="003A7A96"/>
    <w:rsid w:val="003B0A46"/>
    <w:rsid w:val="003E5607"/>
    <w:rsid w:val="003F681E"/>
    <w:rsid w:val="003F7E9E"/>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25222"/>
    <w:rsid w:val="00526D9D"/>
    <w:rsid w:val="00527EB9"/>
    <w:rsid w:val="00530E86"/>
    <w:rsid w:val="00533C00"/>
    <w:rsid w:val="0053609D"/>
    <w:rsid w:val="00542302"/>
    <w:rsid w:val="00557AB9"/>
    <w:rsid w:val="00560622"/>
    <w:rsid w:val="00563F6D"/>
    <w:rsid w:val="005672B1"/>
    <w:rsid w:val="005A0FE2"/>
    <w:rsid w:val="005B3BF5"/>
    <w:rsid w:val="005C1DE3"/>
    <w:rsid w:val="005E5F5B"/>
    <w:rsid w:val="005E7567"/>
    <w:rsid w:val="005F0F57"/>
    <w:rsid w:val="005F1D8A"/>
    <w:rsid w:val="00616EA6"/>
    <w:rsid w:val="00624A8A"/>
    <w:rsid w:val="0063065E"/>
    <w:rsid w:val="00643661"/>
    <w:rsid w:val="00651A61"/>
    <w:rsid w:val="006624B2"/>
    <w:rsid w:val="006716D7"/>
    <w:rsid w:val="00673B21"/>
    <w:rsid w:val="00683419"/>
    <w:rsid w:val="00694712"/>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7BCD"/>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5522F"/>
    <w:rsid w:val="00960D9E"/>
    <w:rsid w:val="00965651"/>
    <w:rsid w:val="00967D0B"/>
    <w:rsid w:val="009743E7"/>
    <w:rsid w:val="00985634"/>
    <w:rsid w:val="0099371C"/>
    <w:rsid w:val="00997FB9"/>
    <w:rsid w:val="009A02DB"/>
    <w:rsid w:val="009A29F5"/>
    <w:rsid w:val="009B0B8C"/>
    <w:rsid w:val="009B4729"/>
    <w:rsid w:val="009B73BD"/>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A6FED"/>
    <w:rsid w:val="00AA7224"/>
    <w:rsid w:val="00AB079F"/>
    <w:rsid w:val="00AB4F2C"/>
    <w:rsid w:val="00AE24AA"/>
    <w:rsid w:val="00AF5A80"/>
    <w:rsid w:val="00B008EE"/>
    <w:rsid w:val="00B119FB"/>
    <w:rsid w:val="00B2797F"/>
    <w:rsid w:val="00B30111"/>
    <w:rsid w:val="00B31CD2"/>
    <w:rsid w:val="00B32AF3"/>
    <w:rsid w:val="00B335D4"/>
    <w:rsid w:val="00B84DE8"/>
    <w:rsid w:val="00B936A6"/>
    <w:rsid w:val="00B96193"/>
    <w:rsid w:val="00BB5BBB"/>
    <w:rsid w:val="00BD2714"/>
    <w:rsid w:val="00BD3BE0"/>
    <w:rsid w:val="00BD5921"/>
    <w:rsid w:val="00BF2E8A"/>
    <w:rsid w:val="00C02555"/>
    <w:rsid w:val="00C1569E"/>
    <w:rsid w:val="00C16ECB"/>
    <w:rsid w:val="00C2398D"/>
    <w:rsid w:val="00C265F6"/>
    <w:rsid w:val="00C26DD3"/>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440B2"/>
    <w:rsid w:val="00D53F6D"/>
    <w:rsid w:val="00D55132"/>
    <w:rsid w:val="00D70E26"/>
    <w:rsid w:val="00D7690A"/>
    <w:rsid w:val="00D848A0"/>
    <w:rsid w:val="00D86BCC"/>
    <w:rsid w:val="00D97F1C"/>
    <w:rsid w:val="00DA7891"/>
    <w:rsid w:val="00DB0B6F"/>
    <w:rsid w:val="00DE389D"/>
    <w:rsid w:val="00DF1513"/>
    <w:rsid w:val="00E06D65"/>
    <w:rsid w:val="00E2005E"/>
    <w:rsid w:val="00E22B3F"/>
    <w:rsid w:val="00E454BB"/>
    <w:rsid w:val="00E45DBA"/>
    <w:rsid w:val="00E46DD7"/>
    <w:rsid w:val="00E50AAB"/>
    <w:rsid w:val="00E51F5E"/>
    <w:rsid w:val="00E5472C"/>
    <w:rsid w:val="00E673AF"/>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5B08"/>
    <w:rsid w:val="00F864E5"/>
    <w:rsid w:val="00FA1987"/>
    <w:rsid w:val="00FA6CD2"/>
    <w:rsid w:val="00FB146C"/>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3028</TotalTime>
  <Pages>14</Pages>
  <Words>10005</Words>
  <Characters>57030</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100</cp:revision>
  <dcterms:created xsi:type="dcterms:W3CDTF">2025-05-19T03:17:00Z</dcterms:created>
  <dcterms:modified xsi:type="dcterms:W3CDTF">2025-09-02T18:20:00Z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