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72DB" w14:textId="211D3EB9" w:rsidR="00F10F54" w:rsidRPr="008902ED" w:rsidRDefault="008902E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</w:t>
      </w:r>
      <w:r w:rsidRPr="008902ED">
        <w:rPr>
          <w:sz w:val="36"/>
          <w:szCs w:val="36"/>
          <w:u w:val="single"/>
        </w:rPr>
        <w:t xml:space="preserve">eek 1 Homework: </w:t>
      </w:r>
      <w:r w:rsidR="00F10F54" w:rsidRPr="008902ED">
        <w:rPr>
          <w:sz w:val="36"/>
          <w:szCs w:val="36"/>
          <w:u w:val="single"/>
        </w:rPr>
        <w:t>Crowdfunding Analysis</w:t>
      </w:r>
    </w:p>
    <w:p w14:paraId="001D8E6A" w14:textId="77777777" w:rsidR="00F10F54" w:rsidRDefault="00F10F54"/>
    <w:p w14:paraId="33053FD3" w14:textId="77777777" w:rsidR="00F10F54" w:rsidRPr="00445CDA" w:rsidRDefault="00F10F54" w:rsidP="00F10F54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FF0000"/>
          <w:kern w:val="0"/>
          <w:sz w:val="30"/>
          <w:szCs w:val="30"/>
          <w:lang w:eastAsia="en-AU"/>
          <w14:ligatures w14:val="none"/>
        </w:rPr>
      </w:pPr>
      <w:r w:rsidRPr="00F10F54">
        <w:rPr>
          <w:rFonts w:ascii="Roboto" w:eastAsia="Times New Roman" w:hAnsi="Roboto" w:cs="Times New Roman"/>
          <w:color w:val="FF0000"/>
          <w:kern w:val="0"/>
          <w:sz w:val="30"/>
          <w:szCs w:val="30"/>
          <w:lang w:eastAsia="en-AU"/>
          <w14:ligatures w14:val="none"/>
        </w:rPr>
        <w:t>Given the provided data, what are three conclusions that we can draw about crowdfunding campaigns?</w:t>
      </w:r>
    </w:p>
    <w:p w14:paraId="6C6BCB40" w14:textId="0FA2607A" w:rsidR="00F10F54" w:rsidRDefault="00F10F54" w:rsidP="00F10F54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Three conclusions that can be reached based on the data provided are that:</w:t>
      </w:r>
    </w:p>
    <w:p w14:paraId="553CFC17" w14:textId="52D14605" w:rsidR="00F10F54" w:rsidRDefault="00F10F54" w:rsidP="00F10F54">
      <w:pPr>
        <w:pStyle w:val="ListParagraph"/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The overall chance that there will be a positive result when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crowd-funding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is 0.565, with failure at 0.364. This suggests that should a crowd-funder be completed (barring cancels and lives), there is a 60.8% chance of a favourable outcome.</w:t>
      </w:r>
    </w:p>
    <w:p w14:paraId="7200B8B1" w14:textId="0B10562F" w:rsidR="00F10F54" w:rsidRDefault="00F10F54" w:rsidP="00F10F54">
      <w:pPr>
        <w:pStyle w:val="ListParagraph"/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When referring to the categories of crowd-funder, those that pose the highest risk of failure are food (52.4%) and games (47.7%) when seen to completion</w:t>
      </w:r>
      <w:r w:rsidR="00445CDA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. The category that has the highest success rate is photography at 70%, however this excludes the outlier of journalism.</w:t>
      </w:r>
    </w:p>
    <w:p w14:paraId="19E5E5EE" w14:textId="77777777" w:rsidR="00445CDA" w:rsidRDefault="00445CDA" w:rsidP="00F10F54">
      <w:pPr>
        <w:pStyle w:val="ListParagraph"/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When referring to the success rate per country,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it can be seen that there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is a reasonably low spread rate of success, ranging from 0.5 (CA) to 0.58 (GB). </w:t>
      </w:r>
    </w:p>
    <w:p w14:paraId="475DCFB5" w14:textId="23B29A7A" w:rsidR="00445CDA" w:rsidRPr="00F10F54" w:rsidRDefault="00445CDA" w:rsidP="00445CDA">
      <w:pPr>
        <w:pStyle w:val="ListParagraph"/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*These figures are inclusive of lives and cancels.</w:t>
      </w:r>
    </w:p>
    <w:p w14:paraId="6B6E4E60" w14:textId="77777777" w:rsidR="00F10F54" w:rsidRPr="00445CDA" w:rsidRDefault="00F10F54" w:rsidP="00F10F54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FF0000"/>
          <w:kern w:val="0"/>
          <w:sz w:val="30"/>
          <w:szCs w:val="30"/>
          <w:lang w:eastAsia="en-AU"/>
          <w14:ligatures w14:val="none"/>
        </w:rPr>
      </w:pPr>
      <w:r w:rsidRPr="00F10F54">
        <w:rPr>
          <w:rFonts w:ascii="Roboto" w:eastAsia="Times New Roman" w:hAnsi="Roboto" w:cs="Times New Roman"/>
          <w:color w:val="FF0000"/>
          <w:kern w:val="0"/>
          <w:sz w:val="30"/>
          <w:szCs w:val="30"/>
          <w:lang w:eastAsia="en-AU"/>
          <w14:ligatures w14:val="none"/>
        </w:rPr>
        <w:t>What are some limitations of this dataset?</w:t>
      </w:r>
    </w:p>
    <w:p w14:paraId="5BF9AA79" w14:textId="09098921" w:rsidR="00445CDA" w:rsidRDefault="00445CDA" w:rsidP="00445CDA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Three limitations of this dataset are as follows:</w:t>
      </w:r>
    </w:p>
    <w:p w14:paraId="6A7E93B1" w14:textId="33E36369" w:rsidR="00445CDA" w:rsidRDefault="00445CDA" w:rsidP="00445CDA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At a country level, there are not enough pieces of data to accurately ascertain the success rate of a crowd-funder.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With the exception of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the US, where the data seems to be localised, all countries are below 50 items of data. </w:t>
      </w:r>
    </w:p>
    <w:p w14:paraId="5A5AD377" w14:textId="175E0117" w:rsidR="006D1017" w:rsidRDefault="006D1017" w:rsidP="00445CDA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The dataset does not indicate the process each crowd-funder underwent, and why each was successful/unsuccessful. Potentially adding in information on advertisement budget and reachable audience numbers could increase ability to analyse</w:t>
      </w:r>
      <w:r w:rsidR="00C809F6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crowd-funder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success.</w:t>
      </w:r>
    </w:p>
    <w:p w14:paraId="64D2163D" w14:textId="77777777" w:rsidR="00C809F6" w:rsidRDefault="00C809F6" w:rsidP="00445CDA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lastRenderedPageBreak/>
        <w:t xml:space="preserve">The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staff_pick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and spotlight columns are not based on formulaic ‘If’ statements. Without these, it is unclear what purpose they hold towards the success of each crowd-funder without combing through the data set for hidden trends.</w:t>
      </w:r>
    </w:p>
    <w:p w14:paraId="2D46F1BD" w14:textId="158D325F" w:rsidR="00445CDA" w:rsidRPr="00445CDA" w:rsidRDefault="00C809F6" w:rsidP="00C809F6">
      <w:pPr>
        <w:pStyle w:val="ListParagraph"/>
        <w:spacing w:before="100" w:beforeAutospacing="1" w:after="120" w:line="360" w:lineRule="atLeast"/>
        <w:ind w:left="216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</w:t>
      </w:r>
    </w:p>
    <w:p w14:paraId="01C1B915" w14:textId="77777777" w:rsidR="00F10F54" w:rsidRPr="00C809F6" w:rsidRDefault="00F10F54" w:rsidP="00F10F5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FF0000"/>
          <w:kern w:val="0"/>
          <w:sz w:val="30"/>
          <w:szCs w:val="30"/>
          <w:lang w:eastAsia="en-AU"/>
          <w14:ligatures w14:val="none"/>
        </w:rPr>
      </w:pPr>
      <w:r w:rsidRPr="00C809F6">
        <w:rPr>
          <w:rFonts w:ascii="Roboto" w:eastAsia="Times New Roman" w:hAnsi="Roboto" w:cs="Times New Roman"/>
          <w:color w:val="FF0000"/>
          <w:kern w:val="0"/>
          <w:sz w:val="30"/>
          <w:szCs w:val="3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78C5485C" w14:textId="3CCF4753" w:rsidR="006D1017" w:rsidRDefault="006D1017" w:rsidP="006D1017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Additional tables and graphs that could be added are:</w:t>
      </w:r>
    </w:p>
    <w:p w14:paraId="66FD0EFC" w14:textId="44E18880" w:rsidR="00C809F6" w:rsidRDefault="00C809F6" w:rsidP="006D1017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8902ED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AU"/>
          <w14:ligatures w14:val="none"/>
        </w:rPr>
        <w:t>Histograms: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Could be used to categorise the ‘percent funded’ columns as a means of considering measures of central tendency. This could potentially be done with amount funded, but that would interfere with the limitation of each amount being in a different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currency</w:t>
      </w:r>
      <w:proofErr w:type="gramEnd"/>
    </w:p>
    <w:p w14:paraId="7AA6C507" w14:textId="77777777" w:rsidR="008902ED" w:rsidRDefault="00C809F6" w:rsidP="006D1017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8902ED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AU"/>
          <w14:ligatures w14:val="none"/>
        </w:rPr>
        <w:t>Bivariate scatterplots: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</w:t>
      </w:r>
      <w:r w:rsidR="008902E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Comparing ‘</w:t>
      </w:r>
      <w:proofErr w:type="spellStart"/>
      <w:r w:rsidR="008902E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backers_count</w:t>
      </w:r>
      <w:proofErr w:type="spellEnd"/>
      <w:r w:rsidR="008902E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’ with ‘pledged’ could give an indication of backer patterns. By using the linear equation from the line of best fit by genre/category, you could get a rough indication of how many backers would be needed for future crowd-</w:t>
      </w:r>
      <w:proofErr w:type="gramStart"/>
      <w:r w:rsidR="008902E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funders</w:t>
      </w:r>
      <w:proofErr w:type="gramEnd"/>
    </w:p>
    <w:p w14:paraId="44013B71" w14:textId="62A08877" w:rsidR="00C809F6" w:rsidRDefault="008902ED" w:rsidP="006D1017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8902ED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AU"/>
          <w14:ligatures w14:val="none"/>
        </w:rPr>
        <w:t>Boxplots: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Boxplots could be used for ‘pledged’, ‘percent funded’ and ‘backer-count’. This would be the least useful graph as the limitations of the ‘percent funded’ and ‘pledged’ are outlined in ‘Question 2’, while the bivariate scatterplots would be a more effective version to analyse the ‘backer-count’ section. </w:t>
      </w:r>
      <w:r w:rsidR="00C809F6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</w:t>
      </w:r>
    </w:p>
    <w:p w14:paraId="71FDB5FB" w14:textId="77777777" w:rsidR="006D1017" w:rsidRPr="00F10F54" w:rsidRDefault="006D1017" w:rsidP="006D1017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</w:p>
    <w:p w14:paraId="0F0AA539" w14:textId="62983B93" w:rsidR="00F10F54" w:rsidRPr="005A1861" w:rsidRDefault="005A1861" w:rsidP="005A1861">
      <w:pPr>
        <w:rPr>
          <w:sz w:val="36"/>
          <w:szCs w:val="36"/>
          <w:u w:val="single"/>
        </w:rPr>
      </w:pPr>
      <w:r w:rsidRPr="005A1861">
        <w:rPr>
          <w:sz w:val="36"/>
          <w:szCs w:val="36"/>
          <w:u w:val="single"/>
        </w:rPr>
        <w:t>Bonus Section:</w:t>
      </w:r>
    </w:p>
    <w:p w14:paraId="641D330C" w14:textId="77777777" w:rsidR="005A1861" w:rsidRDefault="005A1861" w:rsidP="005A186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FF0000"/>
          <w:sz w:val="30"/>
          <w:szCs w:val="30"/>
        </w:rPr>
      </w:pPr>
      <w:r w:rsidRPr="005A1861">
        <w:rPr>
          <w:rFonts w:ascii="Roboto" w:hAnsi="Roboto"/>
          <w:color w:val="FF0000"/>
          <w:sz w:val="30"/>
          <w:szCs w:val="30"/>
        </w:rPr>
        <w:t>Use your data to determine whether the mean or the median better summarises the data.</w:t>
      </w:r>
    </w:p>
    <w:p w14:paraId="143EEBB7" w14:textId="01C35483" w:rsidR="005A1861" w:rsidRPr="005A1861" w:rsidRDefault="00BD38D2" w:rsidP="00BD38D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000000" w:themeColor="text1"/>
          <w:sz w:val="30"/>
          <w:szCs w:val="30"/>
        </w:rPr>
      </w:pPr>
      <w:r>
        <w:rPr>
          <w:rFonts w:ascii="Roboto" w:hAnsi="Roboto"/>
          <w:color w:val="000000" w:themeColor="text1"/>
          <w:sz w:val="30"/>
          <w:szCs w:val="30"/>
        </w:rPr>
        <w:t xml:space="preserve">For this set of data, the median value is likely a better way of summarising the data. Looking at the ‘successful’ outcome, of over 500 pieces of data, there are 163 pieces of data over the </w:t>
      </w:r>
      <w:r>
        <w:rPr>
          <w:rFonts w:ascii="Roboto" w:hAnsi="Roboto"/>
          <w:color w:val="000000" w:themeColor="text1"/>
          <w:sz w:val="30"/>
          <w:szCs w:val="30"/>
        </w:rPr>
        <w:lastRenderedPageBreak/>
        <w:t xml:space="preserve">mean. This implies that there is a high </w:t>
      </w:r>
      <w:proofErr w:type="gramStart"/>
      <w:r>
        <w:rPr>
          <w:rFonts w:ascii="Roboto" w:hAnsi="Roboto"/>
          <w:color w:val="000000" w:themeColor="text1"/>
          <w:sz w:val="30"/>
          <w:szCs w:val="30"/>
        </w:rPr>
        <w:t>amount</w:t>
      </w:r>
      <w:proofErr w:type="gramEnd"/>
      <w:r>
        <w:rPr>
          <w:rFonts w:ascii="Roboto" w:hAnsi="Roboto"/>
          <w:color w:val="000000" w:themeColor="text1"/>
          <w:sz w:val="30"/>
          <w:szCs w:val="30"/>
        </w:rPr>
        <w:t xml:space="preserve"> of outliers skewing the data-set upwards, especially when comparing 2-digit numbers with 4-digit numbers. Using the median reduces the amount of impact these high figures have on the rest of the data </w:t>
      </w:r>
      <w:proofErr w:type="gramStart"/>
      <w:r>
        <w:rPr>
          <w:rFonts w:ascii="Roboto" w:hAnsi="Roboto"/>
          <w:color w:val="000000" w:themeColor="text1"/>
          <w:sz w:val="30"/>
          <w:szCs w:val="30"/>
        </w:rPr>
        <w:t>series, and</w:t>
      </w:r>
      <w:proofErr w:type="gramEnd"/>
      <w:r>
        <w:rPr>
          <w:rFonts w:ascii="Roboto" w:hAnsi="Roboto"/>
          <w:color w:val="000000" w:themeColor="text1"/>
          <w:sz w:val="30"/>
          <w:szCs w:val="30"/>
        </w:rPr>
        <w:t xml:space="preserve"> is therefore the more appropriate measure of summarising the data set.</w:t>
      </w:r>
    </w:p>
    <w:p w14:paraId="4F3C3836" w14:textId="77777777" w:rsidR="005A1861" w:rsidRPr="005A1861" w:rsidRDefault="005A1861" w:rsidP="005A186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FF0000"/>
          <w:sz w:val="30"/>
          <w:szCs w:val="30"/>
        </w:rPr>
      </w:pPr>
      <w:r w:rsidRPr="005A1861">
        <w:rPr>
          <w:rFonts w:ascii="Roboto" w:hAnsi="Roboto"/>
          <w:color w:val="FF0000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4846D2F0" w14:textId="77777777" w:rsidR="005A1861" w:rsidRDefault="005A1861" w:rsidP="005A186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From the data, </w:t>
      </w:r>
      <w:proofErr w:type="gramStart"/>
      <w:r>
        <w:rPr>
          <w:rFonts w:ascii="Roboto" w:hAnsi="Roboto"/>
          <w:color w:val="2B2B2B"/>
          <w:sz w:val="30"/>
          <w:szCs w:val="30"/>
        </w:rPr>
        <w:t>it can be seen that ‘successful’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campaigns had a higher variance than ‘failed’ campaigns. This conclusion is logical when considering the potential for each state of outcome. A ‘successful’ campaign can be of any size, ranging from low scale to significantly large. This means that the backer count can be anywhere above 1 with no defining limit.</w:t>
      </w:r>
    </w:p>
    <w:p w14:paraId="56C1E28A" w14:textId="5091D992" w:rsidR="005A1861" w:rsidRDefault="005A1861" w:rsidP="005A186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minimum value of ‘failed’ provides a slightly higher chance of variance with a potential value of 0, but where it falls short in variance comparatively is in it’s upper limit. A ‘failed’ outcome outlines that the goal, and thus the </w:t>
      </w:r>
      <w:proofErr w:type="gramStart"/>
      <w:r>
        <w:rPr>
          <w:rFonts w:ascii="Roboto" w:hAnsi="Roboto"/>
          <w:color w:val="2B2B2B"/>
          <w:sz w:val="30"/>
          <w:szCs w:val="30"/>
        </w:rPr>
        <w:t>amount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of backers, was lower than intended. Overall, it is likely, but not guaranteed, that the ‘failed’ outcome will have a lower maximum value than a successful outcome, resulting in a lower variability.</w:t>
      </w:r>
    </w:p>
    <w:p w14:paraId="7600CEE8" w14:textId="77777777" w:rsidR="005A1861" w:rsidRDefault="005A1861" w:rsidP="00F10F54">
      <w:pPr>
        <w:pStyle w:val="ListParagraph"/>
      </w:pPr>
    </w:p>
    <w:sectPr w:rsidR="005A18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3EFF" w14:textId="77777777" w:rsidR="00A61037" w:rsidRDefault="00A61037" w:rsidP="008902ED">
      <w:pPr>
        <w:spacing w:after="0" w:line="240" w:lineRule="auto"/>
      </w:pPr>
      <w:r>
        <w:separator/>
      </w:r>
    </w:p>
  </w:endnote>
  <w:endnote w:type="continuationSeparator" w:id="0">
    <w:p w14:paraId="1778D315" w14:textId="77777777" w:rsidR="00A61037" w:rsidRDefault="00A61037" w:rsidP="0089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FC69" w14:textId="77777777" w:rsidR="00A61037" w:rsidRDefault="00A61037" w:rsidP="008902ED">
      <w:pPr>
        <w:spacing w:after="0" w:line="240" w:lineRule="auto"/>
      </w:pPr>
      <w:r>
        <w:separator/>
      </w:r>
    </w:p>
  </w:footnote>
  <w:footnote w:type="continuationSeparator" w:id="0">
    <w:p w14:paraId="5AC86ACA" w14:textId="77777777" w:rsidR="00A61037" w:rsidRDefault="00A61037" w:rsidP="00890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62D4" w14:textId="47DCC35D" w:rsidR="008902ED" w:rsidRDefault="008902ED">
    <w:pPr>
      <w:pStyle w:val="Header"/>
    </w:pPr>
    <w:r>
      <w:t>Brett Osborne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79D"/>
    <w:multiLevelType w:val="multilevel"/>
    <w:tmpl w:val="1CE2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17067"/>
    <w:multiLevelType w:val="hybridMultilevel"/>
    <w:tmpl w:val="E624951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745BE"/>
    <w:multiLevelType w:val="multilevel"/>
    <w:tmpl w:val="A0F0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585928">
    <w:abstractNumId w:val="1"/>
  </w:num>
  <w:num w:numId="2" w16cid:durableId="1917861210">
    <w:abstractNumId w:val="2"/>
  </w:num>
  <w:num w:numId="3" w16cid:durableId="24026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54"/>
    <w:rsid w:val="00445CDA"/>
    <w:rsid w:val="005A1861"/>
    <w:rsid w:val="006D1017"/>
    <w:rsid w:val="00791AA9"/>
    <w:rsid w:val="008902ED"/>
    <w:rsid w:val="00A61037"/>
    <w:rsid w:val="00BD38D2"/>
    <w:rsid w:val="00C809F6"/>
    <w:rsid w:val="00F1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6FFB"/>
  <w15:chartTrackingRefBased/>
  <w15:docId w15:val="{9605042B-9DA0-4646-B405-41F29D3B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ED"/>
  </w:style>
  <w:style w:type="paragraph" w:styleId="Footer">
    <w:name w:val="footer"/>
    <w:basedOn w:val="Normal"/>
    <w:link w:val="FooterChar"/>
    <w:uiPriority w:val="99"/>
    <w:unhideWhenUsed/>
    <w:rsid w:val="00890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ED"/>
  </w:style>
  <w:style w:type="paragraph" w:styleId="NormalWeb">
    <w:name w:val="Normal (Web)"/>
    <w:basedOn w:val="Normal"/>
    <w:uiPriority w:val="99"/>
    <w:semiHidden/>
    <w:unhideWhenUsed/>
    <w:rsid w:val="005A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Osborne</dc:creator>
  <cp:keywords/>
  <dc:description/>
  <cp:lastModifiedBy>Brett Osborne</cp:lastModifiedBy>
  <cp:revision>3</cp:revision>
  <dcterms:created xsi:type="dcterms:W3CDTF">2023-12-04T06:11:00Z</dcterms:created>
  <dcterms:modified xsi:type="dcterms:W3CDTF">2023-12-06T14:25:00Z</dcterms:modified>
</cp:coreProperties>
</file>