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38B0" w14:textId="77777777" w:rsidR="002C75BA" w:rsidRPr="000B6EDE" w:rsidRDefault="002C75BA">
      <w:pPr>
        <w:rPr>
          <w:sz w:val="28"/>
          <w:szCs w:val="28"/>
          <w:u w:val="single"/>
        </w:rPr>
      </w:pPr>
      <w:r w:rsidRPr="000B6EDE">
        <w:rPr>
          <w:sz w:val="28"/>
          <w:szCs w:val="28"/>
          <w:u w:val="single"/>
        </w:rPr>
        <w:t xml:space="preserve">Analysis on </w:t>
      </w:r>
      <w:proofErr w:type="spellStart"/>
      <w:r w:rsidRPr="000B6EDE">
        <w:rPr>
          <w:sz w:val="28"/>
          <w:szCs w:val="28"/>
          <w:u w:val="single"/>
        </w:rPr>
        <w:t>PyCitySchools</w:t>
      </w:r>
      <w:proofErr w:type="spellEnd"/>
      <w:r w:rsidRPr="000B6EDE">
        <w:rPr>
          <w:sz w:val="28"/>
          <w:szCs w:val="28"/>
          <w:u w:val="single"/>
        </w:rPr>
        <w:t>:</w:t>
      </w:r>
    </w:p>
    <w:p w14:paraId="5A76C2E2" w14:textId="77777777" w:rsidR="002C75BA" w:rsidRDefault="002C75BA"/>
    <w:p w14:paraId="0070ABB3" w14:textId="03F87809" w:rsidR="002C75BA" w:rsidRPr="000B6EDE" w:rsidRDefault="002C75BA">
      <w:pPr>
        <w:rPr>
          <w:u w:val="single"/>
        </w:rPr>
      </w:pPr>
      <w:r w:rsidRPr="000B6EDE">
        <w:rPr>
          <w:u w:val="single"/>
        </w:rPr>
        <w:t>Overview:</w:t>
      </w:r>
    </w:p>
    <w:p w14:paraId="7B5652DA" w14:textId="71A92155" w:rsidR="002C75BA" w:rsidRDefault="002C75BA">
      <w:r>
        <w:t xml:space="preserve">Results from students in schools located within the region have been recorded, </w:t>
      </w:r>
      <w:proofErr w:type="gramStart"/>
      <w:r>
        <w:t>documented</w:t>
      </w:r>
      <w:proofErr w:type="gramEnd"/>
      <w:r>
        <w:t xml:space="preserve"> and analysed. This report will oversee the methodology of analysis, and interpretations reached.</w:t>
      </w:r>
    </w:p>
    <w:p w14:paraId="7FA80FC5" w14:textId="6FCA2D01" w:rsidR="002C75BA" w:rsidRDefault="002C75BA"/>
    <w:p w14:paraId="7DA37982" w14:textId="2F74FF62" w:rsidR="002C75BA" w:rsidRPr="000B6EDE" w:rsidRDefault="002C75BA">
      <w:pPr>
        <w:rPr>
          <w:u w:val="single"/>
        </w:rPr>
      </w:pPr>
      <w:r w:rsidRPr="000B6EDE">
        <w:rPr>
          <w:u w:val="single"/>
        </w:rPr>
        <w:t>Method:</w:t>
      </w:r>
    </w:p>
    <w:p w14:paraId="2A6675F4" w14:textId="7A0D8B44" w:rsidR="003F0CC2" w:rsidRDefault="002C75BA">
      <w:r>
        <w:t xml:space="preserve">Target audience was students in the range of </w:t>
      </w:r>
      <w:r w:rsidR="003F0CC2">
        <w:t>Y</w:t>
      </w:r>
      <w:r>
        <w:t>ears 9 through 12 from schools within the region. These stud</w:t>
      </w:r>
      <w:r w:rsidR="003F0CC2">
        <w:t>ents were exposed to a standardised test for Numeracy and Literacy based on standard guidelines outlined by ACARA. The results from these tests were then used to outline deficiencies of students within the region.</w:t>
      </w:r>
      <w:r w:rsidR="008F3962">
        <w:t xml:space="preserve"> A pass rate for either score was listed as 50%, but a student must have scored above 50% on both tests, rather than average over 50%, to be eligible for notation that they have fluency in both tests.</w:t>
      </w:r>
    </w:p>
    <w:p w14:paraId="6957BC16" w14:textId="77777777" w:rsidR="003F0CC2" w:rsidRDefault="003F0CC2">
      <w:r>
        <w:t xml:space="preserve">In conjunction to the tests, data was procured on each school, inclusive of budget, </w:t>
      </w:r>
      <w:proofErr w:type="gramStart"/>
      <w:r>
        <w:t>size</w:t>
      </w:r>
      <w:proofErr w:type="gramEnd"/>
      <w:r>
        <w:t xml:space="preserve"> and privatisation to see whether these showed significant influence on student achievement.</w:t>
      </w:r>
    </w:p>
    <w:p w14:paraId="1872A4CF" w14:textId="77777777" w:rsidR="003F0CC2" w:rsidRDefault="003F0CC2"/>
    <w:p w14:paraId="4E039910" w14:textId="77777777" w:rsidR="003F0CC2" w:rsidRPr="000B6EDE" w:rsidRDefault="003F0CC2">
      <w:pPr>
        <w:rPr>
          <w:u w:val="single"/>
        </w:rPr>
      </w:pPr>
      <w:r w:rsidRPr="000B6EDE">
        <w:rPr>
          <w:u w:val="single"/>
        </w:rPr>
        <w:t>Sample size:</w:t>
      </w:r>
    </w:p>
    <w:p w14:paraId="55E65A5F" w14:textId="184C03CB" w:rsidR="003F0CC2" w:rsidRDefault="003F0CC2" w:rsidP="003F0CC2">
      <w:r>
        <w:t xml:space="preserve">Figure 1 outlines the sample size of the study conducted. </w:t>
      </w:r>
      <w:r w:rsidR="008F3962">
        <w:t xml:space="preserve">Within the study, n=39170 participants were included from the 15 schools within the region. </w:t>
      </w:r>
    </w:p>
    <w:p w14:paraId="6EF85832" w14:textId="0125C9EE" w:rsidR="002C75BA" w:rsidRDefault="002C75BA"/>
    <w:p w14:paraId="3E7BC915" w14:textId="000675E5" w:rsidR="003F0CC2" w:rsidRDefault="008F3962" w:rsidP="008F3962">
      <w:pPr>
        <w:jc w:val="center"/>
      </w:pPr>
      <w:r w:rsidRPr="008F3962">
        <w:drawing>
          <wp:inline distT="0" distB="0" distL="0" distR="0" wp14:anchorId="12E5714A" wp14:editId="0737E5FA">
            <wp:extent cx="3187864" cy="520727"/>
            <wp:effectExtent l="0" t="0" r="0" b="0"/>
            <wp:docPr id="387315850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5850" name="Picture 1" descr="A close up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FA9" w14:textId="414D73A4" w:rsidR="003F0CC2" w:rsidRDefault="003F0CC2" w:rsidP="003F0CC2">
      <w:pPr>
        <w:jc w:val="center"/>
      </w:pPr>
      <w:r>
        <w:t>Figure 1: Overview of s</w:t>
      </w:r>
      <w:r w:rsidR="008F3962">
        <w:t>ample sizes</w:t>
      </w:r>
    </w:p>
    <w:p w14:paraId="4F1F72CE" w14:textId="15AA24B8" w:rsidR="008F3962" w:rsidRPr="000B6EDE" w:rsidRDefault="008F3962">
      <w:pPr>
        <w:rPr>
          <w:u w:val="single"/>
        </w:rPr>
      </w:pPr>
      <w:r w:rsidRPr="000B6EDE">
        <w:rPr>
          <w:u w:val="single"/>
        </w:rPr>
        <w:t>Results:</w:t>
      </w:r>
    </w:p>
    <w:p w14:paraId="1B7C6EA0" w14:textId="77777777" w:rsidR="007A03B0" w:rsidRDefault="008F3962">
      <w:r>
        <w:t xml:space="preserve">At a regional level: For the region, it was seen that average scores for Numeracy and Literacy were 70.3% and 69.9% respectively (Figure 2). The percentage of students who had the requisite fluency in Numeracy </w:t>
      </w:r>
      <w:r w:rsidR="007A03B0">
        <w:t>was 86.1%, with Literacy scores being slightly lower at 84.4%. This figure dropped significantly to 72.8% for those passing both tests.</w:t>
      </w:r>
    </w:p>
    <w:p w14:paraId="0AD10349" w14:textId="77777777" w:rsidR="007A03B0" w:rsidRDefault="007A03B0">
      <w:r w:rsidRPr="007A03B0">
        <w:drawing>
          <wp:inline distT="0" distB="0" distL="0" distR="0" wp14:anchorId="5A26B777" wp14:editId="457DA14F">
            <wp:extent cx="5731510" cy="476885"/>
            <wp:effectExtent l="0" t="0" r="2540" b="0"/>
            <wp:docPr id="41333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5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EBD" w14:textId="5681430C" w:rsidR="007A03B0" w:rsidRDefault="007A03B0" w:rsidP="007A03B0">
      <w:pPr>
        <w:jc w:val="center"/>
      </w:pPr>
      <w:r>
        <w:t>Figure 2: Regional level results</w:t>
      </w:r>
    </w:p>
    <w:p w14:paraId="2F792E06" w14:textId="77777777" w:rsidR="007A03B0" w:rsidRDefault="007A03B0"/>
    <w:p w14:paraId="09A3339E" w14:textId="35AA6CD2" w:rsidR="008F3962" w:rsidRDefault="007A03B0">
      <w:r w:rsidRPr="000B6EDE">
        <w:rPr>
          <w:u w:val="single"/>
        </w:rPr>
        <w:t>At a school level:</w:t>
      </w:r>
      <w:r>
        <w:t xml:space="preserve"> As seen in Figure 3, the highest recorded results of any school in the region for average test scores was located at Holden High at 71.7% for reading, and 72.6% for mathematics. </w:t>
      </w:r>
      <w:r>
        <w:lastRenderedPageBreak/>
        <w:t xml:space="preserve">These contrasted with the low scores of 68.9% average reading scores at both Huang High and Wilson High, and average math results of </w:t>
      </w:r>
      <w:r w:rsidR="000F698A">
        <w:t>68.7% at Figueroa.</w:t>
      </w:r>
    </w:p>
    <w:p w14:paraId="024B280C" w14:textId="104F1B77" w:rsidR="008F3962" w:rsidRDefault="007A03B0">
      <w:r w:rsidRPr="007A03B0">
        <w:drawing>
          <wp:inline distT="0" distB="0" distL="0" distR="0" wp14:anchorId="45DD5A41" wp14:editId="62CF5703">
            <wp:extent cx="5731510" cy="1889125"/>
            <wp:effectExtent l="0" t="0" r="2540" b="0"/>
            <wp:docPr id="158161130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11303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2E2B" w14:textId="58F02E5D" w:rsidR="007A03B0" w:rsidRDefault="007A03B0" w:rsidP="007A03B0">
      <w:pPr>
        <w:jc w:val="center"/>
      </w:pPr>
      <w:r>
        <w:t>Figure 3: Overall test results of schools (alphabetical)</w:t>
      </w:r>
    </w:p>
    <w:p w14:paraId="2F28C0BB" w14:textId="77777777" w:rsidR="000F698A" w:rsidRDefault="007A03B0" w:rsidP="000F698A">
      <w:r>
        <w:t xml:space="preserve">When looking at percentage above </w:t>
      </w:r>
      <w:r w:rsidR="000F698A">
        <w:t xml:space="preserve">the standards for both literacy and numeracy, schools that breached the 80% mark were Griffin High (81.3), Cabrera High (80.7) and Bailey High (80.1) (Figure 4). This </w:t>
      </w:r>
      <w:proofErr w:type="gramStart"/>
      <w:r w:rsidR="000F698A">
        <w:t>is in contrast to</w:t>
      </w:r>
      <w:proofErr w:type="gramEnd"/>
      <w:r w:rsidR="000F698A">
        <w:t xml:space="preserve"> the regional average of 72.8 (Figure 2).</w:t>
      </w:r>
      <w:r w:rsidR="000F698A" w:rsidRPr="000F698A">
        <w:t xml:space="preserve"> </w:t>
      </w:r>
    </w:p>
    <w:p w14:paraId="4E05D0B9" w14:textId="415BF999" w:rsidR="000F698A" w:rsidRDefault="000F698A" w:rsidP="000F698A">
      <w:r>
        <w:t xml:space="preserve">Schools that showed </w:t>
      </w:r>
      <w:proofErr w:type="gramStart"/>
      <w:r>
        <w:t>particular struggles</w:t>
      </w:r>
      <w:proofErr w:type="gramEnd"/>
      <w:r>
        <w:t xml:space="preserve"> within this bracket of testing were Hernandez High (</w:t>
      </w:r>
      <w:r>
        <w:t>66.4%) and Huang High (66.7%) (Figure 5)</w:t>
      </w:r>
    </w:p>
    <w:p w14:paraId="45832A88" w14:textId="50253AA6" w:rsidR="007A03B0" w:rsidRDefault="007A03B0"/>
    <w:p w14:paraId="64C3175C" w14:textId="77777777" w:rsidR="000F698A" w:rsidRDefault="000F698A"/>
    <w:p w14:paraId="36887D3A" w14:textId="7D649590" w:rsidR="000F698A" w:rsidRDefault="000F698A">
      <w:r w:rsidRPr="000F698A">
        <w:drawing>
          <wp:inline distT="0" distB="0" distL="0" distR="0" wp14:anchorId="16CAAA21" wp14:editId="312CCB52">
            <wp:extent cx="5731510" cy="718820"/>
            <wp:effectExtent l="0" t="0" r="2540" b="5080"/>
            <wp:docPr id="16705820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8208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CDF8" w14:textId="3368C3F7" w:rsidR="000F698A" w:rsidRDefault="000F698A" w:rsidP="000F698A">
      <w:pPr>
        <w:jc w:val="center"/>
      </w:pPr>
      <w:r>
        <w:t>Figure 4: Top performing schools in the region by ‘Overall Passing’</w:t>
      </w:r>
    </w:p>
    <w:p w14:paraId="48C15030" w14:textId="77777777" w:rsidR="000F698A" w:rsidRDefault="000F698A"/>
    <w:p w14:paraId="461C281F" w14:textId="3FBBCD99" w:rsidR="000F698A" w:rsidRDefault="000F698A">
      <w:r w:rsidRPr="000F698A">
        <w:drawing>
          <wp:inline distT="0" distB="0" distL="0" distR="0" wp14:anchorId="22CB2AC5" wp14:editId="371C393B">
            <wp:extent cx="5731510" cy="728345"/>
            <wp:effectExtent l="0" t="0" r="2540" b="0"/>
            <wp:docPr id="165862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216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ED7" w14:textId="692D9AA5" w:rsidR="000F698A" w:rsidRDefault="000F698A" w:rsidP="000F698A">
      <w:pPr>
        <w:jc w:val="center"/>
      </w:pPr>
      <w:r>
        <w:t xml:space="preserve">Figure 5: Bottom performing schools in the region by ‘Overall </w:t>
      </w:r>
      <w:proofErr w:type="gramStart"/>
      <w:r>
        <w:t>Passing’</w:t>
      </w:r>
      <w:proofErr w:type="gramEnd"/>
    </w:p>
    <w:p w14:paraId="32456E44" w14:textId="77777777" w:rsidR="000F698A" w:rsidRDefault="000F698A" w:rsidP="000F698A">
      <w:pPr>
        <w:jc w:val="center"/>
      </w:pPr>
    </w:p>
    <w:p w14:paraId="20EE7C90" w14:textId="0D1FDB17" w:rsidR="000F698A" w:rsidRDefault="000F698A" w:rsidP="000F698A">
      <w:r w:rsidRPr="000B6EDE">
        <w:rPr>
          <w:u w:val="single"/>
        </w:rPr>
        <w:t>Scores on budget:</w:t>
      </w:r>
      <w:r>
        <w:t xml:space="preserve"> As seen in </w:t>
      </w:r>
      <w:r w:rsidR="00AA72F9">
        <w:t xml:space="preserve">Figure 6, the highest percentage of students passing both numeracy and literacy was seen in the perceived student budget of $585-630, with the lowest in the bracket of $645-680. </w:t>
      </w:r>
    </w:p>
    <w:p w14:paraId="5D725370" w14:textId="77777777" w:rsidR="00AA72F9" w:rsidRDefault="00AA72F9" w:rsidP="000F698A"/>
    <w:p w14:paraId="10A9B97B" w14:textId="3296577D" w:rsidR="00AA72F9" w:rsidRDefault="00AA72F9" w:rsidP="000F698A">
      <w:r w:rsidRPr="00AA72F9">
        <w:lastRenderedPageBreak/>
        <w:drawing>
          <wp:inline distT="0" distB="0" distL="0" distR="0" wp14:anchorId="4CA7248F" wp14:editId="17393563">
            <wp:extent cx="5731510" cy="1205865"/>
            <wp:effectExtent l="0" t="0" r="2540" b="0"/>
            <wp:docPr id="197468096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0965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527D" w14:textId="694E815D" w:rsidR="00AA72F9" w:rsidRDefault="00AA72F9" w:rsidP="00AA72F9">
      <w:pPr>
        <w:jc w:val="center"/>
      </w:pPr>
      <w:r>
        <w:t xml:space="preserve">Figure 6: Scores by school budget averaged by student </w:t>
      </w:r>
      <w:proofErr w:type="gramStart"/>
      <w:r>
        <w:t>number</w:t>
      </w:r>
      <w:proofErr w:type="gramEnd"/>
    </w:p>
    <w:p w14:paraId="5250C5E1" w14:textId="5B3D57B8" w:rsidR="00AA72F9" w:rsidRDefault="00AA72F9" w:rsidP="00AA72F9">
      <w:r w:rsidRPr="000B6EDE">
        <w:rPr>
          <w:u w:val="single"/>
        </w:rPr>
        <w:t>Scores by size</w:t>
      </w:r>
      <w:r>
        <w:t>: When considering the size of each school, it was seen that schools with a population number preceding 1000 students showed higher results compared to those at larger schools (Figure 7).</w:t>
      </w:r>
    </w:p>
    <w:p w14:paraId="51A3CF51" w14:textId="7D8C3576" w:rsidR="00AA72F9" w:rsidRDefault="00AA72F9" w:rsidP="00AA72F9">
      <w:r w:rsidRPr="00AA72F9">
        <w:drawing>
          <wp:inline distT="0" distB="0" distL="0" distR="0" wp14:anchorId="06EBD925" wp14:editId="06D56CB0">
            <wp:extent cx="5731510" cy="958850"/>
            <wp:effectExtent l="0" t="0" r="2540" b="0"/>
            <wp:docPr id="102231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BC06" w14:textId="4D510B44" w:rsidR="00AA72F9" w:rsidRDefault="00AA72F9" w:rsidP="00AA72F9">
      <w:pPr>
        <w:jc w:val="center"/>
      </w:pPr>
      <w:r>
        <w:t>Figure 7: Scores by school population sizes</w:t>
      </w:r>
    </w:p>
    <w:p w14:paraId="1E917617" w14:textId="77777777" w:rsidR="00AA72F9" w:rsidRDefault="00AA72F9" w:rsidP="00AA72F9"/>
    <w:p w14:paraId="469C145E" w14:textId="2EA7C46F" w:rsidR="00AA72F9" w:rsidRDefault="00AA72F9" w:rsidP="00AA72F9">
      <w:r w:rsidRPr="000B6EDE">
        <w:rPr>
          <w:u w:val="single"/>
        </w:rPr>
        <w:t>Scores by privatisation</w:t>
      </w:r>
      <w:r>
        <w:t xml:space="preserve">: When comparing score results of schools that are government funded or independent (Figure 8), </w:t>
      </w:r>
      <w:proofErr w:type="gramStart"/>
      <w:r>
        <w:t>it can be seen that the</w:t>
      </w:r>
      <w:proofErr w:type="gramEnd"/>
      <w:r>
        <w:t xml:space="preserve"> pass-rate of students at independent schools is significantly higher than those at government schools (77% to 70.7%)</w:t>
      </w:r>
    </w:p>
    <w:p w14:paraId="2092EB68" w14:textId="77777777" w:rsidR="00AA72F9" w:rsidRDefault="00AA72F9" w:rsidP="00AA72F9"/>
    <w:p w14:paraId="0B765146" w14:textId="53544BDF" w:rsidR="00AA72F9" w:rsidRDefault="00AA72F9" w:rsidP="00AA72F9">
      <w:r w:rsidRPr="00AA72F9">
        <w:drawing>
          <wp:inline distT="0" distB="0" distL="0" distR="0" wp14:anchorId="63EF97A1" wp14:editId="430CA309">
            <wp:extent cx="5731510" cy="822960"/>
            <wp:effectExtent l="0" t="0" r="2540" b="0"/>
            <wp:docPr id="556346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699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56F" w14:textId="5CDE04F5" w:rsidR="00AA72F9" w:rsidRDefault="00AA72F9" w:rsidP="00AA72F9">
      <w:pPr>
        <w:jc w:val="center"/>
      </w:pPr>
      <w:r>
        <w:t>Figure 8: Scores by privatisation</w:t>
      </w:r>
    </w:p>
    <w:p w14:paraId="26102CF0" w14:textId="77777777" w:rsidR="00AA72F9" w:rsidRDefault="00AA72F9" w:rsidP="00AA72F9">
      <w:pPr>
        <w:jc w:val="center"/>
      </w:pPr>
    </w:p>
    <w:p w14:paraId="5DEDC607" w14:textId="21C12FC9" w:rsidR="00AA72F9" w:rsidRPr="000B6EDE" w:rsidRDefault="00AA72F9" w:rsidP="00AA72F9">
      <w:pPr>
        <w:rPr>
          <w:sz w:val="24"/>
          <w:szCs w:val="24"/>
          <w:u w:val="single"/>
        </w:rPr>
      </w:pPr>
      <w:r w:rsidRPr="000B6EDE">
        <w:rPr>
          <w:sz w:val="24"/>
          <w:szCs w:val="24"/>
          <w:u w:val="single"/>
        </w:rPr>
        <w:t>Discussion:</w:t>
      </w:r>
    </w:p>
    <w:p w14:paraId="09404806" w14:textId="5AFB9FF2" w:rsidR="00AA72F9" w:rsidRDefault="00AA72F9" w:rsidP="00AA72F9">
      <w:r>
        <w:t xml:space="preserve">Overall, it can be concluded that the region has a high level of variation at all levels. </w:t>
      </w:r>
      <w:r w:rsidR="0040652A">
        <w:t xml:space="preserve">Of the data procured, it can be stated that budgets are not a primary cause of lower school scores as lower budgets per student showed higher results, </w:t>
      </w:r>
      <w:proofErr w:type="gramStart"/>
      <w:r w:rsidR="0040652A">
        <w:t>however</w:t>
      </w:r>
      <w:proofErr w:type="gramEnd"/>
      <w:r w:rsidR="0040652A">
        <w:t xml:space="preserve"> could be an indication that spending at higher budget schools may be ineffective. </w:t>
      </w:r>
    </w:p>
    <w:p w14:paraId="37F1CA73" w14:textId="601AD8F5" w:rsidR="0040652A" w:rsidRDefault="0040652A" w:rsidP="00AA72F9">
      <w:r>
        <w:t>The two factors that showed significant changes within the achieved scores were whether a school was privatised and the overall size of the school. Privatisation showed an increase of 6.3% pass rate, with the government schools being over 2% below the overall achieved pass-rate. It is also seen that 4 of the 7 government schools within the study found themselves in the lowest recorded overall pass-rates.</w:t>
      </w:r>
    </w:p>
    <w:p w14:paraId="476A6902" w14:textId="1372AEAB" w:rsidR="0040652A" w:rsidRDefault="0040652A" w:rsidP="00AA72F9">
      <w:r>
        <w:lastRenderedPageBreak/>
        <w:t>The size of each school showed an impact on study score when observing the three categories. The difference between schools with less than 1000 students and between 1000-2000 students was at 1%, which is not significant considering both are exceptionally above the regional average. The issue arises when schools reach above 2000 students</w:t>
      </w:r>
      <w:r w:rsidR="00956DF8">
        <w:t>, where the 7.8% drop puts them well below the average.</w:t>
      </w:r>
    </w:p>
    <w:p w14:paraId="6AB45AD0" w14:textId="5A41B57A" w:rsidR="00956DF8" w:rsidRDefault="00956DF8" w:rsidP="00AA72F9">
      <w:r>
        <w:t xml:space="preserve">For </w:t>
      </w:r>
      <w:proofErr w:type="gramStart"/>
      <w:r>
        <w:t>both of these</w:t>
      </w:r>
      <w:proofErr w:type="gramEnd"/>
      <w:r>
        <w:t xml:space="preserve"> key findings, there is one clear outlier seen within Bailey High School. By regards to both school size (4976 students) and its identity as a </w:t>
      </w:r>
      <w:proofErr w:type="gramStart"/>
      <w:r>
        <w:t>government based</w:t>
      </w:r>
      <w:proofErr w:type="gramEnd"/>
      <w:r>
        <w:t xml:space="preserve"> school, Bailey High far exceeds the expected results, placing as the third highest performing school for overall student pass-rates.</w:t>
      </w:r>
    </w:p>
    <w:p w14:paraId="7733162E" w14:textId="77777777" w:rsidR="00956DF8" w:rsidRDefault="00956DF8" w:rsidP="00AA72F9"/>
    <w:p w14:paraId="1E7F129D" w14:textId="6F976903" w:rsidR="00956DF8" w:rsidRPr="000B6EDE" w:rsidRDefault="00956DF8" w:rsidP="00AA72F9">
      <w:pPr>
        <w:rPr>
          <w:sz w:val="24"/>
          <w:szCs w:val="24"/>
          <w:u w:val="single"/>
        </w:rPr>
      </w:pPr>
      <w:r w:rsidRPr="000B6EDE">
        <w:rPr>
          <w:sz w:val="24"/>
          <w:szCs w:val="24"/>
          <w:u w:val="single"/>
        </w:rPr>
        <w:t>Recommended Follow-ups:</w:t>
      </w:r>
    </w:p>
    <w:p w14:paraId="2B7BE6AE" w14:textId="0476CD86" w:rsidR="00956DF8" w:rsidRDefault="00956DF8" w:rsidP="00AA72F9">
      <w:r>
        <w:t>Based on findings from this study, the following steps are recommended:</w:t>
      </w:r>
    </w:p>
    <w:p w14:paraId="296D34AB" w14:textId="58514AFC" w:rsidR="00956DF8" w:rsidRDefault="00956DF8" w:rsidP="00956DF8">
      <w:pPr>
        <w:pStyle w:val="ListParagraph"/>
        <w:numPr>
          <w:ilvl w:val="0"/>
          <w:numId w:val="1"/>
        </w:numPr>
      </w:pPr>
      <w:r>
        <w:t>Conduct an audit into schools that have the highest and lowest pass-</w:t>
      </w:r>
      <w:proofErr w:type="gramStart"/>
      <w:r>
        <w:t>rates</w:t>
      </w:r>
      <w:proofErr w:type="gramEnd"/>
    </w:p>
    <w:p w14:paraId="0EF914E2" w14:textId="7264F4F9" w:rsidR="00956DF8" w:rsidRDefault="00956DF8" w:rsidP="00956DF8">
      <w:pPr>
        <w:pStyle w:val="ListParagraph"/>
        <w:numPr>
          <w:ilvl w:val="1"/>
          <w:numId w:val="1"/>
        </w:numPr>
      </w:pPr>
      <w:r>
        <w:t>What pedagogical strategies are in place?</w:t>
      </w:r>
    </w:p>
    <w:p w14:paraId="5AA35E7B" w14:textId="2C1E80EB" w:rsidR="00956DF8" w:rsidRDefault="00956DF8" w:rsidP="00956DF8">
      <w:pPr>
        <w:pStyle w:val="ListParagraph"/>
        <w:numPr>
          <w:ilvl w:val="1"/>
          <w:numId w:val="1"/>
        </w:numPr>
      </w:pPr>
      <w:r>
        <w:t xml:space="preserve">What do attitude </w:t>
      </w:r>
      <w:r w:rsidR="000B6EDE">
        <w:t>to school surveys indicate for both teachers and students?</w:t>
      </w:r>
    </w:p>
    <w:p w14:paraId="44A0AC04" w14:textId="566F5118" w:rsidR="000B6EDE" w:rsidRDefault="000B6EDE" w:rsidP="00956DF8">
      <w:pPr>
        <w:pStyle w:val="ListParagraph"/>
        <w:numPr>
          <w:ilvl w:val="1"/>
          <w:numId w:val="1"/>
        </w:numPr>
      </w:pPr>
      <w:r>
        <w:t>What could be implemented within the bottom performing schools, both resource and strategy based?</w:t>
      </w:r>
    </w:p>
    <w:p w14:paraId="145E06D1" w14:textId="536C2303" w:rsidR="00956DF8" w:rsidRDefault="00956DF8" w:rsidP="00956DF8">
      <w:pPr>
        <w:pStyle w:val="ListParagraph"/>
        <w:numPr>
          <w:ilvl w:val="0"/>
          <w:numId w:val="1"/>
        </w:numPr>
      </w:pPr>
      <w:r>
        <w:t xml:space="preserve">Conduct an audit into schools that are underperforming when budget per student is exceptionally </w:t>
      </w:r>
      <w:proofErr w:type="gramStart"/>
      <w:r>
        <w:t>high</w:t>
      </w:r>
      <w:proofErr w:type="gramEnd"/>
    </w:p>
    <w:p w14:paraId="5A98984E" w14:textId="1DB0613B" w:rsidR="00956DF8" w:rsidRDefault="00956DF8" w:rsidP="00956DF8">
      <w:pPr>
        <w:pStyle w:val="ListParagraph"/>
        <w:numPr>
          <w:ilvl w:val="1"/>
          <w:numId w:val="1"/>
        </w:numPr>
      </w:pPr>
      <w:r>
        <w:t>Where is funding going?</w:t>
      </w:r>
    </w:p>
    <w:p w14:paraId="5B60CC73" w14:textId="5FBD2CD8" w:rsidR="000B6EDE" w:rsidRDefault="000B6EDE" w:rsidP="000B6EDE">
      <w:pPr>
        <w:pStyle w:val="ListParagraph"/>
        <w:numPr>
          <w:ilvl w:val="2"/>
          <w:numId w:val="1"/>
        </w:numPr>
      </w:pPr>
      <w:r>
        <w:t>Is funding going to non-academic purposes?</w:t>
      </w:r>
    </w:p>
    <w:p w14:paraId="59835040" w14:textId="24515854" w:rsidR="000B6EDE" w:rsidRDefault="000B6EDE" w:rsidP="000B6EDE">
      <w:pPr>
        <w:pStyle w:val="ListParagraph"/>
        <w:numPr>
          <w:ilvl w:val="2"/>
          <w:numId w:val="1"/>
        </w:numPr>
      </w:pPr>
      <w:r>
        <w:t>Does the school have a high instance of intellectual/behavioural funding?</w:t>
      </w:r>
    </w:p>
    <w:p w14:paraId="6EDA95C3" w14:textId="069A6706" w:rsidR="000B6EDE" w:rsidRDefault="000B6EDE" w:rsidP="000B6EDE">
      <w:pPr>
        <w:pStyle w:val="ListParagraph"/>
        <w:numPr>
          <w:ilvl w:val="0"/>
          <w:numId w:val="1"/>
        </w:numPr>
      </w:pPr>
      <w:r>
        <w:t xml:space="preserve">Conduct an audit into schools that have a high student </w:t>
      </w:r>
      <w:proofErr w:type="gramStart"/>
      <w:r>
        <w:t>count</w:t>
      </w:r>
      <w:proofErr w:type="gramEnd"/>
    </w:p>
    <w:p w14:paraId="7C8236A3" w14:textId="688856DA" w:rsidR="000B6EDE" w:rsidRDefault="000B6EDE" w:rsidP="000B6EDE">
      <w:pPr>
        <w:pStyle w:val="ListParagraph"/>
        <w:numPr>
          <w:ilvl w:val="1"/>
          <w:numId w:val="1"/>
        </w:numPr>
      </w:pPr>
      <w:r>
        <w:t>What added difficulties do schools with this size possess?</w:t>
      </w:r>
    </w:p>
    <w:p w14:paraId="25349006" w14:textId="43904E4F" w:rsidR="000B6EDE" w:rsidRDefault="000B6EDE" w:rsidP="000B6EDE">
      <w:pPr>
        <w:pStyle w:val="ListParagraph"/>
        <w:numPr>
          <w:ilvl w:val="2"/>
          <w:numId w:val="1"/>
        </w:numPr>
      </w:pPr>
      <w:r>
        <w:t xml:space="preserve">How does Bailey High handle these pressures in comparison to similar sizes with lower results? </w:t>
      </w:r>
    </w:p>
    <w:sectPr w:rsidR="000B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77"/>
    <w:multiLevelType w:val="hybridMultilevel"/>
    <w:tmpl w:val="EDE02808"/>
    <w:lvl w:ilvl="0" w:tplc="29121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38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A"/>
    <w:rsid w:val="000B6EDE"/>
    <w:rsid w:val="000F698A"/>
    <w:rsid w:val="002C75BA"/>
    <w:rsid w:val="003F0CC2"/>
    <w:rsid w:val="0040652A"/>
    <w:rsid w:val="007A03B0"/>
    <w:rsid w:val="008F3962"/>
    <w:rsid w:val="00956DF8"/>
    <w:rsid w:val="00A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49BD"/>
  <w15:chartTrackingRefBased/>
  <w15:docId w15:val="{0D5E6A55-BF3E-41E5-AE81-DFAAF185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Osborne</dc:creator>
  <cp:keywords/>
  <dc:description/>
  <cp:lastModifiedBy>Brett Osborne</cp:lastModifiedBy>
  <cp:revision>1</cp:revision>
  <dcterms:created xsi:type="dcterms:W3CDTF">2024-01-08T12:14:00Z</dcterms:created>
  <dcterms:modified xsi:type="dcterms:W3CDTF">2024-01-08T13:43:00Z</dcterms:modified>
</cp:coreProperties>
</file>