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Microsoft YaHei" w:hAnsi="Microsoft YaHei" w:eastAsia="Microsoft YaHei"/>
          <w:b/>
          <w:sz w:val="44"/>
        </w:rPr>
        <w:t>基于代码知识图谱与大模型的业务逻辑智能问询系统</w:t>
      </w:r>
    </w:p>
    <w:p>
      <w:pPr>
        <w:spacing w:before="280"/>
        <w:jc w:val="center"/>
      </w:pPr>
      <w:r>
        <w:rPr>
          <w:rFonts w:ascii="Microsoft YaHei" w:hAnsi="Microsoft YaHei" w:eastAsia="Microsoft YaHei"/>
          <w:b/>
          <w:sz w:val="36"/>
        </w:rPr>
        <w:t>技术选型调研报告</w:t>
      </w:r>
    </w:p>
    <w:p>
      <w:pPr>
        <w:spacing w:before="1100"/>
        <w:jc w:val="center"/>
      </w:pPr>
      <w:r>
        <w:t>调研范围：图数据库、向量数据库与大模型 API</w:t>
        <w:br/>
        <w:t>报告日期：2026 年 9 月 16 日</w:t>
      </w:r>
    </w:p>
    <w:p>
      <w:r>
        <w:br w:type="page"/>
      </w:r>
    </w:p>
    <w:p>
      <w:pPr>
        <w:pStyle w:val="Heading1"/>
      </w:pPr>
      <w:r>
        <w:t>1 调研结论</w:t>
      </w:r>
    </w:p>
    <w:p>
      <w:pPr>
        <w:pStyle w:val="BodyText"/>
        <w:ind w:firstLine="420"/>
      </w:pPr>
      <w:r>
        <w:t>本项目采用“代码解析与知识图谱构建 - 图检索和向量检索 - 大模型生成与引用返回”的技术路线。综合业务逻辑关系表达、语义检索能力、Windows 本地部署便利性、Python 生态、社区成熟度和项目周期等因素，确定 Neo4j 作为图数据库、Milvus 作为向量数据库、DeepSeek API 作为大模型服务，并采用 Docker Desktop、WSL 2 和 Docker Compose 完成本地开发环境部署。</w:t>
      </w:r>
    </w:p>
    <w:p>
      <w:pPr>
        <w:pStyle w:val="BodyText"/>
        <w:ind w:firstLine="420"/>
      </w:pPr>
      <w:r>
        <w:t>该组合将确定性的代码结构关系与非结构化的自然语言语义检索分开存储和查询：Neo4j 保存模块、类、函数、接口、调用、依赖等可追溯关系；Milvus 保存代码片段、注释和业务语义卡片的向量；LLM 负责理解用户问题、组织检索和基于证据生成回答。该架构适合回答“某项业务规则在哪里实现”“接口调用链经过哪些模块”“修改某函数会影响哪些业务流程”等问题。</w:t>
      </w:r>
    </w:p>
    <w:p>
      <w:pPr>
        <w:pStyle w:val="Heading1"/>
      </w:pPr>
      <w:r>
        <w:t>2 项目需求与评价方法</w:t>
      </w:r>
    </w:p>
    <w:p>
      <w:pPr>
        <w:pStyle w:val="BodyText"/>
        <w:ind w:firstLine="420"/>
      </w:pPr>
      <w:r>
        <w:t>课题的核心需求是对多文件代码库建立可查询、可更新、可解释的业务逻辑索引，并支持自然语言问询。技术选型不以单项性能指标为唯一依据，而以三人小组可在既定周期内复现、维护和验收为目标。</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1417"/>
            <w:shd w:fill="1F4E78"/>
            <w:tcMar>
              <w:top w:w="110" w:type="dxa"/>
              <w:start w:w="120" w:type="dxa"/>
              <w:bottom w:w="110" w:type="dxa"/>
              <w:end w:w="120" w:type="dxa"/>
            </w:tcMar>
            <w:vAlign w:val="center"/>
          </w:tcPr>
          <w:p>
            <w:pPr>
              <w:jc w:val="center"/>
            </w:pPr>
            <w:r>
              <w:rPr>
                <w:b/>
                <w:color w:val="FFFFFF"/>
                <w:sz w:val="18"/>
              </w:rPr>
              <w:t>评价维度</w:t>
            </w:r>
          </w:p>
        </w:tc>
        <w:tc>
          <w:tcPr>
            <w:tcW w:type="dxa" w:w="5670"/>
            <w:shd w:fill="1F4E78"/>
            <w:tcMar>
              <w:top w:w="110" w:type="dxa"/>
              <w:start w:w="120" w:type="dxa"/>
              <w:bottom w:w="110" w:type="dxa"/>
              <w:end w:w="120" w:type="dxa"/>
            </w:tcMar>
            <w:vAlign w:val="center"/>
          </w:tcPr>
          <w:p>
            <w:pPr>
              <w:jc w:val="center"/>
            </w:pPr>
            <w:r>
              <w:rPr>
                <w:b/>
                <w:color w:val="FFFFFF"/>
                <w:sz w:val="18"/>
              </w:rPr>
              <w:t>具体要求</w:t>
            </w:r>
          </w:p>
        </w:tc>
        <w:tc>
          <w:tcPr>
            <w:tcW w:type="dxa" w:w="1134"/>
            <w:shd w:fill="1F4E78"/>
            <w:tcMar>
              <w:top w:w="110" w:type="dxa"/>
              <w:start w:w="120" w:type="dxa"/>
              <w:bottom w:w="110" w:type="dxa"/>
              <w:end w:w="120" w:type="dxa"/>
            </w:tcMar>
            <w:vAlign w:val="center"/>
          </w:tcPr>
          <w:p>
            <w:pPr>
              <w:jc w:val="center"/>
            </w:pPr>
            <w:r>
              <w:rPr>
                <w:b/>
                <w:color w:val="FFFFFF"/>
                <w:sz w:val="18"/>
              </w:rPr>
              <w:t>权重</w:t>
            </w:r>
          </w:p>
        </w:tc>
      </w:tr>
      <w:tr>
        <w:tc>
          <w:tcPr>
            <w:tcW w:type="dxa" w:w="1417"/>
            <w:tcMar>
              <w:top w:w="110" w:type="dxa"/>
              <w:start w:w="120" w:type="dxa"/>
              <w:bottom w:w="110" w:type="dxa"/>
              <w:end w:w="120" w:type="dxa"/>
            </w:tcMar>
            <w:vAlign w:val="center"/>
          </w:tcPr>
          <w:p>
            <w:pPr>
              <w:jc w:val="center"/>
            </w:pPr>
            <w:r>
              <w:rPr>
                <w:sz w:val="18"/>
              </w:rPr>
              <w:t>功能匹配</w:t>
            </w:r>
          </w:p>
        </w:tc>
        <w:tc>
          <w:tcPr>
            <w:tcW w:type="dxa" w:w="5670"/>
            <w:tcMar>
              <w:top w:w="110" w:type="dxa"/>
              <w:start w:w="120" w:type="dxa"/>
              <w:bottom w:w="110" w:type="dxa"/>
              <w:end w:w="120" w:type="dxa"/>
            </w:tcMar>
            <w:vAlign w:val="center"/>
          </w:tcPr>
          <w:p>
            <w:pPr>
              <w:jc w:val="left"/>
            </w:pPr>
            <w:r>
              <w:rPr>
                <w:sz w:val="18"/>
              </w:rPr>
              <w:t>支持代码关系表达、语义检索或自然语言生成，并能服务于业务逻辑问询。</w:t>
            </w:r>
          </w:p>
        </w:tc>
        <w:tc>
          <w:tcPr>
            <w:tcW w:type="dxa" w:w="1134"/>
            <w:tcMar>
              <w:top w:w="110" w:type="dxa"/>
              <w:start w:w="120" w:type="dxa"/>
              <w:bottom w:w="110" w:type="dxa"/>
              <w:end w:w="120" w:type="dxa"/>
            </w:tcMar>
            <w:vAlign w:val="center"/>
          </w:tcPr>
          <w:p>
            <w:pPr>
              <w:jc w:val="left"/>
            </w:pPr>
            <w:r>
              <w:rPr>
                <w:sz w:val="18"/>
              </w:rPr>
              <w:t>30%</w:t>
            </w:r>
          </w:p>
        </w:tc>
      </w:tr>
      <w:tr>
        <w:tc>
          <w:tcPr>
            <w:tcW w:type="dxa" w:w="1417"/>
            <w:tcMar>
              <w:top w:w="110" w:type="dxa"/>
              <w:start w:w="120" w:type="dxa"/>
              <w:bottom w:w="110" w:type="dxa"/>
              <w:end w:w="120" w:type="dxa"/>
            </w:tcMar>
            <w:vAlign w:val="center"/>
            <w:shd w:fill="EAF2F8"/>
          </w:tcPr>
          <w:p>
            <w:pPr>
              <w:jc w:val="center"/>
            </w:pPr>
            <w:r>
              <w:rPr>
                <w:sz w:val="18"/>
              </w:rPr>
              <w:t>工程可用性</w:t>
            </w:r>
          </w:p>
        </w:tc>
        <w:tc>
          <w:tcPr>
            <w:tcW w:type="dxa" w:w="5670"/>
            <w:tcMar>
              <w:top w:w="110" w:type="dxa"/>
              <w:start w:w="120" w:type="dxa"/>
              <w:bottom w:w="110" w:type="dxa"/>
              <w:end w:w="120" w:type="dxa"/>
            </w:tcMar>
            <w:vAlign w:val="center"/>
            <w:shd w:fill="EAF2F8"/>
          </w:tcPr>
          <w:p>
            <w:pPr>
              <w:jc w:val="left"/>
            </w:pPr>
            <w:r>
              <w:rPr>
                <w:sz w:val="18"/>
              </w:rPr>
              <w:t>支持 Docker 部署、Python 调用、本地开发和故障排查。</w:t>
            </w:r>
          </w:p>
        </w:tc>
        <w:tc>
          <w:tcPr>
            <w:tcW w:type="dxa" w:w="1134"/>
            <w:tcMar>
              <w:top w:w="110" w:type="dxa"/>
              <w:start w:w="120" w:type="dxa"/>
              <w:bottom w:w="110" w:type="dxa"/>
              <w:end w:w="120" w:type="dxa"/>
            </w:tcMar>
            <w:vAlign w:val="center"/>
            <w:shd w:fill="EAF2F8"/>
          </w:tcPr>
          <w:p>
            <w:pPr>
              <w:jc w:val="left"/>
            </w:pPr>
            <w:r>
              <w:rPr>
                <w:sz w:val="18"/>
              </w:rPr>
              <w:t>25%</w:t>
            </w:r>
          </w:p>
        </w:tc>
      </w:tr>
      <w:tr>
        <w:tc>
          <w:tcPr>
            <w:tcW w:type="dxa" w:w="1417"/>
            <w:tcMar>
              <w:top w:w="110" w:type="dxa"/>
              <w:start w:w="120" w:type="dxa"/>
              <w:bottom w:w="110" w:type="dxa"/>
              <w:end w:w="120" w:type="dxa"/>
            </w:tcMar>
            <w:vAlign w:val="center"/>
          </w:tcPr>
          <w:p>
            <w:pPr>
              <w:jc w:val="center"/>
            </w:pPr>
            <w:r>
              <w:rPr>
                <w:sz w:val="18"/>
              </w:rPr>
              <w:t>可解释与可追溯</w:t>
            </w:r>
          </w:p>
        </w:tc>
        <w:tc>
          <w:tcPr>
            <w:tcW w:type="dxa" w:w="5670"/>
            <w:tcMar>
              <w:top w:w="110" w:type="dxa"/>
              <w:start w:w="120" w:type="dxa"/>
              <w:bottom w:w="110" w:type="dxa"/>
              <w:end w:w="120" w:type="dxa"/>
            </w:tcMar>
            <w:vAlign w:val="center"/>
          </w:tcPr>
          <w:p>
            <w:pPr>
              <w:jc w:val="left"/>
            </w:pPr>
            <w:r>
              <w:rPr>
                <w:sz w:val="18"/>
              </w:rPr>
              <w:t>能够返回图路径、源码定位、向量来源或引用证据。</w:t>
            </w:r>
          </w:p>
        </w:tc>
        <w:tc>
          <w:tcPr>
            <w:tcW w:type="dxa" w:w="1134"/>
            <w:tcMar>
              <w:top w:w="110" w:type="dxa"/>
              <w:start w:w="120" w:type="dxa"/>
              <w:bottom w:w="110" w:type="dxa"/>
              <w:end w:w="120" w:type="dxa"/>
            </w:tcMar>
            <w:vAlign w:val="center"/>
          </w:tcPr>
          <w:p>
            <w:pPr>
              <w:jc w:val="left"/>
            </w:pPr>
            <w:r>
              <w:rPr>
                <w:sz w:val="18"/>
              </w:rPr>
              <w:t>20%</w:t>
            </w:r>
          </w:p>
        </w:tc>
      </w:tr>
      <w:tr>
        <w:tc>
          <w:tcPr>
            <w:tcW w:type="dxa" w:w="1417"/>
            <w:tcMar>
              <w:top w:w="110" w:type="dxa"/>
              <w:start w:w="120" w:type="dxa"/>
              <w:bottom w:w="110" w:type="dxa"/>
              <w:end w:w="120" w:type="dxa"/>
            </w:tcMar>
            <w:vAlign w:val="center"/>
            <w:shd w:fill="EAF2F8"/>
          </w:tcPr>
          <w:p>
            <w:pPr>
              <w:jc w:val="center"/>
            </w:pPr>
            <w:r>
              <w:rPr>
                <w:sz w:val="18"/>
              </w:rPr>
              <w:t>生态与文档</w:t>
            </w:r>
          </w:p>
        </w:tc>
        <w:tc>
          <w:tcPr>
            <w:tcW w:type="dxa" w:w="5670"/>
            <w:tcMar>
              <w:top w:w="110" w:type="dxa"/>
              <w:start w:w="120" w:type="dxa"/>
              <w:bottom w:w="110" w:type="dxa"/>
              <w:end w:w="120" w:type="dxa"/>
            </w:tcMar>
            <w:vAlign w:val="center"/>
            <w:shd w:fill="EAF2F8"/>
          </w:tcPr>
          <w:p>
            <w:pPr>
              <w:jc w:val="left"/>
            </w:pPr>
            <w:r>
              <w:rPr>
                <w:sz w:val="18"/>
              </w:rPr>
              <w:t>社区活跃、文档完善、示例充分，便于三人协作维护。</w:t>
            </w:r>
          </w:p>
        </w:tc>
        <w:tc>
          <w:tcPr>
            <w:tcW w:type="dxa" w:w="1134"/>
            <w:tcMar>
              <w:top w:w="110" w:type="dxa"/>
              <w:start w:w="120" w:type="dxa"/>
              <w:bottom w:w="110" w:type="dxa"/>
              <w:end w:w="120" w:type="dxa"/>
            </w:tcMar>
            <w:vAlign w:val="center"/>
            <w:shd w:fill="EAF2F8"/>
          </w:tcPr>
          <w:p>
            <w:pPr>
              <w:jc w:val="left"/>
            </w:pPr>
            <w:r>
              <w:rPr>
                <w:sz w:val="18"/>
              </w:rPr>
              <w:t>15%</w:t>
            </w:r>
          </w:p>
        </w:tc>
      </w:tr>
      <w:tr>
        <w:tc>
          <w:tcPr>
            <w:tcW w:type="dxa" w:w="1417"/>
            <w:tcMar>
              <w:top w:w="110" w:type="dxa"/>
              <w:start w:w="120" w:type="dxa"/>
              <w:bottom w:w="110" w:type="dxa"/>
              <w:end w:w="120" w:type="dxa"/>
            </w:tcMar>
            <w:vAlign w:val="center"/>
          </w:tcPr>
          <w:p>
            <w:pPr>
              <w:jc w:val="center"/>
            </w:pPr>
            <w:r>
              <w:rPr>
                <w:sz w:val="18"/>
              </w:rPr>
              <w:t>成本与扩展</w:t>
            </w:r>
          </w:p>
        </w:tc>
        <w:tc>
          <w:tcPr>
            <w:tcW w:type="dxa" w:w="5670"/>
            <w:tcMar>
              <w:top w:w="110" w:type="dxa"/>
              <w:start w:w="120" w:type="dxa"/>
              <w:bottom w:w="110" w:type="dxa"/>
              <w:end w:w="120" w:type="dxa"/>
            </w:tcMar>
            <w:vAlign w:val="center"/>
          </w:tcPr>
          <w:p>
            <w:pPr>
              <w:jc w:val="left"/>
            </w:pPr>
            <w:r>
              <w:rPr>
                <w:sz w:val="18"/>
              </w:rPr>
              <w:t>具有开源或低成本起步方案，后续可按数据规模扩展。</w:t>
            </w:r>
          </w:p>
        </w:tc>
        <w:tc>
          <w:tcPr>
            <w:tcW w:type="dxa" w:w="1134"/>
            <w:tcMar>
              <w:top w:w="110" w:type="dxa"/>
              <w:start w:w="120" w:type="dxa"/>
              <w:bottom w:w="110" w:type="dxa"/>
              <w:end w:w="120" w:type="dxa"/>
            </w:tcMar>
            <w:vAlign w:val="center"/>
          </w:tcPr>
          <w:p>
            <w:pPr>
              <w:jc w:val="left"/>
            </w:pPr>
            <w:r>
              <w:rPr>
                <w:sz w:val="18"/>
              </w:rPr>
              <w:t>10%</w:t>
            </w:r>
          </w:p>
        </w:tc>
      </w:tr>
    </w:tbl>
    <w:p/>
    <w:p>
      <w:pPr>
        <w:pStyle w:val="Heading1"/>
      </w:pPr>
      <w:r>
        <w:t>3 图数据库选型</w:t>
      </w:r>
    </w:p>
    <w:p>
      <w:pPr>
        <w:pStyle w:val="BodyText"/>
        <w:ind w:firstLine="420"/>
      </w:pPr>
      <w:r>
        <w:t>图数据库用于保存静态解析得到的代码实体和关系。初期 Schema 以 Repository、Directory、File、Class、Function、Method、API、BusinessRule 等节点，以及 CONTAINS、DECLARES、CALLS、IMPORTS、IMPLEMENTS、DEPENDS_ON、BELONGS_TO 等关系为主。代码属性图研究表明，将语法、控制流和依赖关系组织为统一图结构，能够支持复杂路径查询和程序理解。</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1304"/>
            <w:shd w:fill="1F4E78"/>
            <w:tcMar>
              <w:top w:w="110" w:type="dxa"/>
              <w:start w:w="120" w:type="dxa"/>
              <w:bottom w:w="110" w:type="dxa"/>
              <w:end w:w="120" w:type="dxa"/>
            </w:tcMar>
            <w:vAlign w:val="center"/>
          </w:tcPr>
          <w:p>
            <w:pPr>
              <w:jc w:val="center"/>
            </w:pPr>
            <w:r>
              <w:rPr>
                <w:b/>
                <w:color w:val="FFFFFF"/>
                <w:sz w:val="18"/>
              </w:rPr>
              <w:t>候选方案</w:t>
            </w:r>
          </w:p>
        </w:tc>
        <w:tc>
          <w:tcPr>
            <w:tcW w:type="dxa" w:w="2835"/>
            <w:shd w:fill="1F4E78"/>
            <w:tcMar>
              <w:top w:w="110" w:type="dxa"/>
              <w:start w:w="120" w:type="dxa"/>
              <w:bottom w:w="110" w:type="dxa"/>
              <w:end w:w="120" w:type="dxa"/>
            </w:tcMar>
            <w:vAlign w:val="center"/>
          </w:tcPr>
          <w:p>
            <w:pPr>
              <w:jc w:val="center"/>
            </w:pPr>
            <w:r>
              <w:rPr>
                <w:b/>
                <w:color w:val="FFFFFF"/>
                <w:sz w:val="18"/>
              </w:rPr>
              <w:t>优势</w:t>
            </w:r>
          </w:p>
        </w:tc>
        <w:tc>
          <w:tcPr>
            <w:tcW w:type="dxa" w:w="2268"/>
            <w:shd w:fill="1F4E78"/>
            <w:tcMar>
              <w:top w:w="110" w:type="dxa"/>
              <w:start w:w="120" w:type="dxa"/>
              <w:bottom w:w="110" w:type="dxa"/>
              <w:end w:w="120" w:type="dxa"/>
            </w:tcMar>
            <w:vAlign w:val="center"/>
          </w:tcPr>
          <w:p>
            <w:pPr>
              <w:jc w:val="center"/>
            </w:pPr>
            <w:r>
              <w:rPr>
                <w:b/>
                <w:color w:val="FFFFFF"/>
                <w:sz w:val="18"/>
              </w:rPr>
              <w:t>局限</w:t>
            </w:r>
          </w:p>
        </w:tc>
        <w:tc>
          <w:tcPr>
            <w:tcW w:type="dxa" w:w="680"/>
            <w:shd w:fill="1F4E78"/>
            <w:tcMar>
              <w:top w:w="110" w:type="dxa"/>
              <w:start w:w="120" w:type="dxa"/>
              <w:bottom w:w="110" w:type="dxa"/>
              <w:end w:w="120" w:type="dxa"/>
            </w:tcMar>
            <w:vAlign w:val="center"/>
          </w:tcPr>
          <w:p>
            <w:pPr>
              <w:jc w:val="center"/>
            </w:pPr>
            <w:r>
              <w:rPr>
                <w:b/>
                <w:color w:val="FFFFFF"/>
                <w:sz w:val="18"/>
              </w:rPr>
              <w:t>结论</w:t>
            </w:r>
          </w:p>
        </w:tc>
      </w:tr>
      <w:tr>
        <w:tc>
          <w:tcPr>
            <w:tcW w:type="dxa" w:w="1304"/>
            <w:tcMar>
              <w:top w:w="110" w:type="dxa"/>
              <w:start w:w="120" w:type="dxa"/>
              <w:bottom w:w="110" w:type="dxa"/>
              <w:end w:w="120" w:type="dxa"/>
            </w:tcMar>
            <w:vAlign w:val="center"/>
          </w:tcPr>
          <w:p>
            <w:pPr>
              <w:jc w:val="center"/>
            </w:pPr>
            <w:r>
              <w:rPr>
                <w:sz w:val="18"/>
              </w:rPr>
              <w:t>Neo4j</w:t>
            </w:r>
          </w:p>
        </w:tc>
        <w:tc>
          <w:tcPr>
            <w:tcW w:type="dxa" w:w="2835"/>
            <w:tcMar>
              <w:top w:w="110" w:type="dxa"/>
              <w:start w:w="120" w:type="dxa"/>
              <w:bottom w:w="110" w:type="dxa"/>
              <w:end w:w="120" w:type="dxa"/>
            </w:tcMar>
            <w:vAlign w:val="center"/>
          </w:tcPr>
          <w:p>
            <w:pPr>
              <w:jc w:val="left"/>
            </w:pPr>
            <w:r>
              <w:rPr>
                <w:sz w:val="18"/>
              </w:rPr>
              <w:t>属性图模型直观；Cypher 易学；Browser 可视化完善；Python 驱动和 Docker 支持成熟。</w:t>
            </w:r>
          </w:p>
        </w:tc>
        <w:tc>
          <w:tcPr>
            <w:tcW w:type="dxa" w:w="2268"/>
            <w:tcMar>
              <w:top w:w="110" w:type="dxa"/>
              <w:start w:w="120" w:type="dxa"/>
              <w:bottom w:w="110" w:type="dxa"/>
              <w:end w:w="120" w:type="dxa"/>
            </w:tcMar>
            <w:vAlign w:val="center"/>
          </w:tcPr>
          <w:p>
            <w:pPr>
              <w:jc w:val="left"/>
            </w:pPr>
            <w:r>
              <w:rPr>
                <w:sz w:val="18"/>
              </w:rPr>
              <w:t>社区版面向单机开发；大规模集群需另行规划。</w:t>
            </w:r>
          </w:p>
        </w:tc>
        <w:tc>
          <w:tcPr>
            <w:tcW w:type="dxa" w:w="680"/>
            <w:tcMar>
              <w:top w:w="110" w:type="dxa"/>
              <w:start w:w="120" w:type="dxa"/>
              <w:bottom w:w="110" w:type="dxa"/>
              <w:end w:w="120" w:type="dxa"/>
            </w:tcMar>
            <w:vAlign w:val="center"/>
          </w:tcPr>
          <w:p>
            <w:pPr>
              <w:jc w:val="left"/>
            </w:pPr>
            <w:r>
              <w:rPr>
                <w:sz w:val="18"/>
              </w:rPr>
              <w:t>选择</w:t>
            </w:r>
          </w:p>
        </w:tc>
      </w:tr>
      <w:tr>
        <w:tc>
          <w:tcPr>
            <w:tcW w:type="dxa" w:w="1304"/>
            <w:tcMar>
              <w:top w:w="110" w:type="dxa"/>
              <w:start w:w="120" w:type="dxa"/>
              <w:bottom w:w="110" w:type="dxa"/>
              <w:end w:w="120" w:type="dxa"/>
            </w:tcMar>
            <w:vAlign w:val="center"/>
            <w:shd w:fill="EAF2F8"/>
          </w:tcPr>
          <w:p>
            <w:pPr>
              <w:jc w:val="center"/>
            </w:pPr>
            <w:r>
              <w:rPr>
                <w:sz w:val="18"/>
              </w:rPr>
              <w:t>NebulaGraph</w:t>
            </w:r>
          </w:p>
        </w:tc>
        <w:tc>
          <w:tcPr>
            <w:tcW w:type="dxa" w:w="2835"/>
            <w:tcMar>
              <w:top w:w="110" w:type="dxa"/>
              <w:start w:w="120" w:type="dxa"/>
              <w:bottom w:w="110" w:type="dxa"/>
              <w:end w:w="120" w:type="dxa"/>
            </w:tcMar>
            <w:vAlign w:val="center"/>
            <w:shd w:fill="EAF2F8"/>
          </w:tcPr>
          <w:p>
            <w:pPr>
              <w:jc w:val="left"/>
            </w:pPr>
            <w:r>
              <w:rPr>
                <w:sz w:val="18"/>
              </w:rPr>
              <w:t>分布式图存储能力较强；适合超大规模图数据。</w:t>
            </w:r>
          </w:p>
        </w:tc>
        <w:tc>
          <w:tcPr>
            <w:tcW w:type="dxa" w:w="2268"/>
            <w:tcMar>
              <w:top w:w="110" w:type="dxa"/>
              <w:start w:w="120" w:type="dxa"/>
              <w:bottom w:w="110" w:type="dxa"/>
              <w:end w:w="120" w:type="dxa"/>
            </w:tcMar>
            <w:vAlign w:val="center"/>
            <w:shd w:fill="EAF2F8"/>
          </w:tcPr>
          <w:p>
            <w:pPr>
              <w:jc w:val="left"/>
            </w:pPr>
            <w:r>
              <w:rPr>
                <w:sz w:val="18"/>
              </w:rPr>
              <w:t>运维和学习成本相对更高；本课题初期规模不需要分布式能力。</w:t>
            </w:r>
          </w:p>
        </w:tc>
        <w:tc>
          <w:tcPr>
            <w:tcW w:type="dxa" w:w="680"/>
            <w:tcMar>
              <w:top w:w="110" w:type="dxa"/>
              <w:start w:w="120" w:type="dxa"/>
              <w:bottom w:w="110" w:type="dxa"/>
              <w:end w:w="120" w:type="dxa"/>
            </w:tcMar>
            <w:vAlign w:val="center"/>
            <w:shd w:fill="EAF2F8"/>
          </w:tcPr>
          <w:p>
            <w:pPr>
              <w:jc w:val="left"/>
            </w:pPr>
            <w:r>
              <w:rPr>
                <w:sz w:val="18"/>
              </w:rPr>
              <w:t>备选</w:t>
            </w:r>
          </w:p>
        </w:tc>
      </w:tr>
      <w:tr>
        <w:tc>
          <w:tcPr>
            <w:tcW w:type="dxa" w:w="1304"/>
            <w:tcMar>
              <w:top w:w="110" w:type="dxa"/>
              <w:start w:w="120" w:type="dxa"/>
              <w:bottom w:w="110" w:type="dxa"/>
              <w:end w:w="120" w:type="dxa"/>
            </w:tcMar>
            <w:vAlign w:val="center"/>
          </w:tcPr>
          <w:p>
            <w:pPr>
              <w:jc w:val="center"/>
            </w:pPr>
            <w:r>
              <w:rPr>
                <w:sz w:val="18"/>
              </w:rPr>
              <w:t>JanusGraph</w:t>
            </w:r>
          </w:p>
        </w:tc>
        <w:tc>
          <w:tcPr>
            <w:tcW w:type="dxa" w:w="2835"/>
            <w:tcMar>
              <w:top w:w="110" w:type="dxa"/>
              <w:start w:w="120" w:type="dxa"/>
              <w:bottom w:w="110" w:type="dxa"/>
              <w:end w:w="120" w:type="dxa"/>
            </w:tcMar>
            <w:vAlign w:val="center"/>
          </w:tcPr>
          <w:p>
            <w:pPr>
              <w:jc w:val="left"/>
            </w:pPr>
            <w:r>
              <w:rPr>
                <w:sz w:val="18"/>
              </w:rPr>
              <w:t>可结合多种底层存储；适合复杂分布式场景。</w:t>
            </w:r>
          </w:p>
        </w:tc>
        <w:tc>
          <w:tcPr>
            <w:tcW w:type="dxa" w:w="2268"/>
            <w:tcMar>
              <w:top w:w="110" w:type="dxa"/>
              <w:start w:w="120" w:type="dxa"/>
              <w:bottom w:w="110" w:type="dxa"/>
              <w:end w:w="120" w:type="dxa"/>
            </w:tcMar>
            <w:vAlign w:val="center"/>
          </w:tcPr>
          <w:p>
            <w:pPr>
              <w:jc w:val="left"/>
            </w:pPr>
            <w:r>
              <w:rPr>
                <w:sz w:val="18"/>
              </w:rPr>
              <w:t>组件较多，部署、调优和维护成本较高。</w:t>
            </w:r>
          </w:p>
        </w:tc>
        <w:tc>
          <w:tcPr>
            <w:tcW w:type="dxa" w:w="680"/>
            <w:tcMar>
              <w:top w:w="110" w:type="dxa"/>
              <w:start w:w="120" w:type="dxa"/>
              <w:bottom w:w="110" w:type="dxa"/>
              <w:end w:w="120" w:type="dxa"/>
            </w:tcMar>
            <w:vAlign w:val="center"/>
          </w:tcPr>
          <w:p>
            <w:pPr>
              <w:jc w:val="left"/>
            </w:pPr>
            <w:r>
              <w:rPr>
                <w:sz w:val="18"/>
              </w:rPr>
              <w:t>不选</w:t>
            </w:r>
          </w:p>
        </w:tc>
      </w:tr>
    </w:tbl>
    <w:p/>
    <w:p>
      <w:pPr>
        <w:pStyle w:val="BodyText"/>
        <w:ind w:firstLine="420"/>
      </w:pPr>
      <w:r>
        <w:t>最终选择 Neo4j。原因是代码调用链、依赖链和影响范围分析天然适合属性图的节点 - 关系 - 属性模型；Cypher 可以直接表达多跳路径查询；Neo4j Browser 有利于调试和展示图谱。当前开发环境使用 neo4j:5.26.12，Bolt 端口为 7687，Browser 端口为 7474，均仅绑定本机回环地址。</w:t>
      </w:r>
    </w:p>
    <w:p>
      <w:pPr>
        <w:pStyle w:val="Heading1"/>
      </w:pPr>
      <w:r>
        <w:t>4 向量数据库选型</w:t>
      </w:r>
    </w:p>
    <w:p>
      <w:pPr>
        <w:pStyle w:val="BodyText"/>
        <w:ind w:firstLine="420"/>
      </w:pPr>
      <w:r>
        <w:t>向量数据库用于补充图谱的结构检索能力。代码中的注释、函数语义、业务术语和自然语言问题存在表达差异，向量检索可以从问题中召回相关代码片段，再由图查询扩展调用链和上下游关系。</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1304"/>
            <w:shd w:fill="1F4E78"/>
            <w:tcMar>
              <w:top w:w="110" w:type="dxa"/>
              <w:start w:w="120" w:type="dxa"/>
              <w:bottom w:w="110" w:type="dxa"/>
              <w:end w:w="120" w:type="dxa"/>
            </w:tcMar>
            <w:vAlign w:val="center"/>
          </w:tcPr>
          <w:p>
            <w:pPr>
              <w:jc w:val="center"/>
            </w:pPr>
            <w:r>
              <w:rPr>
                <w:b/>
                <w:color w:val="FFFFFF"/>
                <w:sz w:val="18"/>
              </w:rPr>
              <w:t>候选方案</w:t>
            </w:r>
          </w:p>
        </w:tc>
        <w:tc>
          <w:tcPr>
            <w:tcW w:type="dxa" w:w="2835"/>
            <w:shd w:fill="1F4E78"/>
            <w:tcMar>
              <w:top w:w="110" w:type="dxa"/>
              <w:start w:w="120" w:type="dxa"/>
              <w:bottom w:w="110" w:type="dxa"/>
              <w:end w:w="120" w:type="dxa"/>
            </w:tcMar>
            <w:vAlign w:val="center"/>
          </w:tcPr>
          <w:p>
            <w:pPr>
              <w:jc w:val="center"/>
            </w:pPr>
            <w:r>
              <w:rPr>
                <w:b/>
                <w:color w:val="FFFFFF"/>
                <w:sz w:val="18"/>
              </w:rPr>
              <w:t>优势</w:t>
            </w:r>
          </w:p>
        </w:tc>
        <w:tc>
          <w:tcPr>
            <w:tcW w:type="dxa" w:w="2268"/>
            <w:shd w:fill="1F4E78"/>
            <w:tcMar>
              <w:top w:w="110" w:type="dxa"/>
              <w:start w:w="120" w:type="dxa"/>
              <w:bottom w:w="110" w:type="dxa"/>
              <w:end w:w="120" w:type="dxa"/>
            </w:tcMar>
            <w:vAlign w:val="center"/>
          </w:tcPr>
          <w:p>
            <w:pPr>
              <w:jc w:val="center"/>
            </w:pPr>
            <w:r>
              <w:rPr>
                <w:b/>
                <w:color w:val="FFFFFF"/>
                <w:sz w:val="18"/>
              </w:rPr>
              <w:t>局限</w:t>
            </w:r>
          </w:p>
        </w:tc>
        <w:tc>
          <w:tcPr>
            <w:tcW w:type="dxa" w:w="680"/>
            <w:shd w:fill="1F4E78"/>
            <w:tcMar>
              <w:top w:w="110" w:type="dxa"/>
              <w:start w:w="120" w:type="dxa"/>
              <w:bottom w:w="110" w:type="dxa"/>
              <w:end w:w="120" w:type="dxa"/>
            </w:tcMar>
            <w:vAlign w:val="center"/>
          </w:tcPr>
          <w:p>
            <w:pPr>
              <w:jc w:val="center"/>
            </w:pPr>
            <w:r>
              <w:rPr>
                <w:b/>
                <w:color w:val="FFFFFF"/>
                <w:sz w:val="18"/>
              </w:rPr>
              <w:t>结论</w:t>
            </w:r>
          </w:p>
        </w:tc>
      </w:tr>
      <w:tr>
        <w:tc>
          <w:tcPr>
            <w:tcW w:type="dxa" w:w="1304"/>
            <w:tcMar>
              <w:top w:w="110" w:type="dxa"/>
              <w:start w:w="120" w:type="dxa"/>
              <w:bottom w:w="110" w:type="dxa"/>
              <w:end w:w="120" w:type="dxa"/>
            </w:tcMar>
            <w:vAlign w:val="center"/>
          </w:tcPr>
          <w:p>
            <w:pPr>
              <w:jc w:val="center"/>
            </w:pPr>
            <w:r>
              <w:rPr>
                <w:sz w:val="18"/>
              </w:rPr>
              <w:t>Milvus</w:t>
            </w:r>
          </w:p>
        </w:tc>
        <w:tc>
          <w:tcPr>
            <w:tcW w:type="dxa" w:w="2835"/>
            <w:tcMar>
              <w:top w:w="110" w:type="dxa"/>
              <w:start w:w="120" w:type="dxa"/>
              <w:bottom w:w="110" w:type="dxa"/>
              <w:end w:w="120" w:type="dxa"/>
            </w:tcMar>
            <w:vAlign w:val="center"/>
          </w:tcPr>
          <w:p>
            <w:pPr>
              <w:jc w:val="left"/>
            </w:pPr>
            <w:r>
              <w:rPr>
                <w:sz w:val="18"/>
              </w:rPr>
              <w:t>独立向量数据库；支持 collection、标量过滤、近似最近邻搜索和后续扩展；Python SDK 成熟。</w:t>
            </w:r>
          </w:p>
        </w:tc>
        <w:tc>
          <w:tcPr>
            <w:tcW w:type="dxa" w:w="2268"/>
            <w:tcMar>
              <w:top w:w="110" w:type="dxa"/>
              <w:start w:w="120" w:type="dxa"/>
              <w:bottom w:w="110" w:type="dxa"/>
              <w:end w:w="120" w:type="dxa"/>
            </w:tcMar>
            <w:vAlign w:val="center"/>
          </w:tcPr>
          <w:p>
            <w:pPr>
              <w:jc w:val="left"/>
            </w:pPr>
            <w:r>
              <w:rPr>
                <w:sz w:val="18"/>
              </w:rPr>
              <w:t>Standalone 部署依赖 etcd 与 MinIO，组件数量多于嵌入式方案。</w:t>
            </w:r>
          </w:p>
        </w:tc>
        <w:tc>
          <w:tcPr>
            <w:tcW w:type="dxa" w:w="680"/>
            <w:tcMar>
              <w:top w:w="110" w:type="dxa"/>
              <w:start w:w="120" w:type="dxa"/>
              <w:bottom w:w="110" w:type="dxa"/>
              <w:end w:w="120" w:type="dxa"/>
            </w:tcMar>
            <w:vAlign w:val="center"/>
          </w:tcPr>
          <w:p>
            <w:pPr>
              <w:jc w:val="left"/>
            </w:pPr>
            <w:r>
              <w:rPr>
                <w:sz w:val="18"/>
              </w:rPr>
              <w:t>选择</w:t>
            </w:r>
          </w:p>
        </w:tc>
      </w:tr>
      <w:tr>
        <w:tc>
          <w:tcPr>
            <w:tcW w:type="dxa" w:w="1304"/>
            <w:tcMar>
              <w:top w:w="110" w:type="dxa"/>
              <w:start w:w="120" w:type="dxa"/>
              <w:bottom w:w="110" w:type="dxa"/>
              <w:end w:w="120" w:type="dxa"/>
            </w:tcMar>
            <w:vAlign w:val="center"/>
            <w:shd w:fill="EAF2F8"/>
          </w:tcPr>
          <w:p>
            <w:pPr>
              <w:jc w:val="center"/>
            </w:pPr>
            <w:r>
              <w:rPr>
                <w:sz w:val="18"/>
              </w:rPr>
              <w:t>FAISS</w:t>
            </w:r>
          </w:p>
        </w:tc>
        <w:tc>
          <w:tcPr>
            <w:tcW w:type="dxa" w:w="2835"/>
            <w:tcMar>
              <w:top w:w="110" w:type="dxa"/>
              <w:start w:w="120" w:type="dxa"/>
              <w:bottom w:w="110" w:type="dxa"/>
              <w:end w:w="120" w:type="dxa"/>
            </w:tcMar>
            <w:vAlign w:val="center"/>
            <w:shd w:fill="EAF2F8"/>
          </w:tcPr>
          <w:p>
            <w:pPr>
              <w:jc w:val="left"/>
            </w:pPr>
            <w:r>
              <w:rPr>
                <w:sz w:val="18"/>
              </w:rPr>
              <w:t>检索库轻量，适合算法验证和本地实验。</w:t>
            </w:r>
          </w:p>
        </w:tc>
        <w:tc>
          <w:tcPr>
            <w:tcW w:type="dxa" w:w="2268"/>
            <w:tcMar>
              <w:top w:w="110" w:type="dxa"/>
              <w:start w:w="120" w:type="dxa"/>
              <w:bottom w:w="110" w:type="dxa"/>
              <w:end w:w="120" w:type="dxa"/>
            </w:tcMar>
            <w:vAlign w:val="center"/>
            <w:shd w:fill="EAF2F8"/>
          </w:tcPr>
          <w:p>
            <w:pPr>
              <w:jc w:val="left"/>
            </w:pPr>
            <w:r>
              <w:rPr>
                <w:sz w:val="18"/>
              </w:rPr>
              <w:t>不是完整数据库；持久化、元数据过滤和多用户服务需自行实现。</w:t>
            </w:r>
          </w:p>
        </w:tc>
        <w:tc>
          <w:tcPr>
            <w:tcW w:type="dxa" w:w="680"/>
            <w:tcMar>
              <w:top w:w="110" w:type="dxa"/>
              <w:start w:w="120" w:type="dxa"/>
              <w:bottom w:w="110" w:type="dxa"/>
              <w:end w:w="120" w:type="dxa"/>
            </w:tcMar>
            <w:vAlign w:val="center"/>
            <w:shd w:fill="EAF2F8"/>
          </w:tcPr>
          <w:p>
            <w:pPr>
              <w:jc w:val="left"/>
            </w:pPr>
            <w:r>
              <w:rPr>
                <w:sz w:val="18"/>
              </w:rPr>
              <w:t>备选</w:t>
            </w:r>
          </w:p>
        </w:tc>
      </w:tr>
      <w:tr>
        <w:tc>
          <w:tcPr>
            <w:tcW w:type="dxa" w:w="1304"/>
            <w:tcMar>
              <w:top w:w="110" w:type="dxa"/>
              <w:start w:w="120" w:type="dxa"/>
              <w:bottom w:w="110" w:type="dxa"/>
              <w:end w:w="120" w:type="dxa"/>
            </w:tcMar>
            <w:vAlign w:val="center"/>
          </w:tcPr>
          <w:p>
            <w:pPr>
              <w:jc w:val="center"/>
            </w:pPr>
            <w:r>
              <w:rPr>
                <w:sz w:val="18"/>
              </w:rPr>
              <w:t>Chroma</w:t>
            </w:r>
          </w:p>
        </w:tc>
        <w:tc>
          <w:tcPr>
            <w:tcW w:type="dxa" w:w="2835"/>
            <w:tcMar>
              <w:top w:w="110" w:type="dxa"/>
              <w:start w:w="120" w:type="dxa"/>
              <w:bottom w:w="110" w:type="dxa"/>
              <w:end w:w="120" w:type="dxa"/>
            </w:tcMar>
            <w:vAlign w:val="center"/>
          </w:tcPr>
          <w:p>
            <w:pPr>
              <w:jc w:val="left"/>
            </w:pPr>
            <w:r>
              <w:rPr>
                <w:sz w:val="18"/>
              </w:rPr>
              <w:t>原型搭建快，Python 使用简单。</w:t>
            </w:r>
          </w:p>
        </w:tc>
        <w:tc>
          <w:tcPr>
            <w:tcW w:type="dxa" w:w="2268"/>
            <w:tcMar>
              <w:top w:w="110" w:type="dxa"/>
              <w:start w:w="120" w:type="dxa"/>
              <w:bottom w:w="110" w:type="dxa"/>
              <w:end w:w="120" w:type="dxa"/>
            </w:tcMar>
            <w:vAlign w:val="center"/>
          </w:tcPr>
          <w:p>
            <w:pPr>
              <w:jc w:val="left"/>
            </w:pPr>
            <w:r>
              <w:rPr>
                <w:sz w:val="18"/>
              </w:rPr>
              <w:t>大规模索引、运维和复杂检索能力不作为本项目的优先优势。</w:t>
            </w:r>
          </w:p>
        </w:tc>
        <w:tc>
          <w:tcPr>
            <w:tcW w:type="dxa" w:w="680"/>
            <w:tcMar>
              <w:top w:w="110" w:type="dxa"/>
              <w:start w:w="120" w:type="dxa"/>
              <w:bottom w:w="110" w:type="dxa"/>
              <w:end w:w="120" w:type="dxa"/>
            </w:tcMar>
            <w:vAlign w:val="center"/>
          </w:tcPr>
          <w:p>
            <w:pPr>
              <w:jc w:val="left"/>
            </w:pPr>
            <w:r>
              <w:rPr>
                <w:sz w:val="18"/>
              </w:rPr>
              <w:t>备选</w:t>
            </w:r>
          </w:p>
        </w:tc>
      </w:tr>
      <w:tr>
        <w:tc>
          <w:tcPr>
            <w:tcW w:type="dxa" w:w="1304"/>
            <w:tcMar>
              <w:top w:w="110" w:type="dxa"/>
              <w:start w:w="120" w:type="dxa"/>
              <w:bottom w:w="110" w:type="dxa"/>
              <w:end w:w="120" w:type="dxa"/>
            </w:tcMar>
            <w:vAlign w:val="center"/>
            <w:shd w:fill="EAF2F8"/>
          </w:tcPr>
          <w:p>
            <w:pPr>
              <w:jc w:val="center"/>
            </w:pPr>
            <w:r>
              <w:rPr>
                <w:sz w:val="18"/>
              </w:rPr>
              <w:t>pgvector</w:t>
            </w:r>
          </w:p>
        </w:tc>
        <w:tc>
          <w:tcPr>
            <w:tcW w:type="dxa" w:w="2835"/>
            <w:tcMar>
              <w:top w:w="110" w:type="dxa"/>
              <w:start w:w="120" w:type="dxa"/>
              <w:bottom w:w="110" w:type="dxa"/>
              <w:end w:w="120" w:type="dxa"/>
            </w:tcMar>
            <w:vAlign w:val="center"/>
            <w:shd w:fill="EAF2F8"/>
          </w:tcPr>
          <w:p>
            <w:pPr>
              <w:jc w:val="left"/>
            </w:pPr>
            <w:r>
              <w:rPr>
                <w:sz w:val="18"/>
              </w:rPr>
              <w:t>可与 PostgreSQL 业务数据共存，SQL 生态成熟。</w:t>
            </w:r>
          </w:p>
        </w:tc>
        <w:tc>
          <w:tcPr>
            <w:tcW w:type="dxa" w:w="2268"/>
            <w:tcMar>
              <w:top w:w="110" w:type="dxa"/>
              <w:start w:w="120" w:type="dxa"/>
              <w:bottom w:w="110" w:type="dxa"/>
              <w:end w:w="120" w:type="dxa"/>
            </w:tcMar>
            <w:vAlign w:val="center"/>
            <w:shd w:fill="EAF2F8"/>
          </w:tcPr>
          <w:p>
            <w:pPr>
              <w:jc w:val="left"/>
            </w:pPr>
            <w:r>
              <w:rPr>
                <w:sz w:val="18"/>
              </w:rPr>
              <w:t>本项目已采用图数据库处理结构关系，另引入关系数据库会增加数据同步边界。</w:t>
            </w:r>
          </w:p>
        </w:tc>
        <w:tc>
          <w:tcPr>
            <w:tcW w:type="dxa" w:w="680"/>
            <w:tcMar>
              <w:top w:w="110" w:type="dxa"/>
              <w:start w:w="120" w:type="dxa"/>
              <w:bottom w:w="110" w:type="dxa"/>
              <w:end w:w="120" w:type="dxa"/>
            </w:tcMar>
            <w:vAlign w:val="center"/>
            <w:shd w:fill="EAF2F8"/>
          </w:tcPr>
          <w:p>
            <w:pPr>
              <w:jc w:val="left"/>
            </w:pPr>
            <w:r>
              <w:rPr>
                <w:sz w:val="18"/>
              </w:rPr>
              <w:t>不选</w:t>
            </w:r>
          </w:p>
        </w:tc>
      </w:tr>
    </w:tbl>
    <w:p/>
    <w:p>
      <w:pPr>
        <w:pStyle w:val="BodyText"/>
        <w:ind w:firstLine="420"/>
      </w:pPr>
      <w:r>
        <w:t>最终选择 Milvus。它能够保存向量、主键和源码定位等字段，并支持相似度搜索与标量过滤，适合实现“语义召回 + symbol_id 精确定位 + Neo4j 图扩展”的混合检索。当前开发环境使用 milvusdb/milvus:v2.6.21 和 pymilvus==2.6.6，服务端口为 19530，健康检查端口为 9091。</w:t>
      </w:r>
    </w:p>
    <w:p>
      <w:pPr>
        <w:pStyle w:val="Heading1"/>
      </w:pPr>
      <w:r>
        <w:t>5 大模型 API 选型</w:t>
      </w:r>
    </w:p>
    <w:p>
      <w:pPr>
        <w:pStyle w:val="BodyText"/>
        <w:ind w:firstLine="420"/>
      </w:pPr>
      <w:r>
        <w:t>LLM 服务负责问题意图理解、检索路由、证据整理和自然语言回答。为降低工程耦合，系统采用 OpenAI 兼容的 Chat Completions 接口封装，大模型名称、基础地址、超时和生成参数均通过本机 .env 配置，而非写入源代码。</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1304"/>
            <w:shd w:fill="1F4E78"/>
            <w:tcMar>
              <w:top w:w="110" w:type="dxa"/>
              <w:start w:w="120" w:type="dxa"/>
              <w:bottom w:w="110" w:type="dxa"/>
              <w:end w:w="120" w:type="dxa"/>
            </w:tcMar>
            <w:vAlign w:val="center"/>
          </w:tcPr>
          <w:p>
            <w:pPr>
              <w:jc w:val="center"/>
            </w:pPr>
            <w:r>
              <w:rPr>
                <w:b/>
                <w:color w:val="FFFFFF"/>
                <w:sz w:val="18"/>
              </w:rPr>
              <w:t>候选方案</w:t>
            </w:r>
          </w:p>
        </w:tc>
        <w:tc>
          <w:tcPr>
            <w:tcW w:type="dxa" w:w="2835"/>
            <w:shd w:fill="1F4E78"/>
            <w:tcMar>
              <w:top w:w="110" w:type="dxa"/>
              <w:start w:w="120" w:type="dxa"/>
              <w:bottom w:w="110" w:type="dxa"/>
              <w:end w:w="120" w:type="dxa"/>
            </w:tcMar>
            <w:vAlign w:val="center"/>
          </w:tcPr>
          <w:p>
            <w:pPr>
              <w:jc w:val="center"/>
            </w:pPr>
            <w:r>
              <w:rPr>
                <w:b/>
                <w:color w:val="FFFFFF"/>
                <w:sz w:val="18"/>
              </w:rPr>
              <w:t>优势</w:t>
            </w:r>
          </w:p>
        </w:tc>
        <w:tc>
          <w:tcPr>
            <w:tcW w:type="dxa" w:w="2268"/>
            <w:shd w:fill="1F4E78"/>
            <w:tcMar>
              <w:top w:w="110" w:type="dxa"/>
              <w:start w:w="120" w:type="dxa"/>
              <w:bottom w:w="110" w:type="dxa"/>
              <w:end w:w="120" w:type="dxa"/>
            </w:tcMar>
            <w:vAlign w:val="center"/>
          </w:tcPr>
          <w:p>
            <w:pPr>
              <w:jc w:val="center"/>
            </w:pPr>
            <w:r>
              <w:rPr>
                <w:b/>
                <w:color w:val="FFFFFF"/>
                <w:sz w:val="18"/>
              </w:rPr>
              <w:t>局限</w:t>
            </w:r>
          </w:p>
        </w:tc>
        <w:tc>
          <w:tcPr>
            <w:tcW w:type="dxa" w:w="680"/>
            <w:shd w:fill="1F4E78"/>
            <w:tcMar>
              <w:top w:w="110" w:type="dxa"/>
              <w:start w:w="120" w:type="dxa"/>
              <w:bottom w:w="110" w:type="dxa"/>
              <w:end w:w="120" w:type="dxa"/>
            </w:tcMar>
            <w:vAlign w:val="center"/>
          </w:tcPr>
          <w:p>
            <w:pPr>
              <w:jc w:val="center"/>
            </w:pPr>
            <w:r>
              <w:rPr>
                <w:b/>
                <w:color w:val="FFFFFF"/>
                <w:sz w:val="18"/>
              </w:rPr>
              <w:t>结论</w:t>
            </w:r>
          </w:p>
        </w:tc>
      </w:tr>
      <w:tr>
        <w:tc>
          <w:tcPr>
            <w:tcW w:type="dxa" w:w="1304"/>
            <w:tcMar>
              <w:top w:w="110" w:type="dxa"/>
              <w:start w:w="120" w:type="dxa"/>
              <w:bottom w:w="110" w:type="dxa"/>
              <w:end w:w="120" w:type="dxa"/>
            </w:tcMar>
            <w:vAlign w:val="center"/>
          </w:tcPr>
          <w:p>
            <w:pPr>
              <w:jc w:val="center"/>
            </w:pPr>
            <w:r>
              <w:rPr>
                <w:sz w:val="18"/>
              </w:rPr>
              <w:t>DeepSeek API</w:t>
            </w:r>
          </w:p>
        </w:tc>
        <w:tc>
          <w:tcPr>
            <w:tcW w:type="dxa" w:w="2835"/>
            <w:tcMar>
              <w:top w:w="110" w:type="dxa"/>
              <w:start w:w="120" w:type="dxa"/>
              <w:bottom w:w="110" w:type="dxa"/>
              <w:end w:w="120" w:type="dxa"/>
            </w:tcMar>
            <w:vAlign w:val="center"/>
          </w:tcPr>
          <w:p>
            <w:pPr>
              <w:jc w:val="left"/>
            </w:pPr>
            <w:r>
              <w:rPr>
                <w:sz w:val="18"/>
              </w:rPr>
              <w:t>提供 OpenAI 兼容接口；中文代码问答场景适配方便；可直接接入现有 Python 客户端。</w:t>
            </w:r>
          </w:p>
        </w:tc>
        <w:tc>
          <w:tcPr>
            <w:tcW w:type="dxa" w:w="2268"/>
            <w:tcMar>
              <w:top w:w="110" w:type="dxa"/>
              <w:start w:w="120" w:type="dxa"/>
              <w:bottom w:w="110" w:type="dxa"/>
              <w:end w:w="120" w:type="dxa"/>
            </w:tcMar>
            <w:vAlign w:val="center"/>
          </w:tcPr>
          <w:p>
            <w:pPr>
              <w:jc w:val="left"/>
            </w:pPr>
            <w:r>
              <w:rPr>
                <w:sz w:val="18"/>
              </w:rPr>
              <w:t>调用依赖网络和账户额度；模型版本与价格需持续关注。</w:t>
            </w:r>
          </w:p>
        </w:tc>
        <w:tc>
          <w:tcPr>
            <w:tcW w:type="dxa" w:w="680"/>
            <w:tcMar>
              <w:top w:w="110" w:type="dxa"/>
              <w:start w:w="120" w:type="dxa"/>
              <w:bottom w:w="110" w:type="dxa"/>
              <w:end w:w="120" w:type="dxa"/>
            </w:tcMar>
            <w:vAlign w:val="center"/>
          </w:tcPr>
          <w:p>
            <w:pPr>
              <w:jc w:val="left"/>
            </w:pPr>
            <w:r>
              <w:rPr>
                <w:sz w:val="18"/>
              </w:rPr>
              <w:t>选择</w:t>
            </w:r>
          </w:p>
        </w:tc>
      </w:tr>
      <w:tr>
        <w:tc>
          <w:tcPr>
            <w:tcW w:type="dxa" w:w="1304"/>
            <w:tcMar>
              <w:top w:w="110" w:type="dxa"/>
              <w:start w:w="120" w:type="dxa"/>
              <w:bottom w:w="110" w:type="dxa"/>
              <w:end w:w="120" w:type="dxa"/>
            </w:tcMar>
            <w:vAlign w:val="center"/>
            <w:shd w:fill="EAF2F8"/>
          </w:tcPr>
          <w:p>
            <w:pPr>
              <w:jc w:val="center"/>
            </w:pPr>
            <w:r>
              <w:rPr>
                <w:sz w:val="18"/>
              </w:rPr>
              <w:t>Qwen API</w:t>
            </w:r>
          </w:p>
        </w:tc>
        <w:tc>
          <w:tcPr>
            <w:tcW w:type="dxa" w:w="2835"/>
            <w:tcMar>
              <w:top w:w="110" w:type="dxa"/>
              <w:start w:w="120" w:type="dxa"/>
              <w:bottom w:w="110" w:type="dxa"/>
              <w:end w:w="120" w:type="dxa"/>
            </w:tcMar>
            <w:vAlign w:val="center"/>
            <w:shd w:fill="EAF2F8"/>
          </w:tcPr>
          <w:p>
            <w:pPr>
              <w:jc w:val="left"/>
            </w:pPr>
            <w:r>
              <w:rPr>
                <w:sz w:val="18"/>
              </w:rPr>
              <w:t>中文能力和工具生态较完善；存在多种模型规格。</w:t>
            </w:r>
          </w:p>
        </w:tc>
        <w:tc>
          <w:tcPr>
            <w:tcW w:type="dxa" w:w="2268"/>
            <w:tcMar>
              <w:top w:w="110" w:type="dxa"/>
              <w:start w:w="120" w:type="dxa"/>
              <w:bottom w:w="110" w:type="dxa"/>
              <w:end w:w="120" w:type="dxa"/>
            </w:tcMar>
            <w:vAlign w:val="center"/>
            <w:shd w:fill="EAF2F8"/>
          </w:tcPr>
          <w:p>
            <w:pPr>
              <w:jc w:val="left"/>
            </w:pPr>
            <w:r>
              <w:rPr>
                <w:sz w:val="18"/>
              </w:rPr>
              <w:t>需要重新完成接口、成本和模型效果的对比验证。</w:t>
            </w:r>
          </w:p>
        </w:tc>
        <w:tc>
          <w:tcPr>
            <w:tcW w:type="dxa" w:w="680"/>
            <w:tcMar>
              <w:top w:w="110" w:type="dxa"/>
              <w:start w:w="120" w:type="dxa"/>
              <w:bottom w:w="110" w:type="dxa"/>
              <w:end w:w="120" w:type="dxa"/>
            </w:tcMar>
            <w:vAlign w:val="center"/>
            <w:shd w:fill="EAF2F8"/>
          </w:tcPr>
          <w:p>
            <w:pPr>
              <w:jc w:val="left"/>
            </w:pPr>
            <w:r>
              <w:rPr>
                <w:sz w:val="18"/>
              </w:rPr>
              <w:t>备选</w:t>
            </w:r>
          </w:p>
        </w:tc>
      </w:tr>
      <w:tr>
        <w:tc>
          <w:tcPr>
            <w:tcW w:type="dxa" w:w="1304"/>
            <w:tcMar>
              <w:top w:w="110" w:type="dxa"/>
              <w:start w:w="120" w:type="dxa"/>
              <w:bottom w:w="110" w:type="dxa"/>
              <w:end w:w="120" w:type="dxa"/>
            </w:tcMar>
            <w:vAlign w:val="center"/>
          </w:tcPr>
          <w:p>
            <w:pPr>
              <w:jc w:val="center"/>
            </w:pPr>
            <w:r>
              <w:rPr>
                <w:sz w:val="18"/>
              </w:rPr>
              <w:t>OpenAI API</w:t>
            </w:r>
          </w:p>
        </w:tc>
        <w:tc>
          <w:tcPr>
            <w:tcW w:type="dxa" w:w="2835"/>
            <w:tcMar>
              <w:top w:w="110" w:type="dxa"/>
              <w:start w:w="120" w:type="dxa"/>
              <w:bottom w:w="110" w:type="dxa"/>
              <w:end w:w="120" w:type="dxa"/>
            </w:tcMar>
            <w:vAlign w:val="center"/>
          </w:tcPr>
          <w:p>
            <w:pPr>
              <w:jc w:val="left"/>
            </w:pPr>
            <w:r>
              <w:rPr>
                <w:sz w:val="18"/>
              </w:rPr>
              <w:t>工具调用与生态成熟，文档完整。</w:t>
            </w:r>
          </w:p>
        </w:tc>
        <w:tc>
          <w:tcPr>
            <w:tcW w:type="dxa" w:w="2268"/>
            <w:tcMar>
              <w:top w:w="110" w:type="dxa"/>
              <w:start w:w="120" w:type="dxa"/>
              <w:bottom w:w="110" w:type="dxa"/>
              <w:end w:w="120" w:type="dxa"/>
            </w:tcMar>
            <w:vAlign w:val="center"/>
          </w:tcPr>
          <w:p>
            <w:pPr>
              <w:jc w:val="left"/>
            </w:pPr>
            <w:r>
              <w:rPr>
                <w:sz w:val="18"/>
              </w:rPr>
              <w:t>成本、网络可达性和数据合规要求需按具体使用场景评估。</w:t>
            </w:r>
          </w:p>
        </w:tc>
        <w:tc>
          <w:tcPr>
            <w:tcW w:type="dxa" w:w="680"/>
            <w:tcMar>
              <w:top w:w="110" w:type="dxa"/>
              <w:start w:w="120" w:type="dxa"/>
              <w:bottom w:w="110" w:type="dxa"/>
              <w:end w:w="120" w:type="dxa"/>
            </w:tcMar>
            <w:vAlign w:val="center"/>
          </w:tcPr>
          <w:p>
            <w:pPr>
              <w:jc w:val="left"/>
            </w:pPr>
            <w:r>
              <w:rPr>
                <w:sz w:val="18"/>
              </w:rPr>
              <w:t>备选</w:t>
            </w:r>
          </w:p>
        </w:tc>
      </w:tr>
    </w:tbl>
    <w:p/>
    <w:p>
      <w:pPr>
        <w:pStyle w:val="BodyText"/>
        <w:ind w:firstLine="420"/>
      </w:pPr>
      <w:r>
        <w:t>最终选择 DeepSeek API。当前配置基础地址为 https://api.deepseek.com，模型名为 deepseek-v4-flash，连通性测试采用禁用思考模式和较小输出 Token 预算，以降低测试成本。DeepSeek 官方当前说明旧模型名 deepseek-v4-flash 仍可调用，但会被路由至 DeepSeek-V4.1-Flash；后续正式联调时应评估改用官方当前推荐的 deepseek-flash 名称，并在报告中记录实际模型版本。</w:t>
      </w:r>
    </w:p>
    <w:p>
      <w:pPr>
        <w:pStyle w:val="Heading1"/>
      </w:pPr>
      <w:r>
        <w:t>6 总体架构与部署方案</w:t>
      </w:r>
    </w:p>
    <w:p>
      <w:pPr>
        <w:pStyle w:val="BodyText"/>
        <w:ind w:firstLine="420"/>
      </w:pPr>
      <w:r>
        <w:t>系统采用双索引架构。代码解析模块输出结构化实体和关系到 Neo4j，同时将函数、类、文件和语义卡片转换为向量写入 Milvus。用户提问后，问答编排模块首先识别问题类型：关系型问题优先查询 Neo4j；语义型问题优先检索 Milvus；涉及业务流程或影响范围的问题采用两者融合。LLM 基于检索结果生成答案，并返回节点、关系路径、symbol_id 或源码位置作为引用。</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1360"/>
            <w:shd w:fill="1F4E78"/>
            <w:tcMar>
              <w:top w:w="110" w:type="dxa"/>
              <w:start w:w="120" w:type="dxa"/>
              <w:bottom w:w="110" w:type="dxa"/>
              <w:end w:w="120" w:type="dxa"/>
            </w:tcMar>
            <w:vAlign w:val="center"/>
          </w:tcPr>
          <w:p>
            <w:pPr>
              <w:jc w:val="center"/>
            </w:pPr>
            <w:r>
              <w:rPr>
                <w:b/>
                <w:color w:val="FFFFFF"/>
                <w:sz w:val="18"/>
              </w:rPr>
              <w:t>层次</w:t>
            </w:r>
          </w:p>
        </w:tc>
        <w:tc>
          <w:tcPr>
            <w:tcW w:type="dxa" w:w="2494"/>
            <w:shd w:fill="1F4E78"/>
            <w:tcMar>
              <w:top w:w="110" w:type="dxa"/>
              <w:start w:w="120" w:type="dxa"/>
              <w:bottom w:w="110" w:type="dxa"/>
              <w:end w:w="120" w:type="dxa"/>
            </w:tcMar>
            <w:vAlign w:val="center"/>
          </w:tcPr>
          <w:p>
            <w:pPr>
              <w:jc w:val="center"/>
            </w:pPr>
            <w:r>
              <w:rPr>
                <w:b/>
                <w:color w:val="FFFFFF"/>
                <w:sz w:val="18"/>
              </w:rPr>
              <w:t>组件</w:t>
            </w:r>
          </w:p>
        </w:tc>
        <w:tc>
          <w:tcPr>
            <w:tcW w:type="dxa" w:w="3402"/>
            <w:shd w:fill="1F4E78"/>
            <w:tcMar>
              <w:top w:w="110" w:type="dxa"/>
              <w:start w:w="120" w:type="dxa"/>
              <w:bottom w:w="110" w:type="dxa"/>
              <w:end w:w="120" w:type="dxa"/>
            </w:tcMar>
            <w:vAlign w:val="center"/>
          </w:tcPr>
          <w:p>
            <w:pPr>
              <w:jc w:val="center"/>
            </w:pPr>
            <w:r>
              <w:rPr>
                <w:b/>
                <w:color w:val="FFFFFF"/>
                <w:sz w:val="18"/>
              </w:rPr>
              <w:t>职责</w:t>
            </w:r>
          </w:p>
        </w:tc>
      </w:tr>
      <w:tr>
        <w:tc>
          <w:tcPr>
            <w:tcW w:type="dxa" w:w="1360"/>
            <w:tcMar>
              <w:top w:w="110" w:type="dxa"/>
              <w:start w:w="120" w:type="dxa"/>
              <w:bottom w:w="110" w:type="dxa"/>
              <w:end w:w="120" w:type="dxa"/>
            </w:tcMar>
            <w:vAlign w:val="center"/>
          </w:tcPr>
          <w:p>
            <w:pPr>
              <w:jc w:val="center"/>
            </w:pPr>
            <w:r>
              <w:rPr>
                <w:sz w:val="18"/>
              </w:rPr>
              <w:t>数据抽取层</w:t>
            </w:r>
          </w:p>
        </w:tc>
        <w:tc>
          <w:tcPr>
            <w:tcW w:type="dxa" w:w="2494"/>
            <w:tcMar>
              <w:top w:w="110" w:type="dxa"/>
              <w:start w:w="120" w:type="dxa"/>
              <w:bottom w:w="110" w:type="dxa"/>
              <w:end w:w="120" w:type="dxa"/>
            </w:tcMar>
            <w:vAlign w:val="center"/>
          </w:tcPr>
          <w:p>
            <w:pPr>
              <w:jc w:val="left"/>
            </w:pPr>
            <w:r>
              <w:rPr>
                <w:sz w:val="18"/>
              </w:rPr>
              <w:t>代码解析器、文档抽取器</w:t>
            </w:r>
          </w:p>
        </w:tc>
        <w:tc>
          <w:tcPr>
            <w:tcW w:type="dxa" w:w="3402"/>
            <w:tcMar>
              <w:top w:w="110" w:type="dxa"/>
              <w:start w:w="120" w:type="dxa"/>
              <w:bottom w:w="110" w:type="dxa"/>
              <w:end w:w="120" w:type="dxa"/>
            </w:tcMar>
            <w:vAlign w:val="center"/>
          </w:tcPr>
          <w:p>
            <w:pPr>
              <w:jc w:val="left"/>
            </w:pPr>
            <w:r>
              <w:rPr>
                <w:sz w:val="18"/>
              </w:rPr>
              <w:t>提取文件、类、函数、调用关系、业务语义与源码位置。</w:t>
            </w:r>
          </w:p>
        </w:tc>
      </w:tr>
      <w:tr>
        <w:tc>
          <w:tcPr>
            <w:tcW w:type="dxa" w:w="1360"/>
            <w:tcMar>
              <w:top w:w="110" w:type="dxa"/>
              <w:start w:w="120" w:type="dxa"/>
              <w:bottom w:w="110" w:type="dxa"/>
              <w:end w:w="120" w:type="dxa"/>
            </w:tcMar>
            <w:vAlign w:val="center"/>
            <w:shd w:fill="EAF2F8"/>
          </w:tcPr>
          <w:p>
            <w:pPr>
              <w:jc w:val="center"/>
            </w:pPr>
            <w:r>
              <w:rPr>
                <w:sz w:val="18"/>
              </w:rPr>
              <w:t>结构索引层</w:t>
            </w:r>
          </w:p>
        </w:tc>
        <w:tc>
          <w:tcPr>
            <w:tcW w:type="dxa" w:w="2494"/>
            <w:tcMar>
              <w:top w:w="110" w:type="dxa"/>
              <w:start w:w="120" w:type="dxa"/>
              <w:bottom w:w="110" w:type="dxa"/>
              <w:end w:w="120" w:type="dxa"/>
            </w:tcMar>
            <w:vAlign w:val="center"/>
            <w:shd w:fill="EAF2F8"/>
          </w:tcPr>
          <w:p>
            <w:pPr>
              <w:jc w:val="left"/>
            </w:pPr>
            <w:r>
              <w:rPr>
                <w:sz w:val="18"/>
              </w:rPr>
              <w:t>Neo4j</w:t>
            </w:r>
          </w:p>
        </w:tc>
        <w:tc>
          <w:tcPr>
            <w:tcW w:type="dxa" w:w="3402"/>
            <w:tcMar>
              <w:top w:w="110" w:type="dxa"/>
              <w:start w:w="120" w:type="dxa"/>
              <w:bottom w:w="110" w:type="dxa"/>
              <w:end w:w="120" w:type="dxa"/>
            </w:tcMar>
            <w:vAlign w:val="center"/>
            <w:shd w:fill="EAF2F8"/>
          </w:tcPr>
          <w:p>
            <w:pPr>
              <w:jc w:val="left"/>
            </w:pPr>
            <w:r>
              <w:rPr>
                <w:sz w:val="18"/>
              </w:rPr>
              <w:t>保存代码实体、调用链、依赖链和业务关系，支持 Cypher 路径查询。</w:t>
            </w:r>
          </w:p>
        </w:tc>
      </w:tr>
      <w:tr>
        <w:tc>
          <w:tcPr>
            <w:tcW w:type="dxa" w:w="1360"/>
            <w:tcMar>
              <w:top w:w="110" w:type="dxa"/>
              <w:start w:w="120" w:type="dxa"/>
              <w:bottom w:w="110" w:type="dxa"/>
              <w:end w:w="120" w:type="dxa"/>
            </w:tcMar>
            <w:vAlign w:val="center"/>
          </w:tcPr>
          <w:p>
            <w:pPr>
              <w:jc w:val="center"/>
            </w:pPr>
            <w:r>
              <w:rPr>
                <w:sz w:val="18"/>
              </w:rPr>
              <w:t>语义索引层</w:t>
            </w:r>
          </w:p>
        </w:tc>
        <w:tc>
          <w:tcPr>
            <w:tcW w:type="dxa" w:w="2494"/>
            <w:tcMar>
              <w:top w:w="110" w:type="dxa"/>
              <w:start w:w="120" w:type="dxa"/>
              <w:bottom w:w="110" w:type="dxa"/>
              <w:end w:w="120" w:type="dxa"/>
            </w:tcMar>
            <w:vAlign w:val="center"/>
          </w:tcPr>
          <w:p>
            <w:pPr>
              <w:jc w:val="left"/>
            </w:pPr>
            <w:r>
              <w:rPr>
                <w:sz w:val="18"/>
              </w:rPr>
              <w:t>Milvus</w:t>
            </w:r>
          </w:p>
        </w:tc>
        <w:tc>
          <w:tcPr>
            <w:tcW w:type="dxa" w:w="3402"/>
            <w:tcMar>
              <w:top w:w="110" w:type="dxa"/>
              <w:start w:w="120" w:type="dxa"/>
              <w:bottom w:w="110" w:type="dxa"/>
              <w:end w:w="120" w:type="dxa"/>
            </w:tcMar>
            <w:vAlign w:val="center"/>
          </w:tcPr>
          <w:p>
            <w:pPr>
              <w:jc w:val="left"/>
            </w:pPr>
            <w:r>
              <w:rPr>
                <w:sz w:val="18"/>
              </w:rPr>
              <w:t>保存代码片段和语义卡片向量，执行相似度召回和标量过滤。</w:t>
            </w:r>
          </w:p>
        </w:tc>
      </w:tr>
      <w:tr>
        <w:tc>
          <w:tcPr>
            <w:tcW w:type="dxa" w:w="1360"/>
            <w:tcMar>
              <w:top w:w="110" w:type="dxa"/>
              <w:start w:w="120" w:type="dxa"/>
              <w:bottom w:w="110" w:type="dxa"/>
              <w:end w:w="120" w:type="dxa"/>
            </w:tcMar>
            <w:vAlign w:val="center"/>
            <w:shd w:fill="EAF2F8"/>
          </w:tcPr>
          <w:p>
            <w:pPr>
              <w:jc w:val="center"/>
            </w:pPr>
            <w:r>
              <w:rPr>
                <w:sz w:val="18"/>
              </w:rPr>
              <w:t>问答编排层</w:t>
            </w:r>
          </w:p>
        </w:tc>
        <w:tc>
          <w:tcPr>
            <w:tcW w:type="dxa" w:w="2494"/>
            <w:tcMar>
              <w:top w:w="110" w:type="dxa"/>
              <w:start w:w="120" w:type="dxa"/>
              <w:bottom w:w="110" w:type="dxa"/>
              <w:end w:w="120" w:type="dxa"/>
            </w:tcMar>
            <w:vAlign w:val="center"/>
            <w:shd w:fill="EAF2F8"/>
          </w:tcPr>
          <w:p>
            <w:pPr>
              <w:jc w:val="left"/>
            </w:pPr>
            <w:r>
              <w:rPr>
                <w:sz w:val="18"/>
              </w:rPr>
              <w:t>Python 客户端、DeepSeek API</w:t>
            </w:r>
          </w:p>
        </w:tc>
        <w:tc>
          <w:tcPr>
            <w:tcW w:type="dxa" w:w="3402"/>
            <w:tcMar>
              <w:top w:w="110" w:type="dxa"/>
              <w:start w:w="120" w:type="dxa"/>
              <w:bottom w:w="110" w:type="dxa"/>
              <w:end w:w="120" w:type="dxa"/>
            </w:tcMar>
            <w:vAlign w:val="center"/>
            <w:shd w:fill="EAF2F8"/>
          </w:tcPr>
          <w:p>
            <w:pPr>
              <w:jc w:val="left"/>
            </w:pPr>
            <w:r>
              <w:rPr>
                <w:sz w:val="18"/>
              </w:rPr>
              <w:t>执行问题分类、检索组合、提示词组织和带引用回答。</w:t>
            </w:r>
          </w:p>
        </w:tc>
      </w:tr>
      <w:tr>
        <w:tc>
          <w:tcPr>
            <w:tcW w:type="dxa" w:w="1360"/>
            <w:tcMar>
              <w:top w:w="110" w:type="dxa"/>
              <w:start w:w="120" w:type="dxa"/>
              <w:bottom w:w="110" w:type="dxa"/>
              <w:end w:w="120" w:type="dxa"/>
            </w:tcMar>
            <w:vAlign w:val="center"/>
          </w:tcPr>
          <w:p>
            <w:pPr>
              <w:jc w:val="center"/>
            </w:pPr>
            <w:r>
              <w:rPr>
                <w:sz w:val="18"/>
              </w:rPr>
              <w:t>运维验证层</w:t>
            </w:r>
          </w:p>
        </w:tc>
        <w:tc>
          <w:tcPr>
            <w:tcW w:type="dxa" w:w="2494"/>
            <w:tcMar>
              <w:top w:w="110" w:type="dxa"/>
              <w:start w:w="120" w:type="dxa"/>
              <w:bottom w:w="110" w:type="dxa"/>
              <w:end w:w="120" w:type="dxa"/>
            </w:tcMar>
            <w:vAlign w:val="center"/>
          </w:tcPr>
          <w:p>
            <w:pPr>
              <w:jc w:val="left"/>
            </w:pPr>
            <w:r>
              <w:rPr>
                <w:sz w:val="18"/>
              </w:rPr>
              <w:t>Docker Compose、GitHub Actions、检查脚本</w:t>
            </w:r>
          </w:p>
        </w:tc>
        <w:tc>
          <w:tcPr>
            <w:tcW w:type="dxa" w:w="3402"/>
            <w:tcMar>
              <w:top w:w="110" w:type="dxa"/>
              <w:start w:w="120" w:type="dxa"/>
              <w:bottom w:w="110" w:type="dxa"/>
              <w:end w:w="120" w:type="dxa"/>
            </w:tcMar>
            <w:vAlign w:val="center"/>
          </w:tcPr>
          <w:p>
            <w:pPr>
              <w:jc w:val="left"/>
            </w:pPr>
            <w:r>
              <w:rPr>
                <w:sz w:val="18"/>
              </w:rPr>
              <w:t>实现可复现部署、连通性测试和持续集成。</w:t>
            </w:r>
          </w:p>
        </w:tc>
      </w:tr>
    </w:tbl>
    <w:p/>
    <w:p>
      <w:pPr>
        <w:pStyle w:val="Heading1"/>
      </w:pPr>
      <w:r>
        <w:t>7 已完成部署与验收情况</w:t>
      </w:r>
    </w:p>
    <w:p>
      <w:pPr>
        <w:pStyle w:val="BodyText"/>
        <w:ind w:firstLine="420"/>
      </w:pPr>
      <w:r>
        <w:t>本地开发环境已完成 Docker Compose 配置、环境变量模板、服务健康检查和连通性脚本。数据库密码与 API Key 仅存放在本机 .env，报告和仓库不提交密钥。Neo4j、Milvus、etcd、MinIO 均通过 Docker 命名卷持久化。</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1360"/>
            <w:shd w:fill="1F4E78"/>
            <w:tcMar>
              <w:top w:w="110" w:type="dxa"/>
              <w:start w:w="120" w:type="dxa"/>
              <w:bottom w:w="110" w:type="dxa"/>
              <w:end w:w="120" w:type="dxa"/>
            </w:tcMar>
            <w:vAlign w:val="center"/>
          </w:tcPr>
          <w:p>
            <w:pPr>
              <w:jc w:val="center"/>
            </w:pPr>
            <w:r>
              <w:rPr>
                <w:b/>
                <w:color w:val="FFFFFF"/>
                <w:sz w:val="18"/>
              </w:rPr>
              <w:t>验收项</w:t>
            </w:r>
          </w:p>
        </w:tc>
        <w:tc>
          <w:tcPr>
            <w:tcW w:type="dxa" w:w="4706"/>
            <w:shd w:fill="1F4E78"/>
            <w:tcMar>
              <w:top w:w="110" w:type="dxa"/>
              <w:start w:w="120" w:type="dxa"/>
              <w:bottom w:w="110" w:type="dxa"/>
              <w:end w:w="120" w:type="dxa"/>
            </w:tcMar>
            <w:vAlign w:val="center"/>
          </w:tcPr>
          <w:p>
            <w:pPr>
              <w:jc w:val="center"/>
            </w:pPr>
            <w:r>
              <w:rPr>
                <w:b/>
                <w:color w:val="FFFFFF"/>
                <w:sz w:val="18"/>
              </w:rPr>
              <w:t>验收方式</w:t>
            </w:r>
          </w:p>
        </w:tc>
        <w:tc>
          <w:tcPr>
            <w:tcW w:type="dxa" w:w="1190"/>
            <w:shd w:fill="1F4E78"/>
            <w:tcMar>
              <w:top w:w="110" w:type="dxa"/>
              <w:start w:w="120" w:type="dxa"/>
              <w:bottom w:w="110" w:type="dxa"/>
              <w:end w:w="120" w:type="dxa"/>
            </w:tcMar>
            <w:vAlign w:val="center"/>
          </w:tcPr>
          <w:p>
            <w:pPr>
              <w:jc w:val="center"/>
            </w:pPr>
            <w:r>
              <w:rPr>
                <w:b/>
                <w:color w:val="FFFFFF"/>
                <w:sz w:val="18"/>
              </w:rPr>
              <w:t>结果</w:t>
            </w:r>
          </w:p>
        </w:tc>
      </w:tr>
      <w:tr>
        <w:tc>
          <w:tcPr>
            <w:tcW w:type="dxa" w:w="1360"/>
            <w:tcMar>
              <w:top w:w="110" w:type="dxa"/>
              <w:start w:w="120" w:type="dxa"/>
              <w:bottom w:w="110" w:type="dxa"/>
              <w:end w:w="120" w:type="dxa"/>
            </w:tcMar>
            <w:vAlign w:val="center"/>
          </w:tcPr>
          <w:p>
            <w:pPr>
              <w:jc w:val="center"/>
            </w:pPr>
            <w:r>
              <w:rPr>
                <w:sz w:val="18"/>
              </w:rPr>
              <w:t>Neo4j</w:t>
            </w:r>
          </w:p>
        </w:tc>
        <w:tc>
          <w:tcPr>
            <w:tcW w:type="dxa" w:w="4706"/>
            <w:tcMar>
              <w:top w:w="110" w:type="dxa"/>
              <w:start w:w="120" w:type="dxa"/>
              <w:bottom w:w="110" w:type="dxa"/>
              <w:end w:w="120" w:type="dxa"/>
            </w:tcMar>
            <w:vAlign w:val="center"/>
          </w:tcPr>
          <w:p>
            <w:pPr>
              <w:jc w:val="left"/>
            </w:pPr>
            <w:r>
              <w:rPr>
                <w:sz w:val="18"/>
              </w:rPr>
              <w:t>认证后创建测试节点和关系、读取结果，并回滚事务。</w:t>
            </w:r>
          </w:p>
        </w:tc>
        <w:tc>
          <w:tcPr>
            <w:tcW w:type="dxa" w:w="1190"/>
            <w:tcMar>
              <w:top w:w="110" w:type="dxa"/>
              <w:start w:w="120" w:type="dxa"/>
              <w:bottom w:w="110" w:type="dxa"/>
              <w:end w:w="120" w:type="dxa"/>
            </w:tcMar>
            <w:vAlign w:val="center"/>
          </w:tcPr>
          <w:p>
            <w:pPr>
              <w:jc w:val="left"/>
            </w:pPr>
            <w:r>
              <w:rPr>
                <w:sz w:val="18"/>
              </w:rPr>
              <w:t>通过</w:t>
            </w:r>
          </w:p>
        </w:tc>
      </w:tr>
      <w:tr>
        <w:tc>
          <w:tcPr>
            <w:tcW w:type="dxa" w:w="1360"/>
            <w:tcMar>
              <w:top w:w="110" w:type="dxa"/>
              <w:start w:w="120" w:type="dxa"/>
              <w:bottom w:w="110" w:type="dxa"/>
              <w:end w:w="120" w:type="dxa"/>
            </w:tcMar>
            <w:vAlign w:val="center"/>
            <w:shd w:fill="EAF2F8"/>
          </w:tcPr>
          <w:p>
            <w:pPr>
              <w:jc w:val="center"/>
            </w:pPr>
            <w:r>
              <w:rPr>
                <w:sz w:val="18"/>
              </w:rPr>
              <w:t>Milvus</w:t>
            </w:r>
          </w:p>
        </w:tc>
        <w:tc>
          <w:tcPr>
            <w:tcW w:type="dxa" w:w="4706"/>
            <w:tcMar>
              <w:top w:w="110" w:type="dxa"/>
              <w:start w:w="120" w:type="dxa"/>
              <w:bottom w:w="110" w:type="dxa"/>
              <w:end w:w="120" w:type="dxa"/>
            </w:tcMar>
            <w:vAlign w:val="center"/>
            <w:shd w:fill="EAF2F8"/>
          </w:tcPr>
          <w:p>
            <w:pPr>
              <w:jc w:val="left"/>
            </w:pPr>
            <w:r>
              <w:rPr>
                <w:sz w:val="18"/>
              </w:rPr>
              <w:t>创建临时 collection、写入向量、执行 Top-1 相似度检索并删除 collection。</w:t>
            </w:r>
          </w:p>
        </w:tc>
        <w:tc>
          <w:tcPr>
            <w:tcW w:type="dxa" w:w="1190"/>
            <w:tcMar>
              <w:top w:w="110" w:type="dxa"/>
              <w:start w:w="120" w:type="dxa"/>
              <w:bottom w:w="110" w:type="dxa"/>
              <w:end w:w="120" w:type="dxa"/>
            </w:tcMar>
            <w:vAlign w:val="center"/>
            <w:shd w:fill="EAF2F8"/>
          </w:tcPr>
          <w:p>
            <w:pPr>
              <w:jc w:val="left"/>
            </w:pPr>
            <w:r>
              <w:rPr>
                <w:sz w:val="18"/>
              </w:rPr>
              <w:t>通过</w:t>
            </w:r>
          </w:p>
        </w:tc>
      </w:tr>
      <w:tr>
        <w:tc>
          <w:tcPr>
            <w:tcW w:type="dxa" w:w="1360"/>
            <w:tcMar>
              <w:top w:w="110" w:type="dxa"/>
              <w:start w:w="120" w:type="dxa"/>
              <w:bottom w:w="110" w:type="dxa"/>
              <w:end w:w="120" w:type="dxa"/>
            </w:tcMar>
            <w:vAlign w:val="center"/>
          </w:tcPr>
          <w:p>
            <w:pPr>
              <w:jc w:val="center"/>
            </w:pPr>
            <w:r>
              <w:rPr>
                <w:sz w:val="18"/>
              </w:rPr>
              <w:t>DeepSeek API</w:t>
            </w:r>
          </w:p>
        </w:tc>
        <w:tc>
          <w:tcPr>
            <w:tcW w:type="dxa" w:w="4706"/>
            <w:tcMar>
              <w:top w:w="110" w:type="dxa"/>
              <w:start w:w="120" w:type="dxa"/>
              <w:bottom w:w="110" w:type="dxa"/>
              <w:end w:w="120" w:type="dxa"/>
            </w:tcMar>
            <w:vAlign w:val="center"/>
          </w:tcPr>
          <w:p>
            <w:pPr>
              <w:jc w:val="left"/>
            </w:pPr>
            <w:r>
              <w:rPr>
                <w:sz w:val="18"/>
              </w:rPr>
              <w:t>发送固定短提示词，校验返回非空文本。</w:t>
            </w:r>
          </w:p>
        </w:tc>
        <w:tc>
          <w:tcPr>
            <w:tcW w:type="dxa" w:w="1190"/>
            <w:tcMar>
              <w:top w:w="110" w:type="dxa"/>
              <w:start w:w="120" w:type="dxa"/>
              <w:bottom w:w="110" w:type="dxa"/>
              <w:end w:w="120" w:type="dxa"/>
            </w:tcMar>
            <w:vAlign w:val="center"/>
          </w:tcPr>
          <w:p>
            <w:pPr>
              <w:jc w:val="left"/>
            </w:pPr>
            <w:r>
              <w:rPr>
                <w:sz w:val="18"/>
              </w:rPr>
              <w:t>通过</w:t>
            </w:r>
          </w:p>
        </w:tc>
      </w:tr>
    </w:tbl>
    <w:p/>
    <w:p>
      <w:pPr>
        <w:pStyle w:val="BodyText"/>
        <w:ind w:firstLine="420"/>
      </w:pPr>
      <w:r>
        <w:t>以上真实连通性验收记录生成于 2026 年 9 月 9 日 05:15:21 UTC，结果已脱敏并归档于项目文档。后续每次关键依赖、模型名或索引 Schema 调整后，应重新执行 powershell -File scripts/dev.ps1 check，并将脱敏结果作为阶段验收证据。</w:t>
      </w:r>
    </w:p>
    <w:p>
      <w:pPr>
        <w:pStyle w:val="Heading1"/>
      </w:pPr>
      <w:r>
        <w:t>8 风险与后续工作</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1474"/>
            <w:shd w:fill="1F4E78"/>
            <w:tcMar>
              <w:top w:w="110" w:type="dxa"/>
              <w:start w:w="120" w:type="dxa"/>
              <w:bottom w:w="110" w:type="dxa"/>
              <w:end w:w="120" w:type="dxa"/>
            </w:tcMar>
            <w:vAlign w:val="center"/>
          </w:tcPr>
          <w:p>
            <w:pPr>
              <w:jc w:val="center"/>
            </w:pPr>
            <w:r>
              <w:rPr>
                <w:b/>
                <w:color w:val="FFFFFF"/>
                <w:sz w:val="18"/>
              </w:rPr>
              <w:t>风险</w:t>
            </w:r>
          </w:p>
        </w:tc>
        <w:tc>
          <w:tcPr>
            <w:tcW w:type="dxa" w:w="2438"/>
            <w:shd w:fill="1F4E78"/>
            <w:tcMar>
              <w:top w:w="110" w:type="dxa"/>
              <w:start w:w="120" w:type="dxa"/>
              <w:bottom w:w="110" w:type="dxa"/>
              <w:end w:w="120" w:type="dxa"/>
            </w:tcMar>
            <w:vAlign w:val="center"/>
          </w:tcPr>
          <w:p>
            <w:pPr>
              <w:jc w:val="center"/>
            </w:pPr>
            <w:r>
              <w:rPr>
                <w:b/>
                <w:color w:val="FFFFFF"/>
                <w:sz w:val="18"/>
              </w:rPr>
              <w:t>影响</w:t>
            </w:r>
          </w:p>
        </w:tc>
        <w:tc>
          <w:tcPr>
            <w:tcW w:type="dxa" w:w="3345"/>
            <w:shd w:fill="1F4E78"/>
            <w:tcMar>
              <w:top w:w="110" w:type="dxa"/>
              <w:start w:w="120" w:type="dxa"/>
              <w:bottom w:w="110" w:type="dxa"/>
              <w:end w:w="120" w:type="dxa"/>
            </w:tcMar>
            <w:vAlign w:val="center"/>
          </w:tcPr>
          <w:p>
            <w:pPr>
              <w:jc w:val="center"/>
            </w:pPr>
            <w:r>
              <w:rPr>
                <w:b/>
                <w:color w:val="FFFFFF"/>
                <w:sz w:val="18"/>
              </w:rPr>
              <w:t>应对措施</w:t>
            </w:r>
          </w:p>
        </w:tc>
      </w:tr>
      <w:tr>
        <w:tc>
          <w:tcPr>
            <w:tcW w:type="dxa" w:w="1474"/>
            <w:tcMar>
              <w:top w:w="110" w:type="dxa"/>
              <w:start w:w="120" w:type="dxa"/>
              <w:bottom w:w="110" w:type="dxa"/>
              <w:end w:w="120" w:type="dxa"/>
            </w:tcMar>
            <w:vAlign w:val="center"/>
          </w:tcPr>
          <w:p>
            <w:pPr>
              <w:jc w:val="center"/>
            </w:pPr>
            <w:r>
              <w:rPr>
                <w:sz w:val="18"/>
              </w:rPr>
              <w:t>代码解析不完整</w:t>
            </w:r>
          </w:p>
        </w:tc>
        <w:tc>
          <w:tcPr>
            <w:tcW w:type="dxa" w:w="2438"/>
            <w:tcMar>
              <w:top w:w="110" w:type="dxa"/>
              <w:start w:w="120" w:type="dxa"/>
              <w:bottom w:w="110" w:type="dxa"/>
              <w:end w:w="120" w:type="dxa"/>
            </w:tcMar>
            <w:vAlign w:val="center"/>
          </w:tcPr>
          <w:p>
            <w:pPr>
              <w:jc w:val="left"/>
            </w:pPr>
            <w:r>
              <w:rPr>
                <w:sz w:val="18"/>
              </w:rPr>
              <w:t>调用关系或业务链路遗漏，影响回答可信度。</w:t>
            </w:r>
          </w:p>
        </w:tc>
        <w:tc>
          <w:tcPr>
            <w:tcW w:type="dxa" w:w="3345"/>
            <w:tcMar>
              <w:top w:w="110" w:type="dxa"/>
              <w:start w:w="120" w:type="dxa"/>
              <w:bottom w:w="110" w:type="dxa"/>
              <w:end w:w="120" w:type="dxa"/>
            </w:tcMar>
            <w:vAlign w:val="center"/>
          </w:tcPr>
          <w:p>
            <w:pPr>
              <w:jc w:val="left"/>
            </w:pPr>
            <w:r>
              <w:rPr>
                <w:sz w:val="18"/>
              </w:rPr>
              <w:t>保留源码定位；为解析器建立回归样例；区分确定事实和模型推断。</w:t>
            </w:r>
          </w:p>
        </w:tc>
      </w:tr>
      <w:tr>
        <w:tc>
          <w:tcPr>
            <w:tcW w:type="dxa" w:w="1474"/>
            <w:tcMar>
              <w:top w:w="110" w:type="dxa"/>
              <w:start w:w="120" w:type="dxa"/>
              <w:bottom w:w="110" w:type="dxa"/>
              <w:end w:w="120" w:type="dxa"/>
            </w:tcMar>
            <w:vAlign w:val="center"/>
            <w:shd w:fill="EAF2F8"/>
          </w:tcPr>
          <w:p>
            <w:pPr>
              <w:jc w:val="center"/>
            </w:pPr>
            <w:r>
              <w:rPr>
                <w:sz w:val="18"/>
              </w:rPr>
              <w:t>向量召回偏差</w:t>
            </w:r>
          </w:p>
        </w:tc>
        <w:tc>
          <w:tcPr>
            <w:tcW w:type="dxa" w:w="2438"/>
            <w:tcMar>
              <w:top w:w="110" w:type="dxa"/>
              <w:start w:w="120" w:type="dxa"/>
              <w:bottom w:w="110" w:type="dxa"/>
              <w:end w:w="120" w:type="dxa"/>
            </w:tcMar>
            <w:vAlign w:val="center"/>
            <w:shd w:fill="EAF2F8"/>
          </w:tcPr>
          <w:p>
            <w:pPr>
              <w:jc w:val="left"/>
            </w:pPr>
            <w:r>
              <w:rPr>
                <w:sz w:val="18"/>
              </w:rPr>
              <w:t>相关代码未进入 LLM 上下文。</w:t>
            </w:r>
          </w:p>
        </w:tc>
        <w:tc>
          <w:tcPr>
            <w:tcW w:type="dxa" w:w="3345"/>
            <w:tcMar>
              <w:top w:w="110" w:type="dxa"/>
              <w:start w:w="120" w:type="dxa"/>
              <w:bottom w:w="110" w:type="dxa"/>
              <w:end w:w="120" w:type="dxa"/>
            </w:tcMar>
            <w:vAlign w:val="center"/>
            <w:shd w:fill="EAF2F8"/>
          </w:tcPr>
          <w:p>
            <w:pPr>
              <w:jc w:val="left"/>
            </w:pPr>
            <w:r>
              <w:rPr>
                <w:sz w:val="18"/>
              </w:rPr>
              <w:t>结合关键词、元数据过滤、图扩展和人工标注问题集评测。</w:t>
            </w:r>
          </w:p>
        </w:tc>
      </w:tr>
      <w:tr>
        <w:tc>
          <w:tcPr>
            <w:tcW w:type="dxa" w:w="1474"/>
            <w:tcMar>
              <w:top w:w="110" w:type="dxa"/>
              <w:start w:w="120" w:type="dxa"/>
              <w:bottom w:w="110" w:type="dxa"/>
              <w:end w:w="120" w:type="dxa"/>
            </w:tcMar>
            <w:vAlign w:val="center"/>
          </w:tcPr>
          <w:p>
            <w:pPr>
              <w:jc w:val="center"/>
            </w:pPr>
            <w:r>
              <w:rPr>
                <w:sz w:val="18"/>
              </w:rPr>
              <w:t>LLM 幻觉或版本变化</w:t>
            </w:r>
          </w:p>
        </w:tc>
        <w:tc>
          <w:tcPr>
            <w:tcW w:type="dxa" w:w="2438"/>
            <w:tcMar>
              <w:top w:w="110" w:type="dxa"/>
              <w:start w:w="120" w:type="dxa"/>
              <w:bottom w:w="110" w:type="dxa"/>
              <w:end w:w="120" w:type="dxa"/>
            </w:tcMar>
            <w:vAlign w:val="center"/>
          </w:tcPr>
          <w:p>
            <w:pPr>
              <w:jc w:val="left"/>
            </w:pPr>
            <w:r>
              <w:rPr>
                <w:sz w:val="18"/>
              </w:rPr>
              <w:t>回答可能缺少证据，模型行为可能发生变化。</w:t>
            </w:r>
          </w:p>
        </w:tc>
        <w:tc>
          <w:tcPr>
            <w:tcW w:type="dxa" w:w="3345"/>
            <w:tcMar>
              <w:top w:w="110" w:type="dxa"/>
              <w:start w:w="120" w:type="dxa"/>
              <w:bottom w:w="110" w:type="dxa"/>
              <w:end w:w="120" w:type="dxa"/>
            </w:tcMar>
            <w:vAlign w:val="center"/>
          </w:tcPr>
          <w:p>
            <w:pPr>
              <w:jc w:val="left"/>
            </w:pPr>
            <w:r>
              <w:rPr>
                <w:sz w:val="18"/>
              </w:rPr>
              <w:t>强制返回引用；记录模型名和参数；定期复测并控制 Token 预算。</w:t>
            </w:r>
          </w:p>
        </w:tc>
      </w:tr>
      <w:tr>
        <w:tc>
          <w:tcPr>
            <w:tcW w:type="dxa" w:w="1474"/>
            <w:tcMar>
              <w:top w:w="110" w:type="dxa"/>
              <w:start w:w="120" w:type="dxa"/>
              <w:bottom w:w="110" w:type="dxa"/>
              <w:end w:w="120" w:type="dxa"/>
            </w:tcMar>
            <w:vAlign w:val="center"/>
            <w:shd w:fill="EAF2F8"/>
          </w:tcPr>
          <w:p>
            <w:pPr>
              <w:jc w:val="center"/>
            </w:pPr>
            <w:r>
              <w:rPr>
                <w:sz w:val="18"/>
              </w:rPr>
              <w:t>数据同步滞后</w:t>
            </w:r>
          </w:p>
        </w:tc>
        <w:tc>
          <w:tcPr>
            <w:tcW w:type="dxa" w:w="2438"/>
            <w:tcMar>
              <w:top w:w="110" w:type="dxa"/>
              <w:start w:w="120" w:type="dxa"/>
              <w:bottom w:w="110" w:type="dxa"/>
              <w:end w:w="120" w:type="dxa"/>
            </w:tcMar>
            <w:vAlign w:val="center"/>
            <w:shd w:fill="EAF2F8"/>
          </w:tcPr>
          <w:p>
            <w:pPr>
              <w:jc w:val="left"/>
            </w:pPr>
            <w:r>
              <w:rPr>
                <w:sz w:val="18"/>
              </w:rPr>
              <w:t>代码更新后图谱和向量索引过期。</w:t>
            </w:r>
          </w:p>
        </w:tc>
        <w:tc>
          <w:tcPr>
            <w:tcW w:type="dxa" w:w="3345"/>
            <w:tcMar>
              <w:top w:w="110" w:type="dxa"/>
              <w:start w:w="120" w:type="dxa"/>
              <w:bottom w:w="110" w:type="dxa"/>
              <w:end w:w="120" w:type="dxa"/>
            </w:tcMar>
            <w:vAlign w:val="center"/>
            <w:shd w:fill="EAF2F8"/>
          </w:tcPr>
          <w:p>
            <w:pPr>
              <w:jc w:val="left"/>
            </w:pPr>
            <w:r>
              <w:rPr>
                <w:sz w:val="18"/>
              </w:rPr>
              <w:t>设计增量更新机制，覆盖新增、修改、删除和重命名。</w:t>
            </w:r>
          </w:p>
        </w:tc>
      </w:tr>
      <w:tr>
        <w:tc>
          <w:tcPr>
            <w:tcW w:type="dxa" w:w="1474"/>
            <w:tcMar>
              <w:top w:w="110" w:type="dxa"/>
              <w:start w:w="120" w:type="dxa"/>
              <w:bottom w:w="110" w:type="dxa"/>
              <w:end w:w="120" w:type="dxa"/>
            </w:tcMar>
            <w:vAlign w:val="center"/>
          </w:tcPr>
          <w:p>
            <w:pPr>
              <w:jc w:val="center"/>
            </w:pPr>
            <w:r>
              <w:rPr>
                <w:sz w:val="18"/>
              </w:rPr>
              <w:t>本地环境差异</w:t>
            </w:r>
          </w:p>
        </w:tc>
        <w:tc>
          <w:tcPr>
            <w:tcW w:type="dxa" w:w="2438"/>
            <w:tcMar>
              <w:top w:w="110" w:type="dxa"/>
              <w:start w:w="120" w:type="dxa"/>
              <w:bottom w:w="110" w:type="dxa"/>
              <w:end w:w="120" w:type="dxa"/>
            </w:tcMar>
            <w:vAlign w:val="center"/>
          </w:tcPr>
          <w:p>
            <w:pPr>
              <w:jc w:val="left"/>
            </w:pPr>
            <w:r>
              <w:rPr>
                <w:sz w:val="18"/>
              </w:rPr>
              <w:t>成员难以复现部署或测试。</w:t>
            </w:r>
          </w:p>
        </w:tc>
        <w:tc>
          <w:tcPr>
            <w:tcW w:type="dxa" w:w="3345"/>
            <w:tcMar>
              <w:top w:w="110" w:type="dxa"/>
              <w:start w:w="120" w:type="dxa"/>
              <w:bottom w:w="110" w:type="dxa"/>
              <w:end w:w="120" w:type="dxa"/>
            </w:tcMar>
            <w:vAlign w:val="center"/>
          </w:tcPr>
          <w:p>
            <w:pPr>
              <w:jc w:val="left"/>
            </w:pPr>
            <w:r>
              <w:rPr>
                <w:sz w:val="18"/>
              </w:rPr>
              <w:t>固定镜像和 Python 依赖版本；统一使用 Docker Compose 与 dev.ps1 脚本。</w:t>
            </w:r>
          </w:p>
        </w:tc>
      </w:tr>
    </w:tbl>
    <w:p/>
    <w:p>
      <w:pPr>
        <w:pStyle w:val="BodyText"/>
        <w:ind w:firstLine="420"/>
      </w:pPr>
      <w:r>
        <w:t>下一阶段将完成代码知识图谱 Schema、解析样例和增量更新方案；随后实现混合检索、证据引用和问答界面；最终建立覆盖检索正确性、回答正确性、引用完整性、响应时间和人工满意度的评测集与评估报告。</w:t>
      </w:r>
    </w:p>
    <w:p>
      <w:pPr>
        <w:pStyle w:val="Heading1"/>
      </w:pPr>
      <w:r>
        <w:t>9 参考文献</w:t>
      </w:r>
    </w:p>
    <w:p>
      <w:pPr>
        <w:pStyle w:val="BodyText"/>
        <w:spacing w:after="80"/>
        <w:ind w:left="425" w:hanging="425"/>
      </w:pPr>
      <w:r>
        <w:rPr>
          <w:sz w:val="18"/>
        </w:rPr>
        <w:t>[1] Abdelaziz I, Dolby J, McCusker J, et al. A Toolkit for Generating Code Knowledge Graphs. 2020. https://arxiv.org/abs/2002.09440</w:t>
      </w:r>
    </w:p>
    <w:p>
      <w:pPr>
        <w:pStyle w:val="BodyText"/>
        <w:spacing w:after="80"/>
        <w:ind w:left="425" w:hanging="425"/>
      </w:pPr>
      <w:r>
        <w:rPr>
          <w:sz w:val="18"/>
        </w:rPr>
        <w:t>[2] Yamaguchi F, Golde N, Arp D, et al. Modeling and Discovering Vulnerabilities with Code Property Graphs. IEEE S&amp;P, 2014. https://fabianyamaguchi.com/files/2014-ieeesp.pdf</w:t>
      </w:r>
    </w:p>
    <w:p>
      <w:pPr>
        <w:pStyle w:val="BodyText"/>
        <w:spacing w:after="80"/>
        <w:ind w:left="425" w:hanging="425"/>
      </w:pPr>
      <w:r>
        <w:rPr>
          <w:sz w:val="18"/>
        </w:rPr>
        <w:t>[3] Feng Z, Guo D, Tang D, et al. CodeBERT: A Pre-Trained Model for Programming and Natural Languages. Findings of EMNLP, 2020. https://aclanthology.org/2020.findings-emnlp.139/</w:t>
      </w:r>
    </w:p>
    <w:p>
      <w:pPr>
        <w:pStyle w:val="BodyText"/>
        <w:spacing w:after="80"/>
        <w:ind w:left="425" w:hanging="425"/>
      </w:pPr>
      <w:r>
        <w:rPr>
          <w:sz w:val="18"/>
        </w:rPr>
        <w:t>[4] Guo D, Ren S, Lu S, et al. GraphCodeBERT: Pre-Training Code Representations with Data Flow. ICLR, 2021. https://arxiv.org/abs/2009.08366</w:t>
      </w:r>
    </w:p>
    <w:p>
      <w:pPr>
        <w:pStyle w:val="BodyText"/>
        <w:spacing w:after="80"/>
        <w:ind w:left="425" w:hanging="425"/>
      </w:pPr>
      <w:r>
        <w:rPr>
          <w:sz w:val="18"/>
        </w:rPr>
        <w:t>[5] Husain H, Wu H H, Gazit T, et al. CodeSearchNet Challenge: Evaluating the State of Semantic Code Search. 2019. https://arxiv.org/abs/1909.09436</w:t>
      </w:r>
    </w:p>
    <w:p>
      <w:pPr>
        <w:pStyle w:val="BodyText"/>
        <w:spacing w:after="80"/>
        <w:ind w:left="425" w:hanging="425"/>
      </w:pPr>
      <w:r>
        <w:rPr>
          <w:sz w:val="18"/>
        </w:rPr>
        <w:t>[6] Zhang F, Chen B, Zhang Y, et al. RepoCoder: Repository-Level Code Completion Through Iterative Retrieval and Generation. 2023. https://arxiv.org/abs/2303.12570</w:t>
      </w:r>
    </w:p>
    <w:p>
      <w:pPr>
        <w:pStyle w:val="BodyText"/>
        <w:spacing w:after="80"/>
        <w:ind w:left="425" w:hanging="425"/>
      </w:pPr>
      <w:r>
        <w:rPr>
          <w:sz w:val="18"/>
        </w:rPr>
        <w:t>[7] Lewis P, Perez E, Piktus A, et al. Retrieval-Augmented Generation for Knowledge-Intensive NLP Tasks. NeurIPS, 2020. https://arxiv.org/abs/2005.11401</w:t>
      </w:r>
    </w:p>
    <w:p>
      <w:pPr>
        <w:pStyle w:val="BodyText"/>
        <w:spacing w:after="80"/>
        <w:ind w:left="425" w:hanging="425"/>
      </w:pPr>
      <w:r>
        <w:rPr>
          <w:sz w:val="18"/>
        </w:rPr>
        <w:t>[8] Edge D, Trinh H, Cheng N, et al. From Local to Global: A Graph RAG Approach to Query-Focused Summarization. 2024. https://microsoft.github.io/graphrag/</w:t>
      </w:r>
    </w:p>
    <w:p>
      <w:pPr>
        <w:pStyle w:val="BodyText"/>
        <w:spacing w:after="80"/>
        <w:ind w:left="425" w:hanging="425"/>
      </w:pPr>
      <w:r>
        <w:rPr>
          <w:sz w:val="18"/>
        </w:rPr>
        <w:t>[9] Li Z, et al. Graph Retrieval-Augmented Generation: A Survey. 2024. https://arxiv.org/abs/2408.08921</w:t>
      </w:r>
    </w:p>
    <w:p>
      <w:pPr>
        <w:pStyle w:val="BodyText"/>
        <w:spacing w:after="80"/>
        <w:ind w:left="425" w:hanging="425"/>
      </w:pPr>
      <w:r>
        <w:rPr>
          <w:sz w:val="18"/>
        </w:rPr>
        <w:t>[10] Wang J, et al. Milvus: A Purpose-Built Vector Data Management System. SIGMOD, 2021. https://www.cs.purdue.edu/homes/csjgwang/pubs/SIGMOD21_Milvus.pdf</w:t>
      </w:r>
    </w:p>
    <w:p>
      <w:pPr>
        <w:pStyle w:val="BodyText"/>
        <w:spacing w:after="80"/>
        <w:ind w:left="425" w:hanging="425"/>
      </w:pPr>
      <w:r>
        <w:rPr>
          <w:sz w:val="18"/>
        </w:rPr>
        <w:t>[11] Es S, James J, Espinosa-Anke L, et al. RAGAS: Automated Evaluation of Retrieval Augmented Generation. EACL, 2024. https://arxiv.org/abs/2309.15217</w:t>
      </w:r>
    </w:p>
    <w:p>
      <w:pPr>
        <w:pStyle w:val="BodyText"/>
        <w:spacing w:after="80"/>
        <w:ind w:left="425" w:hanging="425"/>
      </w:pPr>
      <w:r>
        <w:rPr>
          <w:sz w:val="18"/>
        </w:rPr>
        <w:t>[12] Saad-Falcon J, Khattab O, Potts C, et al. ARES: An Automated Evaluation Framework for Retrieval-Augmented Generation Systems. NAACL, 2024. https://aclanthology.org/2024.naacl-long.20/</w:t>
      </w:r>
    </w:p>
    <w:p>
      <w:pPr>
        <w:pStyle w:val="BodyText"/>
        <w:spacing w:after="80"/>
        <w:ind w:left="425" w:hanging="425"/>
      </w:pPr>
      <w:r>
        <w:rPr>
          <w:sz w:val="18"/>
        </w:rPr>
        <w:t>[13] Neo4j. What Is a Graph Database. https://neo4j.com/docs/getting-started/graph-database/</w:t>
      </w:r>
    </w:p>
    <w:p>
      <w:pPr>
        <w:pStyle w:val="BodyText"/>
        <w:spacing w:after="80"/>
        <w:ind w:left="425" w:hanging="425"/>
      </w:pPr>
      <w:r>
        <w:rPr>
          <w:sz w:val="18"/>
        </w:rPr>
        <w:t>[14] Milvus. Architecture Overview. https://milvus.io/docs/architecture_overview.md</w:t>
      </w:r>
    </w:p>
    <w:p>
      <w:pPr>
        <w:pStyle w:val="BodyText"/>
        <w:spacing w:after="80"/>
        <w:ind w:left="425" w:hanging="425"/>
      </w:pPr>
      <w:r>
        <w:rPr>
          <w:sz w:val="18"/>
        </w:rPr>
        <w:t>[15] DeepSeek. API Documentation and Models. https://api-docs.deepseek.com/zh-cn/</w:t>
      </w:r>
    </w:p>
    <w:sectPr w:rsidR="00FC693F" w:rsidRPr="0006063C" w:rsidSect="00034616">
      <w:footerReference w:type="default" r:id="rId9"/>
      <w:pgSz w:w="12240" w:h="15840"/>
      <w:pgMar w:top="1304"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技术选型调研报告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