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945F5">
      <w:pPr>
        <w:spacing w:after="156" w:afterLines="50"/>
        <w:jc w:val="center"/>
        <w:rPr>
          <w:rFonts w:hint="eastAsia" w:ascii="宋体" w:hAnsi="宋体"/>
          <w:b/>
          <w:sz w:val="36"/>
          <w:szCs w:val="36"/>
        </w:rPr>
      </w:pPr>
      <w:r>
        <w:rPr>
          <w:rFonts w:hint="eastAsia" w:ascii="宋体" w:hAnsi="宋体"/>
          <w:b/>
          <w:sz w:val="36"/>
          <w:szCs w:val="36"/>
        </w:rPr>
        <w:t>岭南师范学院本科生毕业论文（设计）开题报告</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80"/>
        <w:gridCol w:w="1440"/>
        <w:gridCol w:w="1080"/>
        <w:gridCol w:w="2107"/>
        <w:gridCol w:w="1125"/>
        <w:gridCol w:w="1448"/>
      </w:tblGrid>
      <w:tr w14:paraId="7006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47" w:hRule="atLeast"/>
        </w:trPr>
        <w:tc>
          <w:tcPr>
            <w:tcW w:w="1080" w:type="dxa"/>
            <w:noWrap w:val="0"/>
            <w:vAlign w:val="center"/>
          </w:tcPr>
          <w:p w14:paraId="51B162FC">
            <w:pPr>
              <w:jc w:val="center"/>
              <w:rPr>
                <w:rFonts w:hint="eastAsia" w:ascii="仿宋_GB2312" w:hAnsi="华文中宋" w:eastAsia="仿宋_GB2312"/>
              </w:rPr>
            </w:pPr>
            <w:r>
              <w:rPr>
                <w:rFonts w:hint="eastAsia" w:ascii="仿宋_GB2312" w:hAnsi="华文中宋" w:eastAsia="仿宋_GB2312"/>
              </w:rPr>
              <w:t>论文题目</w:t>
            </w:r>
          </w:p>
        </w:tc>
        <w:tc>
          <w:tcPr>
            <w:tcW w:w="7200" w:type="dxa"/>
            <w:gridSpan w:val="5"/>
            <w:noWrap w:val="0"/>
            <w:vAlign w:val="center"/>
          </w:tcPr>
          <w:p w14:paraId="7E1FB21A">
            <w:pPr>
              <w:widowControl/>
              <w:jc w:val="center"/>
              <w:rPr>
                <w:rFonts w:hint="eastAsia" w:ascii="仿宋_GB2312" w:hAnsi="华文中宋" w:eastAsia="仿宋_GB2312"/>
              </w:rPr>
            </w:pPr>
            <w:r>
              <w:rPr>
                <w:rFonts w:hint="eastAsia" w:ascii="仿宋_GB2312" w:hAnsi="Times New Roman" w:eastAsia="仿宋_GB2312"/>
              </w:rPr>
              <w:t xml:space="preserve">基于YOLOv8的智能食材识别与膳食分析系统的设计与实现</w:t>
            </w:r>
          </w:p>
        </w:tc>
      </w:tr>
      <w:tr w14:paraId="527E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7" w:hRule="atLeast"/>
        </w:trPr>
        <w:tc>
          <w:tcPr>
            <w:tcW w:w="1080" w:type="dxa"/>
            <w:noWrap w:val="0"/>
            <w:vAlign w:val="center"/>
          </w:tcPr>
          <w:p w14:paraId="7EB53987">
            <w:pPr>
              <w:jc w:val="center"/>
              <w:rPr>
                <w:rFonts w:hint="eastAsia" w:ascii="仿宋_GB2312" w:hAnsi="华文中宋" w:eastAsia="仿宋_GB2312"/>
              </w:rPr>
            </w:pPr>
            <w:r>
              <w:rPr>
                <w:rFonts w:hint="eastAsia" w:ascii="仿宋_GB2312" w:hAnsi="华文中宋" w:eastAsia="仿宋_GB2312"/>
              </w:rPr>
              <w:t>学生姓名</w:t>
            </w:r>
          </w:p>
        </w:tc>
        <w:tc>
          <w:tcPr>
            <w:tcW w:w="1440" w:type="dxa"/>
            <w:noWrap w:val="0"/>
            <w:vAlign w:val="center"/>
          </w:tcPr>
          <w:p w14:paraId="3DE99531">
            <w:pPr>
              <w:jc w:val="center"/>
              <w:rPr>
                <w:rFonts w:hint="eastAsia" w:ascii="仿宋_GB2312" w:hAnsi="华文中宋" w:eastAsia="仿宋_GB2312"/>
              </w:rPr>
            </w:pPr>
          </w:p>
        </w:tc>
        <w:tc>
          <w:tcPr>
            <w:tcW w:w="1080" w:type="dxa"/>
            <w:noWrap w:val="0"/>
            <w:vAlign w:val="center"/>
          </w:tcPr>
          <w:p w14:paraId="127A2107">
            <w:pPr>
              <w:ind w:firstLine="105" w:firstLineChars="50"/>
              <w:rPr>
                <w:rFonts w:hint="eastAsia" w:ascii="仿宋_GB2312" w:hAnsi="华文中宋" w:eastAsia="仿宋_GB2312"/>
              </w:rPr>
            </w:pPr>
            <w:r>
              <w:rPr>
                <w:rFonts w:hint="eastAsia" w:ascii="仿宋_GB2312" w:hAnsi="华文中宋" w:eastAsia="仿宋_GB2312"/>
              </w:rPr>
              <w:t>二级学院</w:t>
            </w:r>
          </w:p>
        </w:tc>
        <w:tc>
          <w:tcPr>
            <w:tcW w:w="2107" w:type="dxa"/>
            <w:noWrap w:val="0"/>
            <w:vAlign w:val="center"/>
          </w:tcPr>
          <w:p w14:paraId="558D7026">
            <w:pPr>
              <w:jc w:val="center"/>
              <w:rPr>
                <w:rFonts w:hint="eastAsia" w:ascii="仿宋_GB2312" w:hAnsi="华文中宋" w:eastAsia="仿宋_GB2312"/>
              </w:rPr>
            </w:pPr>
            <w:r>
              <w:rPr>
                <w:rFonts w:hint="eastAsia" w:ascii="仿宋_GB2312" w:hAnsi="华文中宋" w:eastAsia="仿宋_GB2312"/>
              </w:rPr>
              <w:t>计算机与智能教育学院</w:t>
            </w:r>
          </w:p>
        </w:tc>
        <w:tc>
          <w:tcPr>
            <w:tcW w:w="1125" w:type="dxa"/>
            <w:noWrap w:val="0"/>
            <w:vAlign w:val="center"/>
          </w:tcPr>
          <w:p w14:paraId="6B589D26">
            <w:pPr>
              <w:ind w:firstLine="105" w:firstLineChars="50"/>
              <w:rPr>
                <w:rFonts w:hint="eastAsia" w:ascii="仿宋_GB2312" w:hAnsi="华文中宋" w:eastAsia="仿宋_GB2312"/>
              </w:rPr>
            </w:pPr>
            <w:r>
              <w:rPr>
                <w:rFonts w:hint="eastAsia" w:ascii="仿宋_GB2312" w:hAnsi="华文中宋" w:eastAsia="仿宋_GB2312"/>
              </w:rPr>
              <w:t>开题日期</w:t>
            </w:r>
          </w:p>
        </w:tc>
        <w:tc>
          <w:tcPr>
            <w:tcW w:w="1448" w:type="dxa"/>
            <w:noWrap w:val="0"/>
            <w:vAlign w:val="center"/>
          </w:tcPr>
          <w:p w14:paraId="2AF38234">
            <w:pPr>
              <w:jc w:val="center"/>
              <w:rPr>
                <w:rFonts w:hint="eastAsia" w:ascii="仿宋_GB2312" w:hAnsi="华文中宋" w:eastAsia="仿宋_GB2312"/>
              </w:rPr>
            </w:pPr>
          </w:p>
        </w:tc>
      </w:tr>
      <w:tr w14:paraId="7DB8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1" w:hRule="atLeast"/>
        </w:trPr>
        <w:tc>
          <w:tcPr>
            <w:tcW w:w="1080" w:type="dxa"/>
            <w:noWrap w:val="0"/>
            <w:vAlign w:val="center"/>
          </w:tcPr>
          <w:p w14:paraId="1B63004B">
            <w:pPr>
              <w:jc w:val="center"/>
              <w:rPr>
                <w:rFonts w:hint="eastAsia" w:ascii="仿宋_GB2312" w:hAnsi="华文中宋" w:eastAsia="仿宋_GB2312"/>
              </w:rPr>
            </w:pPr>
            <w:r>
              <w:rPr>
                <w:rFonts w:hint="eastAsia" w:ascii="仿宋_GB2312" w:hAnsi="华文中宋" w:eastAsia="仿宋_GB2312"/>
              </w:rPr>
              <w:t>学    号</w:t>
            </w:r>
          </w:p>
        </w:tc>
        <w:tc>
          <w:tcPr>
            <w:tcW w:w="1440" w:type="dxa"/>
            <w:noWrap w:val="0"/>
            <w:vAlign w:val="center"/>
          </w:tcPr>
          <w:p w14:paraId="7A39F611">
            <w:pPr>
              <w:jc w:val="center"/>
              <w:rPr>
                <w:rFonts w:hint="eastAsia" w:ascii="仿宋_GB2312" w:hAnsi="华文中宋" w:eastAsia="仿宋_GB2312"/>
              </w:rPr>
            </w:pPr>
          </w:p>
        </w:tc>
        <w:tc>
          <w:tcPr>
            <w:tcW w:w="1080" w:type="dxa"/>
            <w:noWrap w:val="0"/>
            <w:vAlign w:val="center"/>
          </w:tcPr>
          <w:p w14:paraId="64042E7F">
            <w:pPr>
              <w:ind w:firstLine="105" w:firstLineChars="50"/>
              <w:rPr>
                <w:rFonts w:hint="eastAsia" w:ascii="仿宋_GB2312" w:hAnsi="华文中宋" w:eastAsia="仿宋_GB2312"/>
              </w:rPr>
            </w:pPr>
            <w:r>
              <w:rPr>
                <w:rFonts w:hint="eastAsia" w:ascii="仿宋_GB2312" w:hAnsi="华文中宋" w:eastAsia="仿宋_GB2312"/>
              </w:rPr>
              <w:t>专    业</w:t>
            </w:r>
          </w:p>
        </w:tc>
        <w:tc>
          <w:tcPr>
            <w:tcW w:w="2107" w:type="dxa"/>
            <w:noWrap w:val="0"/>
            <w:vAlign w:val="center"/>
          </w:tcPr>
          <w:p w14:paraId="788C8ED2">
            <w:pPr>
              <w:jc w:val="center"/>
              <w:rPr>
                <w:rFonts w:hint="eastAsia" w:ascii="仿宋_GB2312" w:hAnsi="华文中宋" w:eastAsia="仿宋_GB2312"/>
              </w:rPr>
            </w:pPr>
          </w:p>
        </w:tc>
        <w:tc>
          <w:tcPr>
            <w:tcW w:w="1125" w:type="dxa"/>
            <w:noWrap w:val="0"/>
            <w:vAlign w:val="center"/>
          </w:tcPr>
          <w:p w14:paraId="642514D5">
            <w:pPr>
              <w:widowControl/>
              <w:ind w:firstLine="105" w:firstLineChars="50"/>
              <w:jc w:val="left"/>
              <w:rPr>
                <w:rFonts w:hint="eastAsia" w:ascii="仿宋_GB2312" w:hAnsi="华文中宋" w:eastAsia="仿宋_GB2312"/>
              </w:rPr>
            </w:pPr>
            <w:r>
              <w:rPr>
                <w:rFonts w:hint="eastAsia" w:ascii="仿宋_GB2312" w:hAnsi="华文中宋" w:eastAsia="仿宋_GB2312"/>
              </w:rPr>
              <w:t>指导教师</w:t>
            </w:r>
          </w:p>
        </w:tc>
        <w:tc>
          <w:tcPr>
            <w:tcW w:w="1448" w:type="dxa"/>
            <w:noWrap w:val="0"/>
            <w:vAlign w:val="center"/>
          </w:tcPr>
          <w:p w14:paraId="532D7660">
            <w:pPr>
              <w:jc w:val="center"/>
              <w:rPr>
                <w:rFonts w:hint="eastAsia" w:ascii="仿宋_GB2312" w:hAnsi="华文中宋" w:eastAsia="仿宋_GB2312"/>
              </w:rPr>
            </w:pPr>
          </w:p>
        </w:tc>
      </w:tr>
      <w:tr w14:paraId="14C8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1386" w:hRule="atLeast"/>
        </w:trPr>
        <w:tc>
          <w:tcPr>
            <w:tcW w:w="8280" w:type="dxa"/>
            <w:gridSpan w:val="6"/>
            <w:noWrap w:val="0"/>
            <w:vAlign w:val="top"/>
          </w:tcPr>
          <w:p w14:paraId="574D1EE9">
            <w:pPr>
              <w:spacing w:line="360" w:lineRule="exact"/>
              <w:rPr>
                <w:rFonts w:hint="eastAsia" w:ascii="仿宋_GB2312" w:hAnsi="华文中宋" w:eastAsia="仿宋_GB2312"/>
              </w:rPr>
            </w:pPr>
            <w:r>
              <w:rPr>
                <w:rFonts w:hint="eastAsia" w:ascii="仿宋_GB2312" w:hAnsi="华文中宋" w:eastAsia="仿宋_GB2312"/>
              </w:rPr>
              <w:t>1.本课题研究意义及国内外发展状况：</w:t>
            </w:r>
          </w:p>
          <w:p>
            <w:pPr>
              <w:spacing w:line="360" w:lineRule="auto"/>
              <w:ind/>
              <w:rPr>
                <w:rFonts w:hint="eastAsia" w:ascii="仿宋_GB2312" w:hAnsi="Times New Roman" w:eastAsia="仿宋_GB2312"/>
              </w:rPr>
            </w:pPr>
            <w:r>
              <w:rPr>
                <w:rFonts w:hint="eastAsia" w:ascii="仿宋_GB2312" w:hAnsi="Times New Roman" w:eastAsia="仿宋_GB2312"/>
                <w:b/>
              </w:rPr>
              <w:t xml:space="preserve">（1）研究背景</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随着居民生活水平的提高，膳食结构不合理导致的超重肥胖、高血压、糖尿病等慢性病问题日益突出。《中国居民膳食指南（2022）》[1]提出了食物多样、合理搭配、吃动平衡等膳食准则，并给出了能量与宏量营养素的推荐范围。但对普通家庭而言，按指南管理日常饮食的门槛较高：既要清楚家中有哪些食材、各有多少，又要查阅《中国食物成分表》[2]手工计算热量和营养素，过程繁琐，难以长期坚持。现有饮食记录类应用大多依赖用户手动搜索、逐项录入，记录成本高，用户容易放弃。</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近年来，以卷积神经网络为代表的深度学习技术在图像识别与目标检测领域取得了显著进展。YOLO（You Only Look Once）系列算法把目标检测建模为单阶段回归问题[3]，兼顾精度与速度，并经过多代持续演进[4]。Ultralytics 公司于2023年发布的 YOLOv8[5] 采用无锚框（Anchor-free）检测头与解耦头结构，在检测精度、推理速度和工程易用性之间取得了较好的平衡，在普通 CPU 上也能实现准实时推理，为把视觉识别引入日常膳食管理提供了技术条件。</w:t>
            </w:r>
          </w:p>
          <w:p>
            <w:pPr>
              <w:spacing w:line="360" w:lineRule="auto"/>
              <w:ind/>
              <w:rPr>
                <w:rFonts w:hint="eastAsia" w:ascii="仿宋_GB2312" w:hAnsi="Times New Roman" w:eastAsia="仿宋_GB2312"/>
              </w:rPr>
            </w:pPr>
            <w:r>
              <w:rPr>
                <w:rFonts w:hint="eastAsia" w:ascii="仿宋_GB2312" w:hAnsi="Times New Roman" w:eastAsia="仿宋_GB2312"/>
                <w:b/>
              </w:rPr>
              <w:t xml:space="preserve">（2）研究目的与意义</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本课题拟设计并实现一个“拍照识别食材—估算份量—营养计算—膳食分析”闭环的系统：用户拍摄冰箱、菜篮或案板上的生鲜食材，系统用自行训练的 YOLOv8 模型检测食材的种类和数量，结合各类食材的参考单重估算份量，查询营养库计算热量与三大营养素，再对照膳食指南给出供能比评价和周报、月报，并推荐可用现有食材烹饪的菜谱。</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理论意义：</w:t>
            </w:r>
            <w:r>
              <w:rPr>
                <w:rFonts w:hint="eastAsia" w:ascii="仿宋_GB2312" w:hAnsi="Times New Roman" w:eastAsia="仿宋_GB2312"/>
              </w:rPr>
              <w:t xml:space="preserve">针对国内家庭场景构建生鲜食材检测数据集，系统比较模型规模、数据增强策略和检测架构对识别效果的影响，并量化“公开数据集训练、真实场景测试”带来的域偏移以及小样本微调的增益，可为同类应用的数据构建和模型选型提供参考。</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实践意义：</w:t>
            </w:r>
            <w:r>
              <w:rPr>
                <w:rFonts w:hint="eastAsia" w:ascii="仿宋_GB2312" w:hAnsi="Times New Roman" w:eastAsia="仿宋_GB2312"/>
              </w:rPr>
              <w:t xml:space="preserve">用视觉识别代替手工录入，降低膳食记录的门槛；系统不依赖外部大模型接口即可完整运行，部署成本低，可用于家庭健康管理、慢病人群饮食控制和学校营养教育等场景，具有较好的应用前景。</w:t>
            </w:r>
          </w:p>
          <w:p>
            <w:pPr>
              <w:spacing w:line="360" w:lineRule="auto"/>
              <w:ind/>
              <w:rPr>
                <w:rFonts w:hint="eastAsia" w:ascii="仿宋_GB2312" w:hAnsi="Times New Roman" w:eastAsia="仿宋_GB2312"/>
              </w:rPr>
            </w:pPr>
            <w:r>
              <w:rPr>
                <w:rFonts w:hint="eastAsia" w:ascii="仿宋_GB2312" w:hAnsi="Times New Roman" w:eastAsia="仿宋_GB2312"/>
                <w:b/>
              </w:rPr>
              <w:t xml:space="preserve">（3）国内外发展状况</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国外研究现状：</w:t>
            </w:r>
            <w:r>
              <w:rPr>
                <w:rFonts w:hint="eastAsia" w:ascii="仿宋_GB2312" w:hAnsi="Times New Roman" w:eastAsia="仿宋_GB2312"/>
              </w:rPr>
              <w:t xml:space="preserve">食物图像分析是“食物计算”（Food Computing）研究的重要分支[6]。早期工作以菜品图像分类为主；随着 Microsoft COCO[7]、LVIS[8]、Open Images[9] 等大规模目标检测数据集的发布，其中的水果、蔬菜等食物类别为食材检测提供了数据基础。在营养估计方面，Google 发布的 Nutrition5k[10] 数据集利用俯拍 RGB-D 图像回归整盘菜的热量与营养素，说明从图像估计营养是可行的，但它面向已烹饪的菜品，且依赖深度相机等专用设备。</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国内研究现状：</w:t>
            </w:r>
            <w:r>
              <w:rPr>
                <w:rFonts w:hint="eastAsia" w:ascii="仿宋_GB2312" w:hAnsi="Times New Roman" w:eastAsia="仿宋_GB2312"/>
              </w:rPr>
              <w:t xml:space="preserve">国内学者在农产品与果蔬检测方面围绕 YOLOv8 开展了较多改进与应用研究。李茂等[11]提出了基于改进 YOLOv8 模型的轻量化板栗果实识别方法；王元昊等[12]针对果实相互遮挡的问题，改进 YOLOv8 算法以优化柑橘的识别与定位；高陈宏等[13]把改进的 YOLOv8 用于果蔬品质劣变的荧光成像嵌入式检测系统。这些研究表明 YOLOv8 在果蔬类目标上具有较高的检测精度和较好的轻量化部署潜力，但大多面向农业生产或品质检测场景，针对家庭生鲜食材、并把识别结果与膳食营养分析结合起来的研究还较少。在膳食营养方面，张成东等[14]综述了营养大模型的技术架构、应用进展与未来挑战，智能化膳食评估正成为研究热点。</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存在的不足：</w:t>
            </w:r>
            <w:r>
              <w:rPr>
                <w:rFonts w:hint="eastAsia" w:ascii="仿宋_GB2312" w:hAnsi="Times New Roman" w:eastAsia="仿宋_GB2312"/>
              </w:rPr>
              <w:t xml:space="preserve">一是已有研究多停留在“识别”本身，较少把检测结果真正接入份量估算和营养分析流程；二是公开数据集以欧美场景为主，鸡蛋、肉类、水产、豆腐等国内家庭常见食材的标注样本稀缺，模型在国内真实场景下的表现缺乏评估；三是部分系统直接调用通用视觉大模型完成识别，依赖网络和付费接口，结果难以量化评估。本课题针对上述不足开展研究。</w:t>
            </w:r>
          </w:p>
        </w:tc>
      </w:tr>
      <w:tr w14:paraId="56F8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1389" w:hRule="atLeast"/>
        </w:trPr>
        <w:tc>
          <w:tcPr>
            <w:tcW w:w="8280" w:type="dxa"/>
            <w:gridSpan w:val="6"/>
            <w:noWrap w:val="0"/>
            <w:vAlign w:val="top"/>
          </w:tcPr>
          <w:p w14:paraId="5F2395C7">
            <w:pPr>
              <w:spacing w:line="360" w:lineRule="exact"/>
              <w:rPr>
                <w:rFonts w:hint="eastAsia" w:ascii="仿宋_GB2312" w:hAnsi="华文中宋" w:eastAsia="仿宋_GB2312"/>
              </w:rPr>
            </w:pPr>
            <w:r>
              <w:rPr>
                <w:rFonts w:hint="eastAsia" w:ascii="仿宋_GB2312" w:hAnsi="华文中宋" w:eastAsia="仿宋_GB2312"/>
              </w:rPr>
              <w:t>2.研究内容：</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本课题以已有的膳食管理原型系统为基础（已包含995种食材的营养库、1038道菜谱，以及健康画像、饮食记录、菜谱推荐等模块），重点解决原系统识别环节只能借助通用预训练模型、仅能识别少数几类食材且不返回检测框、不参与份量估算的问题，完成自研检测模型及其与膳食分析的深度集成。主要研究内容如下：</w:t>
            </w:r>
          </w:p>
          <w:p>
            <w:pPr>
              <w:spacing w:line="360" w:lineRule="auto"/>
              <w:ind/>
              <w:rPr>
                <w:rFonts w:hint="eastAsia" w:ascii="仿宋_GB2312" w:hAnsi="Times New Roman" w:eastAsia="仿宋_GB2312"/>
              </w:rPr>
            </w:pPr>
            <w:r>
              <w:rPr>
                <w:rFonts w:hint="eastAsia" w:ascii="仿宋_GB2312" w:hAnsi="Times New Roman" w:eastAsia="仿宋_GB2312"/>
                <w:b/>
              </w:rPr>
              <w:t xml:space="preserve">（1）生鲜食材检测数据集构建</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确定蔬菜17类、水果8类、蛋肉水产豆乳8类，共33类国内家庭常见生鲜食材（如西红柿、白菜、青椒、鸡蛋、猪肉、豆腐等），为每类定义中文名、营养库映射名、计量方式与参考单重，作为训练与系统运行共用的唯一类别定义。以 LVIS 果蔬子集[8]和 Zenodo 多类果蔬检测数据集[15]为主，补充孟加拉蔬菜检测数据集及 Open Images V7[9] 中的蛋、肉、水产类别；编写各数据源的适配器，统一类名映射，把 VOC、COCO 等格式转换为 YOLO 格式，经 MD5 去重后按 8:1:1 划分训练集、验证集和测试集，要求每类训练框数不少于200个。另用手机自采300～500张国内冰箱、菜篮、案板场景照片并人工标注，作为独立的真实场景测试集，不参与基础训练。</w:t>
            </w:r>
          </w:p>
          <w:p>
            <w:pPr>
              <w:spacing w:line="360" w:lineRule="auto"/>
              <w:ind/>
              <w:rPr>
                <w:rFonts w:hint="eastAsia" w:ascii="仿宋_GB2312" w:hAnsi="Times New Roman" w:eastAsia="仿宋_GB2312"/>
              </w:rPr>
            </w:pPr>
            <w:r>
              <w:rPr>
                <w:rFonts w:hint="eastAsia" w:ascii="仿宋_GB2312" w:hAnsi="Times New Roman" w:eastAsia="仿宋_GB2312"/>
                <w:b/>
              </w:rPr>
              <w:t xml:space="preserve">（2）基于 YOLOv8 的食材检测模型训练与评估</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在 RTX 4060 显卡上以 COCO 预训练权重为起点进行迁移学习，以 mAP50、mAP50-95、精确率、召回率、各类别 AP、混淆矩阵和 CPU 推理耗时为评价指标，设计表1所示的对比实验与消融实验。各组实验固定随机种子与训练参数，每组只改变一个变量。</w:t>
            </w:r>
          </w:p>
          <w:p>
            <w:pPr>
              <w:spacing w:line="300" w:lineRule="auto"/>
              <w:ind w:firstLine="0"/>
              <w:jc w:val="center"/>
              <w:rPr>
                <w:rFonts w:hint="eastAsia" w:ascii="仿宋_GB2312" w:hAnsi="Times New Roman" w:eastAsia="仿宋_GB2312"/>
              </w:rPr>
            </w:pPr>
            <w:r>
              <w:rPr>
                <w:rFonts w:hint="eastAsia" w:ascii="仿宋_GB2312" w:hAnsi="Times New Roman" w:eastAsia="仿宋_GB2312"/>
              </w:rPr>
              <w:t xml:space="preserve">表1  实验设计</w:t>
            </w:r>
          </w:p>
          <w:tbl>
            <w:tblPr>
              <w:tblW w:w="7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00"/>
              <w:gridCol w:w="3000"/>
              <w:gridCol w:w="2400"/>
            </w:tblGrid>
            <w:tr>
              <w:trPr>
                <w:tblHeader/>
              </w:trP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b/>
                      <w:sz w:val="18"/>
                      <w:szCs w:val="18"/>
                    </w:rPr>
                    <w:t xml:space="preserve">编号</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b/>
                      <w:sz w:val="18"/>
                      <w:szCs w:val="18"/>
                    </w:rPr>
                    <w:t xml:space="preserve">实验内容</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b/>
                      <w:sz w:val="18"/>
                      <w:szCs w:val="18"/>
                    </w:rPr>
                    <w:t xml:space="preserve">对比设置</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b/>
                      <w:sz w:val="18"/>
                      <w:szCs w:val="18"/>
                    </w:rPr>
                    <w:t xml:space="preserve">主要指标</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E1</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模型规模对比</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YOLOv8n / v8s / v8m</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mAP、参数量、GFLOPs、CPU耗时</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E2</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数据增强消融</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全部增强 / 关闭Mosaic与MixUp / 全部关闭</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mAP50-95、收敛曲线</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E3</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检测架构对比</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YOLOv8n / YOLO11n</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mAP、CPU耗时</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E4</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域偏移评估</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公开测试集 / 自采场景测试集</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mAP下降幅度、各类AP</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E5</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微调增益</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用一半自采数据微调，在另一半上评估</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微调前后mAP</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E6</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部署格式对比</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PyTorch(.pt) / ONNX</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推理耗时、文件体积、结果一致率</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E7</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置信度阈值选择</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conf = 0.25 / 0.35 / 0.5</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精确率、召回率、F1</w:t>
                  </w:r>
                </w:p>
              </w:tc>
            </w:tr>
            <w:tr>
              <w:tc>
                <w:tcPr>
                  <w:tcW w:w="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E8</w:t>
                  </w:r>
                </w:p>
              </w:tc>
              <w:tc>
                <w:tcPr>
                  <w:tcW w:w="17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系统端到端测试</w:t>
                  </w:r>
                </w:p>
              </w:tc>
              <w:tc>
                <w:tcPr>
                  <w:tcW w:w="30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从上传图片到返回结果</w:t>
                  </w:r>
                </w:p>
              </w:tc>
              <w:tc>
                <w:tcPr>
                  <w:tcW w:w="2400" w:type="dxa"/>
                  <w:vAlign w:val="center"/>
                </w:tcPr>
                <w:p>
                  <w:pPr>
                    <w:spacing w:line="300" w:lineRule="auto"/>
                    <w:ind w:firstLine="0"/>
                    <w:jc w:val="center"/>
                    <w:rPr>
                      <w:rFonts w:hint="eastAsia" w:ascii="仿宋_GB2312" w:hAnsi="Times New Roman" w:eastAsia="仿宋_GB2312"/>
                    </w:rPr>
                  </w:pPr>
                  <w:r>
                    <w:rPr>
                      <w:rFonts w:hint="eastAsia" w:ascii="仿宋_GB2312" w:hAnsi="Times New Roman" w:eastAsia="仿宋_GB2312"/>
                      <w:sz w:val="18"/>
                      <w:szCs w:val="18"/>
                    </w:rPr>
                    <w:t xml:space="preserve">端到端响应时间</w:t>
                  </w:r>
                </w:p>
              </w:tc>
            </w:tr>
          </w:tbl>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部署模型的目标为：公开测试集上 mAP50 ≥ 0.70；无独立显卡的开发机上单张图片（640×640）CPU 推理均值 ≤ 300 ms；导出的 ONNX 模型与 PyTorch 模型检测结果一致率大于95%。</w:t>
            </w:r>
          </w:p>
          <w:p>
            <w:pPr>
              <w:spacing w:line="360" w:lineRule="auto"/>
              <w:ind/>
              <w:rPr>
                <w:rFonts w:hint="eastAsia" w:ascii="仿宋_GB2312" w:hAnsi="Times New Roman" w:eastAsia="仿宋_GB2312"/>
              </w:rPr>
            </w:pPr>
            <w:r>
              <w:rPr>
                <w:rFonts w:hint="eastAsia" w:ascii="仿宋_GB2312" w:hAnsi="Times New Roman" w:eastAsia="仿宋_GB2312"/>
                <w:b/>
              </w:rPr>
              <w:t xml:space="preserve">（3）识别结果驱动的份量估算与营养计算</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对按个计量的食材（如鸡蛋、西红柿），估算质量 m = 检测数量 × 参考单重；对按份计量的食材（如白菜、猪肉），按一份参考质量估算。估算值在页面上以可编辑表格展示，用户可手动修正。第 i 种食材的质量记为 m</w:t>
            </w:r>
            <w:r>
              <w:rPr>
                <w:rFonts w:hint="eastAsia" w:ascii="仿宋_GB2312" w:hAnsi="Times New Roman" w:eastAsia="仿宋_GB2312"/>
                <w:vertAlign w:val="subscript"/>
              </w:rPr>
              <w:t xml:space="preserve">i</w:t>
            </w:r>
            <w:r>
              <w:rPr>
                <w:rFonts w:hint="eastAsia" w:ascii="仿宋_GB2312" w:hAnsi="Times New Roman" w:eastAsia="仿宋_GB2312"/>
              </w:rPr>
              <w:t xml:space="preserve">（g），其每100 g 可食部的能量为 e</w:t>
            </w:r>
            <w:r>
              <w:rPr>
                <w:rFonts w:hint="eastAsia" w:ascii="仿宋_GB2312" w:hAnsi="Times New Roman" w:eastAsia="仿宋_GB2312"/>
                <w:vertAlign w:val="subscript"/>
              </w:rPr>
              <w:t xml:space="preserve">i</w:t>
            </w:r>
            <w:r>
              <w:rPr>
                <w:rFonts w:hint="eastAsia" w:ascii="仿宋_GB2312" w:hAnsi="Times New Roman" w:eastAsia="仿宋_GB2312"/>
              </w:rPr>
              <w:t xml:space="preserve">（kcal），数据取自《中国食物成分表》[2]，则一餐总能量为：</w:t>
            </w:r>
          </w:p>
          <w:p>
            <w:pPr>
              <w:spacing w:line="360" w:lineRule="auto"/>
              <w:ind/>
              <w:jc w:val="center"/>
              <w:rPr>
                <w:rFonts w:hint="eastAsia" w:ascii="仿宋_GB2312" w:hAnsi="Times New Roman" w:eastAsia="仿宋_GB2312"/>
              </w:rPr>
            </w:pPr>
            <w:r>
              <w:rPr>
                <w:rFonts w:hint="eastAsia" w:ascii="仿宋_GB2312" w:hAnsi="Times New Roman" w:eastAsia="仿宋_GB2312"/>
              </w:rPr>
              <w:t xml:space="preserve">E = Σ（m</w:t>
            </w:r>
            <w:r>
              <w:rPr>
                <w:rFonts w:hint="eastAsia" w:ascii="仿宋_GB2312" w:hAnsi="Times New Roman" w:eastAsia="仿宋_GB2312"/>
                <w:vertAlign w:val="subscript"/>
              </w:rPr>
              <w:t xml:space="preserve">i</w:t>
            </w:r>
            <w:r>
              <w:rPr>
                <w:rFonts w:hint="eastAsia" w:ascii="仿宋_GB2312" w:hAnsi="Times New Roman" w:eastAsia="仿宋_GB2312"/>
              </w:rPr>
              <w:t xml:space="preserve"> × e</w:t>
            </w:r>
            <w:r>
              <w:rPr>
                <w:rFonts w:hint="eastAsia" w:ascii="仿宋_GB2312" w:hAnsi="Times New Roman" w:eastAsia="仿宋_GB2312"/>
                <w:vertAlign w:val="subscript"/>
              </w:rPr>
              <w:t xml:space="preserve">i</w:t>
            </w:r>
            <w:r>
              <w:rPr>
                <w:rFonts w:hint="eastAsia" w:ascii="仿宋_GB2312" w:hAnsi="Times New Roman" w:eastAsia="仿宋_GB2312"/>
              </w:rPr>
              <w:t xml:space="preserve"> / 100）</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蛋白质、脂肪、碳水化合物等营养素的合计方法相同。</w:t>
            </w:r>
          </w:p>
          <w:p>
            <w:pPr>
              <w:spacing w:line="360" w:lineRule="auto"/>
              <w:ind/>
              <w:rPr>
                <w:rFonts w:hint="eastAsia" w:ascii="仿宋_GB2312" w:hAnsi="Times New Roman" w:eastAsia="仿宋_GB2312"/>
              </w:rPr>
            </w:pPr>
            <w:r>
              <w:rPr>
                <w:rFonts w:hint="eastAsia" w:ascii="仿宋_GB2312" w:hAnsi="Times New Roman" w:eastAsia="仿宋_GB2312"/>
                <w:b/>
              </w:rPr>
              <w:t xml:space="preserve">（4）膳食分析与报告</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按蛋白质 4 kcal/g、脂肪 9 kcal/g、碳水化合物 4 kcal/g 折算各自的供能比例，对照膳食指南[1]及膳食营养素参考摄入量给出的宏量营养素可接受范围（如脂肪供能比20%～30%、碳水化合物供能比50%～65%）给出评价与提示。新增识别日志表和餐次明细表，记录每次识别结果和每餐的食材明细，按周、按月聚合热量与营养素摄入趋势，用 ECharts 绘制统计图表；从食物成分表中抽取钙、铁、锌、维生素C等微量营养素数据，提示摄入缺口；结合原系统的推荐引擎，推荐可用现有食材烹饪的菜谱。</w:t>
            </w:r>
          </w:p>
          <w:p>
            <w:pPr>
              <w:spacing w:line="360" w:lineRule="auto"/>
              <w:ind/>
              <w:rPr>
                <w:rFonts w:hint="eastAsia" w:ascii="仿宋_GB2312" w:hAnsi="Times New Roman" w:eastAsia="仿宋_GB2312"/>
              </w:rPr>
            </w:pPr>
            <w:r>
              <w:rPr>
                <w:rFonts w:hint="eastAsia" w:ascii="仿宋_GB2312" w:hAnsi="Times New Roman" w:eastAsia="仿宋_GB2312"/>
                <w:b/>
              </w:rPr>
              <w:t xml:space="preserve">（5）系统设计与实现</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系统采用 B/S 架构，基于 Python、Flask、SQLite、Jinja2 和 ECharts 实现，分为表示层、应用层、业务层（识别、营养计算、膳食分析、推荐）和数据层。识别以自训练 YOLOv8 模型为主路径，模型文件缺失时自动回退到 COCO 预训练模型；DeepSeek 大模型只作为可选增强（生成点评文案、图中未检出食材时兜底），没有接口密钥时系统主流程仍完整可用。完成后对识别页面、接口、异常输入和并发访问进行功能测试。</w:t>
            </w:r>
          </w:p>
          <w:p>
            <w:pPr>
              <w:spacing w:line="360" w:lineRule="auto"/>
              <w:ind/>
              <w:rPr>
                <w:rFonts w:hint="eastAsia" w:ascii="仿宋_GB2312" w:hAnsi="Times New Roman" w:eastAsia="仿宋_GB2312"/>
              </w:rPr>
            </w:pPr>
            <w:r>
              <w:rPr>
                <w:rFonts w:hint="eastAsia" w:ascii="仿宋_GB2312" w:hAnsi="Times New Roman" w:eastAsia="仿宋_GB2312"/>
                <w:b/>
              </w:rPr>
              <w:t xml:space="preserve">（6）拟解决的关键问题</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① 国内家庭常见的蛋、肉、水产、豆制品在公开数据集中样本稀缺造成的类别不均衡；② 公开数据集与国内真实家庭场景之间的域偏移；③ 从“检测框”到“克数”的份量估算，以及识别结果在膳食分析流程中的沉淀与复用。</w:t>
            </w:r>
          </w:p>
          <w:p>
            <w:pPr>
              <w:spacing w:line="360" w:lineRule="auto"/>
              <w:ind/>
              <w:rPr>
                <w:rFonts w:hint="eastAsia" w:ascii="仿宋_GB2312" w:hAnsi="Times New Roman" w:eastAsia="仿宋_GB2312"/>
              </w:rPr>
            </w:pPr>
            <w:r>
              <w:rPr>
                <w:rFonts w:hint="eastAsia" w:ascii="仿宋_GB2312" w:hAnsi="Times New Roman" w:eastAsia="仿宋_GB2312"/>
                <w:b/>
              </w:rPr>
              <w:t xml:space="preserve">（7）预期成果</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① 一套可运行的智能食材识别与膳食分析系统；② 一个33类生鲜食材检测数据集及其构建脚本；③ 训练好的检测模型与完整的实验报告；④ 毕业论文一篇。</w:t>
            </w:r>
          </w:p>
        </w:tc>
      </w:tr>
      <w:tr w14:paraId="4BA7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3884" w:hRule="atLeast"/>
        </w:trPr>
        <w:tc>
          <w:tcPr>
            <w:tcW w:w="8280" w:type="dxa"/>
            <w:gridSpan w:val="6"/>
            <w:tcBorders>
              <w:left w:val="single" w:color="auto" w:sz="4" w:space="0"/>
              <w:bottom w:val="single" w:color="auto" w:sz="4" w:space="0"/>
            </w:tcBorders>
            <w:noWrap w:val="0"/>
            <w:vAlign w:val="top"/>
          </w:tcPr>
          <w:p w14:paraId="5EAF17CA">
            <w:pPr>
              <w:spacing w:line="360" w:lineRule="exact"/>
              <w:rPr>
                <w:rFonts w:hint="eastAsia" w:ascii="仿宋_GB2312" w:hAnsi="华文中宋" w:eastAsia="仿宋_GB2312"/>
                <w:color w:val="FF0000"/>
              </w:rPr>
            </w:pPr>
            <w:r>
              <w:rPr>
                <w:rFonts w:hint="eastAsia" w:ascii="仿宋_GB2312" w:hAnsi="华文中宋" w:eastAsia="仿宋_GB2312"/>
              </w:rPr>
              <w:t>3.研究方法、手段和研究进度：</w:t>
            </w:r>
          </w:p>
          <w:p>
            <w:pPr>
              <w:spacing w:line="360" w:lineRule="auto"/>
              <w:ind/>
              <w:rPr>
                <w:rFonts w:hint="eastAsia" w:ascii="仿宋_GB2312" w:hAnsi="Times New Roman" w:eastAsia="仿宋_GB2312"/>
              </w:rPr>
            </w:pPr>
            <w:r>
              <w:rPr>
                <w:rFonts w:hint="eastAsia" w:ascii="仿宋_GB2312" w:hAnsi="Times New Roman" w:eastAsia="仿宋_GB2312"/>
                <w:b/>
              </w:rPr>
              <w:t xml:space="preserve">（1）研究方法</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文献研究法：</w:t>
            </w:r>
            <w:r>
              <w:rPr>
                <w:rFonts w:hint="eastAsia" w:ascii="仿宋_GB2312" w:hAnsi="Times New Roman" w:eastAsia="仿宋_GB2312"/>
              </w:rPr>
              <w:t xml:space="preserve">查阅目标检测、食物计算、膳食营养评估等方面的文献和膳食指南，确定技术路线与评价标准。</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实验研究法：</w:t>
            </w:r>
            <w:r>
              <w:rPr>
                <w:rFonts w:hint="eastAsia" w:ascii="仿宋_GB2312" w:hAnsi="Times New Roman" w:eastAsia="仿宋_GB2312"/>
              </w:rPr>
              <w:t xml:space="preserve">采用控制变量的对比实验和消融实验（E1～E8），固定随机种子与训练参数，保证实验结论可复现。</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软件工程方法：</w:t>
            </w:r>
            <w:r>
              <w:rPr>
                <w:rFonts w:hint="eastAsia" w:ascii="仿宋_GB2312" w:hAnsi="Times New Roman" w:eastAsia="仿宋_GB2312"/>
              </w:rPr>
              <w:t xml:space="preserve">按需求分析、总体设计、详细设计、编码实现、系统测试的流程开发；整个项目分为环境搭建、数据集构建、训练与评估、识别接入、膳食分析、论文实验六个阶段，每个阶段设置可执行的验收清单，通过后才进入下一阶段，全程使用 Git 进行版本管理。</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测试法：</w:t>
            </w:r>
            <w:r>
              <w:rPr>
                <w:rFonts w:hint="eastAsia" w:ascii="仿宋_GB2312" w:hAnsi="Times New Roman" w:eastAsia="仿宋_GB2312"/>
              </w:rPr>
              <w:t xml:space="preserve">对系统进行功能测试、接口测试、异常输入测试和端到端性能测试。</w:t>
            </w:r>
          </w:p>
          <w:p>
            <w:pPr>
              <w:spacing w:line="360" w:lineRule="auto"/>
              <w:ind/>
              <w:rPr>
                <w:rFonts w:hint="eastAsia" w:ascii="仿宋_GB2312" w:hAnsi="Times New Roman" w:eastAsia="仿宋_GB2312"/>
              </w:rPr>
            </w:pPr>
            <w:r>
              <w:rPr>
                <w:rFonts w:hint="eastAsia" w:ascii="仿宋_GB2312" w:hAnsi="Times New Roman" w:eastAsia="仿宋_GB2312"/>
                <w:b/>
              </w:rPr>
              <w:t xml:space="preserve">（2）研究手段</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硬件：</w:t>
            </w:r>
            <w:r>
              <w:rPr>
                <w:rFonts w:hint="eastAsia" w:ascii="仿宋_GB2312" w:hAnsi="Times New Roman" w:eastAsia="仿宋_GB2312"/>
              </w:rPr>
              <w:t xml:space="preserve">配备 NVIDIA RTX 4060（8 GB 显存）的训练机，用于模型训练；无独立显卡的开发机，用于系统开发、部署和 CPU 推理测试；手机，用于采集真实场景图像。</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b/>
              </w:rPr>
              <w:t xml:space="preserve">软件：</w:t>
            </w:r>
            <w:r>
              <w:rPr>
                <w:rFonts w:hint="eastAsia" w:ascii="仿宋_GB2312" w:hAnsi="Times New Roman" w:eastAsia="仿宋_GB2312"/>
              </w:rPr>
              <w:t xml:space="preserve">Python 3.12、PyTorch、Ultralytics YOLOv8、ONNX Runtime、Flask 3、SQLite、ECharts；标注工具 labelImg / X-AnyLabeling。</w:t>
            </w:r>
          </w:p>
          <w:p>
            <w:pPr>
              <w:spacing w:line="360" w:lineRule="auto"/>
              <w:ind/>
              <w:rPr>
                <w:rFonts w:hint="eastAsia" w:ascii="仿宋_GB2312" w:hAnsi="Times New Roman" w:eastAsia="仿宋_GB2312"/>
              </w:rPr>
            </w:pPr>
            <w:r>
              <w:rPr>
                <w:rFonts w:hint="eastAsia" w:ascii="仿宋_GB2312" w:hAnsi="Times New Roman" w:eastAsia="仿宋_GB2312"/>
                <w:b/>
              </w:rPr>
              <w:t xml:space="preserve">（3）研究进度</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毕设前4周：选好毕设课题，接受指导教师布置的任务，开始毕设调研和前期准备。</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毕设第1周（2026.10.5～10.11）：制定计划，提交开题报告（10月8日前）；完成开发机与训练机环境搭建，确定33类食材定义。</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毕设第2～5周（10.12～11.8）：下载并清洗公开数据集，编写格式转换与合并脚本，完成数据集划分与质量抽检；利用周末自采并标注300～500张场景照片。</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毕设第6～7周（11.9～11.22）：完成 E1～E3 训练实验并在测试集上评估，选定部署模型，导出 ONNX 模型。</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毕设第8周（11.23～11.29）：整理阶段成果，提交中期检查报告（11月25日前）；开始识别模块接入。</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毕设第9～10周（11.30～12.13）：完成识别模块与系统的集成，包括检测框可视化、份量估算、识别接口和识别日志。</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毕设第11～14周（12.14～2027.1.10）：完成膳食分析功能，包括餐次明细、供能比分析、微量营养素分析、周报月报及图表。</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毕设第15～17周（2027.1.11～1.31）：完成 E4～E8 实验和系统测试，整理实验数据与图表。</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毕设第18～21周（2.1～2.28，含寒假）：撰写论文初稿。</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毕设第22周（3.1～3.7）：完善初稿，3月5日前提交初稿1。</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毕设第23～24周（3.8～3.21）：根据指导教师意见修改论文，3月20日前提交初稿2。</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毕设第25～26周（3.22～4.4）：论文查重、格式规范与定稿，4月5日前提交定稿。</w:t>
            </w:r>
          </w:p>
          <w:p>
            <w:pPr>
              <w:spacing w:line="360" w:lineRule="auto"/>
              <w:ind w:firstLine="420" w:firstLineChars="200"/>
              <w:rPr>
                <w:rFonts w:hint="eastAsia" w:ascii="仿宋_GB2312" w:hAnsi="Times New Roman" w:eastAsia="仿宋_GB2312"/>
              </w:rPr>
            </w:pPr>
            <w:r>
              <w:rPr>
                <w:rFonts w:hint="eastAsia" w:ascii="仿宋_GB2312" w:hAnsi="Times New Roman" w:eastAsia="仿宋_GB2312"/>
              </w:rPr>
              <w:t xml:space="preserve">毕设第27周起（4.5～）：准备答辩材料与系统演示，按学院安排参加答辩。</w:t>
            </w:r>
          </w:p>
          <w:p>
            <w:pPr>
              <w:spacing w:line="360" w:lineRule="auto"/>
              <w:ind w:firstLine="420" w:firstLineChars="200"/>
              <w:rPr>
                <w:rFonts w:hint="eastAsia" w:ascii="仿宋_GB2312" w:hAnsi="Times New Roman" w:eastAsia="仿宋_GB2312"/>
              </w:rPr>
            </w:pPr>
          </w:p>
          <w:p w14:paraId="1510ED15">
            <w:pPr>
              <w:spacing w:after="156" w:afterLines="50" w:line="360" w:lineRule="exact"/>
              <w:ind w:right="1890" w:rightChars="900" w:firstLine="420" w:firstLineChars="200"/>
              <w:jc w:val="right"/>
              <w:rPr>
                <w:rFonts w:hint="eastAsia" w:ascii="仿宋_GB2312" w:hAnsi="华文中宋" w:eastAsia="仿宋_GB2312"/>
                <w:color w:val="000000"/>
              </w:rPr>
            </w:pPr>
            <w:r>
              <w:rPr>
                <w:rFonts w:hint="eastAsia" w:ascii="仿宋_GB2312" w:hAnsi="华文中宋" w:eastAsia="仿宋_GB2312"/>
                <w:color w:val="000000"/>
              </w:rPr>
              <w:t>学生（签名）：</w:t>
            </w:r>
          </w:p>
        </w:tc>
      </w:tr>
      <w:tr w14:paraId="411A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1096" w:hRule="atLeast"/>
        </w:trPr>
        <w:tc>
          <w:tcPr>
            <w:tcW w:w="8280" w:type="dxa"/>
            <w:gridSpan w:val="6"/>
            <w:tcBorders>
              <w:left w:val="single" w:color="auto" w:sz="4" w:space="0"/>
              <w:bottom w:val="single" w:color="auto" w:sz="4" w:space="0"/>
            </w:tcBorders>
            <w:noWrap w:val="0"/>
            <w:vAlign w:val="top"/>
          </w:tcPr>
          <w:p w14:paraId="3D37E753">
            <w:pPr>
              <w:spacing w:line="360" w:lineRule="exact"/>
              <w:rPr>
                <w:rFonts w:hint="eastAsia" w:ascii="仿宋_GB2312" w:hAnsi="华文中宋" w:eastAsia="仿宋_GB2312"/>
              </w:rPr>
            </w:pPr>
            <w:r>
              <w:rPr>
                <w:rFonts w:hint="eastAsia" w:ascii="仿宋_GB2312" w:hAnsi="华文中宋" w:eastAsia="仿宋_GB2312"/>
              </w:rPr>
              <w:t>4.参考文献：</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 中国营养学会. 中国居民膳食指南(2022)[M]. 北京: 人民卫生出版社, 2022.</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[2] 杨月欣. 中国食物成分表标准版: 第一册、第二册[M]. 6版. 北京: 北京大学医学出版社, 2018-2019.</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[3] REDMON J, DIVVALA S, GIRSHICK R, et al. You only look once: unified, real-time object detection[C]//Proceedings of the IEEE Conference on Computer Vision and Pattern Recognition. Piscataway: IEEE, 2016: 779-788.</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[4] TERVEN J, CÓRDOVA-ESPARZA D M, ROMERO-GONZÁLEZ J A. A comprehensive review of YOLO architectures in computer vision: from YOLOv1 to YOLOv8 and YOLO-NAS[J]. Machine Learning and Knowledge Extraction, 2023, 5(4): 1680-1716.</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[5] JOCHER G, CHAURASIA A, QIU J. Ultralytics YOLOv8: version 8.0.0[CP/OL]. (2023-01-10)[2026-10-06]. https://github.com/ultralytics/ultralytics.</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[6] MIN W Q, JIANG S Q, LIU L H, et al. A survey on food computing[J]. ACM Computing Surveys, 2019, 52(5): 1-36.</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[7] LIN T Y, MAIRE M, BELONGIE S, et al. Microsoft COCO: common objects in context[C]//Computer Vision – ECCV 2014. Cham: Springer, 2014: 740-755.</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[8] GUPTA A, DOLLÁR P, GIRSHICK R. LVIS: a dataset for large vocabulary instance segmentation[C]//Proceedings of the IEEE/CVF Conference on Computer Vision and Pattern Recognition. Piscataway: IEEE, 2019: 5351-5359.</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[9] KUZNETSOVA A, ROM H, ALLDRIN N, et al. The Open Images Dataset V4: unified image classification, object detection, and visual relationship detection at scale[J]. International Journal of Computer Vision, 2020, 128(7): 1956-1981.</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[10] THAMES Q, KARPUR A, NORRIS W, et al. Nutrition5k: towards automatic nutritional understanding of generic food[C]//Proceedings of the IEEE/CVF Conference on Computer Vision and Pattern Recognition. Piscataway: IEEE, 2021: 8899-8907.</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[11] 李茂, 肖洋轶, 宗望远, 等. 基于改进YOLOv8模型的轻量化板栗果实识别方法[J]. 农业工程学报, 2024, 40(1): 201-209.</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[12] 王元昊, 娄欢欢, 罗红品, 等. 基于改进YOLOv8算法对被遮挡柑橘的识别与定位优化[J]. 西南大学学报(自然科学版), 2025, 47(2): 171-183.</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[13] 高陈宏, 朱启兵, 黄敏. 基于改进YOLOv8的果蔬品质劣变荧光成像嵌入式检测系统[J]. 智慧农业(中英文), 2025, 7(5): 146-155.</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[14] 张成东, 孔浩楠, 杨元, 等. 营养大模型的技术架构、应用进展与未来挑战[J]. 生命科学, 2026, 38(1): 1-17.</w:t>
            </w:r>
          </w:p>
          <w:p>
            <w:pPr>
              <w:spacing w:line="360" w:lineRule="auto"/>
              <w:ind w:left="420" w:hanging="420"/>
              <w:jc w:val="left"/>
              <w:rPr>
                <w:rFonts w:hint="eastAsia" w:ascii="仿宋_GB2312" w:hAnsi="Times New Roman" w:eastAsia="仿宋_GB2312"/>
              </w:rPr>
            </w:pPr>
            <w:r>
              <w:rPr>
                <w:rFonts w:hint="eastAsia" w:ascii="仿宋_GB2312" w:hAnsi="Times New Roman" w:eastAsia="仿宋_GB2312"/>
              </w:rPr>
              <w:t xml:space="preserve">[15] GEORGE BAYÓN M, SÁNCHEZ GONZÁLEZ L. Multi-class fruit and vegetable detection dataset for computer vision[DS/OL]. Zenodo, (2026-03-07)[2026-10-06]. https://doi.org/10.5281/zenodo.18904638.</w:t>
            </w:r>
          </w:p>
        </w:tc>
      </w:tr>
      <w:tr w14:paraId="3369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1860" w:hRule="atLeast"/>
        </w:trPr>
        <w:tc>
          <w:tcPr>
            <w:tcW w:w="8280" w:type="dxa"/>
            <w:gridSpan w:val="6"/>
            <w:tcBorders>
              <w:left w:val="single" w:color="auto" w:sz="4" w:space="0"/>
              <w:bottom w:val="single" w:color="auto" w:sz="4" w:space="0"/>
            </w:tcBorders>
            <w:noWrap w:val="0"/>
            <w:vAlign w:val="top"/>
          </w:tcPr>
          <w:p w14:paraId="06EDFF7B">
            <w:pPr>
              <w:spacing w:line="360" w:lineRule="exact"/>
              <w:rPr>
                <w:rFonts w:hint="eastAsia" w:ascii="仿宋_GB2312" w:hAnsi="华文中宋" w:eastAsia="仿宋_GB2312"/>
              </w:rPr>
            </w:pPr>
            <w:r>
              <w:rPr>
                <w:rFonts w:hint="eastAsia" w:ascii="仿宋_GB2312" w:hAnsi="华文中宋" w:eastAsia="仿宋_GB2312"/>
              </w:rPr>
              <w:t>5.指导教师意见：</w:t>
            </w:r>
          </w:p>
          <w:p w14:paraId="53CE32AE">
            <w:pPr>
              <w:spacing w:line="360" w:lineRule="exact"/>
              <w:ind w:left="420" w:leftChars="200" w:right="420" w:rightChars="200" w:firstLine="420" w:firstLineChars="200"/>
              <w:rPr>
                <w:rFonts w:hint="eastAsia" w:eastAsia="仿宋_GB2312"/>
                <w:color w:val="FF0000"/>
              </w:rPr>
            </w:pPr>
            <w:r>
              <w:rPr>
                <w:rFonts w:hint="eastAsia" w:eastAsia="仿宋_GB2312"/>
                <w:color w:val="FF0000"/>
              </w:rPr>
              <w:t>指导教师对学生开题报告的评语包括学生对课题研究背景的了解情况、研究方法、研究手段、预期结果等予以评价，并声明是否同意开题。</w:t>
            </w:r>
          </w:p>
          <w:p w14:paraId="62605E46">
            <w:pPr>
              <w:rPr>
                <w:rFonts w:hint="eastAsia" w:eastAsia="仿宋_GB2312"/>
              </w:rPr>
            </w:pPr>
          </w:p>
          <w:p w14:paraId="539E025A">
            <w:pPr>
              <w:spacing w:line="600" w:lineRule="exact"/>
              <w:ind w:firstLine="4725" w:firstLineChars="2250"/>
              <w:rPr>
                <w:rFonts w:hint="eastAsia" w:eastAsia="仿宋_GB2312"/>
              </w:rPr>
            </w:pPr>
            <w:r>
              <w:rPr>
                <w:rFonts w:hint="eastAsia" w:eastAsia="仿宋_GB2312"/>
              </w:rPr>
              <w:t>指导教师（签名）：</w:t>
            </w:r>
          </w:p>
          <w:p w14:paraId="4D125917">
            <w:pPr>
              <w:ind w:firstLine="6615" w:firstLineChars="3150"/>
              <w:rPr>
                <w:rFonts w:hint="eastAsia" w:ascii="仿宋_GB2312" w:hAnsi="华文中宋" w:eastAsia="仿宋_GB2312"/>
              </w:rPr>
            </w:pPr>
            <w:r>
              <w:rPr>
                <w:rFonts w:hint="eastAsia" w:eastAsia="仿宋_GB2312"/>
              </w:rPr>
              <w:t>年     月    日</w:t>
            </w:r>
          </w:p>
        </w:tc>
      </w:tr>
      <w:tr w14:paraId="2D0D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2325" w:hRule="atLeast"/>
        </w:trPr>
        <w:tc>
          <w:tcPr>
            <w:tcW w:w="8280" w:type="dxa"/>
            <w:gridSpan w:val="6"/>
            <w:tcBorders>
              <w:bottom w:val="single" w:color="auto" w:sz="4" w:space="0"/>
            </w:tcBorders>
            <w:noWrap w:val="0"/>
            <w:vAlign w:val="top"/>
          </w:tcPr>
          <w:p w14:paraId="54CEF189">
            <w:pPr>
              <w:spacing w:line="360" w:lineRule="exact"/>
              <w:rPr>
                <w:rFonts w:hint="eastAsia" w:ascii="仿宋_GB2312" w:hAnsi="华文中宋" w:eastAsia="仿宋_GB2312"/>
              </w:rPr>
            </w:pPr>
            <w:r>
              <w:rPr>
                <w:rFonts w:hint="eastAsia" w:ascii="仿宋_GB2312" w:hAnsi="华文中宋" w:eastAsia="仿宋_GB2312"/>
              </w:rPr>
              <w:t>6.二级学院意见：</w:t>
            </w:r>
          </w:p>
          <w:p w14:paraId="4BE9359D">
            <w:pPr>
              <w:spacing w:line="360" w:lineRule="exact"/>
              <w:ind w:left="210" w:leftChars="100" w:right="210" w:rightChars="100" w:firstLine="420" w:firstLineChars="200"/>
              <w:rPr>
                <w:rFonts w:hint="eastAsia" w:ascii="仿宋_GB2312" w:hAnsi="华文中宋" w:eastAsia="仿宋_GB2312"/>
              </w:rPr>
            </w:pPr>
          </w:p>
          <w:p w14:paraId="30FB4D1A">
            <w:pPr>
              <w:spacing w:line="360" w:lineRule="exact"/>
              <w:ind w:right="210" w:rightChars="100"/>
              <w:rPr>
                <w:rFonts w:hint="eastAsia" w:eastAsia="仿宋_GB2312"/>
              </w:rPr>
            </w:pPr>
          </w:p>
          <w:p w14:paraId="42FCB851">
            <w:pPr>
              <w:spacing w:line="600" w:lineRule="exact"/>
              <w:ind w:right="1785" w:rightChars="850"/>
              <w:jc w:val="right"/>
              <w:rPr>
                <w:rFonts w:hint="eastAsia" w:eastAsia="仿宋_GB2312"/>
              </w:rPr>
            </w:pPr>
            <w:r>
              <w:rPr>
                <w:rFonts w:hint="eastAsia" w:eastAsia="仿宋_GB2312"/>
              </w:rPr>
              <w:t>二级学院（盖章）</w:t>
            </w:r>
          </w:p>
          <w:p w14:paraId="6231F1A2">
            <w:pPr>
              <w:spacing w:before="156" w:beforeLines="50"/>
              <w:ind w:firstLine="6489" w:firstLineChars="3090"/>
              <w:rPr>
                <w:rFonts w:hint="eastAsia" w:ascii="仿宋_GB2312" w:hAnsi="华文中宋" w:eastAsia="仿宋_GB2312"/>
              </w:rPr>
            </w:pPr>
            <w:r>
              <w:rPr>
                <w:rFonts w:hint="eastAsia" w:eastAsia="仿宋_GB2312"/>
              </w:rPr>
              <w:t>年     月    日</w:t>
            </w:r>
          </w:p>
        </w:tc>
      </w:tr>
    </w:tbl>
    <w:p w14:paraId="4BB1F666">
      <w:pPr>
        <w:pStyle w:val="5"/>
        <w:rPr>
          <w:rFonts w:hint="eastAsia" w:ascii="仿宋_GB2312" w:eastAsia="仿宋_GB2312"/>
          <w:b/>
          <w:sz w:val="52"/>
        </w:rPr>
      </w:pPr>
      <w:r>
        <w:rPr>
          <w:rFonts w:hint="eastAsia" w:ascii="仿宋_GB2312" w:eastAsia="仿宋_GB2312"/>
        </w:rPr>
        <w:t>说明：开题报告应在教师指导下由学生独立撰写。在毕业论文（设计）开始二周内完成，交指导教师审阅，并接受二级学院和学校检查。</w:t>
      </w:r>
    </w:p>
    <w:sectPr>
      <w:headerReference r:id="rId3" w:type="default"/>
      <w:footerReference r:id="rId4" w:type="default"/>
      <w:footerReference r:id="rId5" w:type="even"/>
      <w:endnotePr>
        <w:numFmt w:val="decimal"/>
      </w:endnote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华文中宋">
    <w:altName w:val="宋体"/>
    <w:panose1 w:val="02010600040101010101"/>
    <w:charset w:val="86"/>
    <w:family w:val="auto"/>
    <w:pitch w:val="default"/>
    <w:sig w:usb0="00000287" w:usb1="080F0000" w:usb2="00000010" w:usb3="00000000" w:csb0="0004009F" w:csb1="00000000"/>
  </w:font>
  <w:font w:name="MT Extra">
    <w:panose1 w:val="05050102010205020202"/>
    <w:charset w:val="02"/>
    <w:family w:val="roman"/>
    <w:pitch w:val="default"/>
    <w:sig w:usb0="8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38BD2">
    <w:pPr>
      <w:pStyle w:val="3"/>
      <w:framePr w:wrap="around" w:vAnchor="text" w:hAnchor="margin" w:xAlign="center" w:y="1"/>
      <w:rPr>
        <w:rStyle w:val="8"/>
      </w:rPr>
    </w:pPr>
    <w:r>
      <w:fldChar w:fldCharType="begin"/>
    </w:r>
    <w:r>
      <w:rPr>
        <w:rStyle w:val="8"/>
      </w:rPr>
      <w:instrText xml:space="preserve">PAGE  </w:instrText>
    </w:r>
    <w:r>
      <w:fldChar w:fldCharType="separate"/>
    </w:r>
    <w:r>
      <w:rPr>
        <w:rStyle w:val="8"/>
        <w:lang/>
      </w:rPr>
      <w:t>1</w:t>
    </w:r>
    <w:r>
      <w:fldChar w:fldCharType="end"/>
    </w:r>
  </w:p>
  <w:p w14:paraId="45FE547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9E578">
    <w:pPr>
      <w:pStyle w:val="3"/>
      <w:framePr w:wrap="around" w:vAnchor="text" w:hAnchor="margin" w:xAlign="center" w:y="1"/>
      <w:rPr>
        <w:rStyle w:val="8"/>
      </w:rPr>
    </w:pPr>
    <w:r>
      <w:fldChar w:fldCharType="begin"/>
    </w:r>
    <w:r>
      <w:rPr>
        <w:rStyle w:val="8"/>
      </w:rPr>
      <w:instrText xml:space="preserve">PAGE  </w:instrText>
    </w:r>
    <w:r>
      <w:fldChar w:fldCharType="end"/>
    </w:r>
  </w:p>
  <w:p w14:paraId="0CEC6534">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9487F">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FC7D7A"/>
    <w:multiLevelType w:val="multilevel"/>
    <w:tmpl w:val="4DFC7D7A"/>
    <w:lvl w:ilvl="0" w:tentative="0">
      <w:start w:val="1"/>
      <w:numFmt w:val="decimal"/>
      <w:lvlText w:val="%1."/>
      <w:lvlJc w:val="left"/>
      <w:pPr>
        <w:ind w:left="945" w:hanging="360"/>
      </w:pPr>
      <w:rPr>
        <w:rFonts w:hint="default"/>
      </w:rPr>
    </w:lvl>
    <w:lvl w:ilvl="1" w:tentative="0">
      <w:start w:val="1"/>
      <w:numFmt w:val="lowerLetter"/>
      <w:lvlText w:val="%2)"/>
      <w:lvlJc w:val="left"/>
      <w:pPr>
        <w:ind w:left="1425" w:hanging="420"/>
      </w:pPr>
    </w:lvl>
    <w:lvl w:ilvl="2" w:tentative="0">
      <w:start w:val="1"/>
      <w:numFmt w:val="lowerRoman"/>
      <w:lvlText w:val="%3."/>
      <w:lvlJc w:val="right"/>
      <w:pPr>
        <w:ind w:left="1845" w:hanging="420"/>
      </w:pPr>
    </w:lvl>
    <w:lvl w:ilvl="3" w:tentative="0">
      <w:start w:val="1"/>
      <w:numFmt w:val="decimal"/>
      <w:lvlText w:val="%4."/>
      <w:lvlJc w:val="left"/>
      <w:pPr>
        <w:ind w:left="2265" w:hanging="420"/>
      </w:pPr>
    </w:lvl>
    <w:lvl w:ilvl="4" w:tentative="0">
      <w:start w:val="1"/>
      <w:numFmt w:val="lowerLetter"/>
      <w:lvlText w:val="%5)"/>
      <w:lvlJc w:val="left"/>
      <w:pPr>
        <w:ind w:left="2685" w:hanging="420"/>
      </w:pPr>
    </w:lvl>
    <w:lvl w:ilvl="5" w:tentative="0">
      <w:start w:val="1"/>
      <w:numFmt w:val="lowerRoman"/>
      <w:lvlText w:val="%6."/>
      <w:lvlJc w:val="right"/>
      <w:pPr>
        <w:ind w:left="3105" w:hanging="420"/>
      </w:pPr>
    </w:lvl>
    <w:lvl w:ilvl="6" w:tentative="0">
      <w:start w:val="1"/>
      <w:numFmt w:val="decimal"/>
      <w:lvlText w:val="%7."/>
      <w:lvlJc w:val="left"/>
      <w:pPr>
        <w:ind w:left="3525" w:hanging="420"/>
      </w:pPr>
    </w:lvl>
    <w:lvl w:ilvl="7" w:tentative="0">
      <w:start w:val="1"/>
      <w:numFmt w:val="lowerLetter"/>
      <w:lvlText w:val="%8)"/>
      <w:lvlJc w:val="left"/>
      <w:pPr>
        <w:ind w:left="3945" w:hanging="420"/>
      </w:pPr>
    </w:lvl>
    <w:lvl w:ilvl="8" w:tentative="0">
      <w:start w:val="1"/>
      <w:numFmt w:val="lowerRoman"/>
      <w:lvlText w:val="%9."/>
      <w:lvlJc w:val="right"/>
      <w:pPr>
        <w:ind w:left="436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endnotePr>
    <w:numFmt w:val="decimal"/>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45CA"/>
    <w:rsid w:val="00034D0C"/>
    <w:rsid w:val="00036E4D"/>
    <w:rsid w:val="00037FEB"/>
    <w:rsid w:val="00071E24"/>
    <w:rsid w:val="000922F3"/>
    <w:rsid w:val="000A3EE2"/>
    <w:rsid w:val="000C464C"/>
    <w:rsid w:val="000D1D76"/>
    <w:rsid w:val="000F000D"/>
    <w:rsid w:val="000F070E"/>
    <w:rsid w:val="000F1EBD"/>
    <w:rsid w:val="000F38E6"/>
    <w:rsid w:val="00181AFA"/>
    <w:rsid w:val="001D2001"/>
    <w:rsid w:val="001D40B5"/>
    <w:rsid w:val="00220AB6"/>
    <w:rsid w:val="00282B7E"/>
    <w:rsid w:val="002F4056"/>
    <w:rsid w:val="00336212"/>
    <w:rsid w:val="00355A2E"/>
    <w:rsid w:val="0037258B"/>
    <w:rsid w:val="0039473D"/>
    <w:rsid w:val="003B6BA6"/>
    <w:rsid w:val="003C16EC"/>
    <w:rsid w:val="003E11DF"/>
    <w:rsid w:val="004166EA"/>
    <w:rsid w:val="00420911"/>
    <w:rsid w:val="004225A6"/>
    <w:rsid w:val="00491382"/>
    <w:rsid w:val="004A3C1B"/>
    <w:rsid w:val="004C7E10"/>
    <w:rsid w:val="00514B66"/>
    <w:rsid w:val="0051631B"/>
    <w:rsid w:val="00546464"/>
    <w:rsid w:val="0054709E"/>
    <w:rsid w:val="0054786D"/>
    <w:rsid w:val="005658D3"/>
    <w:rsid w:val="00593F87"/>
    <w:rsid w:val="005B7611"/>
    <w:rsid w:val="005D4D13"/>
    <w:rsid w:val="005E0986"/>
    <w:rsid w:val="00632EDA"/>
    <w:rsid w:val="006345CA"/>
    <w:rsid w:val="0063574D"/>
    <w:rsid w:val="00661981"/>
    <w:rsid w:val="00667DA1"/>
    <w:rsid w:val="006A3379"/>
    <w:rsid w:val="006C38E3"/>
    <w:rsid w:val="006D553C"/>
    <w:rsid w:val="00737A0A"/>
    <w:rsid w:val="007832B5"/>
    <w:rsid w:val="007C529D"/>
    <w:rsid w:val="007F264E"/>
    <w:rsid w:val="00832132"/>
    <w:rsid w:val="00834168"/>
    <w:rsid w:val="0085233F"/>
    <w:rsid w:val="0086399E"/>
    <w:rsid w:val="008A3611"/>
    <w:rsid w:val="008A4FC6"/>
    <w:rsid w:val="008B398D"/>
    <w:rsid w:val="008B66A7"/>
    <w:rsid w:val="008C61A8"/>
    <w:rsid w:val="008C7453"/>
    <w:rsid w:val="008D5F00"/>
    <w:rsid w:val="00910EA2"/>
    <w:rsid w:val="00934DFE"/>
    <w:rsid w:val="009477D0"/>
    <w:rsid w:val="0096194F"/>
    <w:rsid w:val="00974136"/>
    <w:rsid w:val="009C26F7"/>
    <w:rsid w:val="009C515C"/>
    <w:rsid w:val="00A1097C"/>
    <w:rsid w:val="00A75BAA"/>
    <w:rsid w:val="00AA524C"/>
    <w:rsid w:val="00AB1BD0"/>
    <w:rsid w:val="00AD7A10"/>
    <w:rsid w:val="00AF4347"/>
    <w:rsid w:val="00B01747"/>
    <w:rsid w:val="00B24B45"/>
    <w:rsid w:val="00B26797"/>
    <w:rsid w:val="00B71BCE"/>
    <w:rsid w:val="00B72326"/>
    <w:rsid w:val="00B80548"/>
    <w:rsid w:val="00BA0268"/>
    <w:rsid w:val="00BA0ED7"/>
    <w:rsid w:val="00BA3215"/>
    <w:rsid w:val="00BD2137"/>
    <w:rsid w:val="00BD75F7"/>
    <w:rsid w:val="00C03D65"/>
    <w:rsid w:val="00C313E9"/>
    <w:rsid w:val="00C32A15"/>
    <w:rsid w:val="00C34AB0"/>
    <w:rsid w:val="00C615EA"/>
    <w:rsid w:val="00C628FC"/>
    <w:rsid w:val="00C636BA"/>
    <w:rsid w:val="00C65169"/>
    <w:rsid w:val="00C661F3"/>
    <w:rsid w:val="00C70606"/>
    <w:rsid w:val="00CA239B"/>
    <w:rsid w:val="00CA3894"/>
    <w:rsid w:val="00CB3F2C"/>
    <w:rsid w:val="00CC3C33"/>
    <w:rsid w:val="00CD2737"/>
    <w:rsid w:val="00CD46A4"/>
    <w:rsid w:val="00D34979"/>
    <w:rsid w:val="00D43DFB"/>
    <w:rsid w:val="00D675E5"/>
    <w:rsid w:val="00D729AD"/>
    <w:rsid w:val="00DF467D"/>
    <w:rsid w:val="00DF4EB1"/>
    <w:rsid w:val="00E036D9"/>
    <w:rsid w:val="00E05024"/>
    <w:rsid w:val="00E27C62"/>
    <w:rsid w:val="00E40258"/>
    <w:rsid w:val="00E55FEA"/>
    <w:rsid w:val="00E72D15"/>
    <w:rsid w:val="00E76BA1"/>
    <w:rsid w:val="00E930B9"/>
    <w:rsid w:val="00EE5B00"/>
    <w:rsid w:val="00EF3373"/>
    <w:rsid w:val="00EF46C7"/>
    <w:rsid w:val="00F26520"/>
    <w:rsid w:val="00F325D0"/>
    <w:rsid w:val="00F56534"/>
    <w:rsid w:val="00F71FFB"/>
    <w:rsid w:val="00F83621"/>
    <w:rsid w:val="00F87324"/>
    <w:rsid w:val="00FA36AB"/>
    <w:rsid w:val="00FD56F5"/>
    <w:rsid w:val="00FF3D56"/>
    <w:rsid w:val="2F932325"/>
    <w:rsid w:val="32301414"/>
    <w:rsid w:val="44E74A1A"/>
    <w:rsid w:val="4C6D51E7"/>
    <w:rsid w:val="7B970E4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7">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Date"/>
    <w:basedOn w:val="1"/>
    <w:next w:val="1"/>
    <w:uiPriority w:val="0"/>
    <w:rPr>
      <w:rFonts w:ascii="仿宋_GB2312" w:eastAsia="仿宋_GB2312"/>
      <w:sz w:val="32"/>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5">
    <w:name w:val="footnote text"/>
    <w:basedOn w:val="1"/>
    <w:semiHidden/>
    <w:uiPriority w:val="0"/>
    <w:pPr>
      <w:snapToGrid w:val="0"/>
      <w:jc w:val="left"/>
    </w:pPr>
    <w:rPr>
      <w:sz w:val="18"/>
    </w:rPr>
  </w:style>
  <w:style w:type="character" w:styleId="8">
    <w:name w:val="page number"/>
    <w:basedOn w:val="7"/>
    <w:uiPriority w:val="0"/>
  </w:style>
  <w:style w:type="character" w:styleId="9">
    <w:name w:val="footnote reference"/>
    <w:semiHidden/>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JYK</Company>
  <Pages>6</Pages>
  <Words>288</Words>
  <Characters>1644</Characters>
  <Lines>13</Lines>
  <Paragraphs>3</Paragraphs>
  <TotalTime>0</TotalTime>
  <ScaleCrop>false</ScaleCrop>
  <LinksUpToDate>false</LinksUpToDate>
  <CharactersWithSpaces>1929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2010-01-04T14:00:00Z</dcterms:created>
  <dc:creator>LBH</dc:creator>
  <cp:lastModifiedBy>小兔子吐了</cp:lastModifiedBy>
  <cp:lastPrinted>2010-01-05T00:52:00Z</cp:lastPrinted>
  <dcterms:modified xsi:type="dcterms:W3CDTF">2026-10-06T08:02:55Z</dcterms:modified>
  <dc:title>附件二</dc:title>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2BCFE5EA2EAD4B2DBD02F400FFB153E9_13</vt:lpwstr>
  </property>
</Properties>
</file>