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A1E0" w:sz="18"/>
        </w:pBdr>
        <w:spacing w:after="0"/>
      </w:pPr>
      <w:r>
        <w:rPr>
          <w:b/>
          <w:bCs/>
          <w:color w:val="14181F"/>
          <w:sz w:val="44"/>
          <w:szCs w:val="44"/>
        </w:rPr>
        <w:t xml:space="preserve">Architecture — Assistant FAQ ESSEC</w:t>
      </w:r>
    </w:p>
    <w:p>
      <w:pPr>
        <w:spacing w:after="240" w:before="80"/>
      </w:pPr>
      <w:r>
        <w:rPr>
          <w:color w:val="5B6472"/>
          <w:sz w:val="22"/>
          <w:szCs w:val="22"/>
        </w:rPr>
        <w:t xml:space="preserve">Comment l’application est construite et comment l’information circule.</w:t>
      </w:r>
    </w:p>
    <w:p>
      <w:pPr>
        <w:pStyle w:val="Heading2"/>
        <w:spacing w:after="100" w:before="220"/>
      </w:pPr>
      <w:r>
        <w:rPr>
          <w:b/>
          <w:bCs/>
          <w:color w:val="1DA1E0"/>
          <w:sz w:val="26"/>
          <w:szCs w:val="26"/>
        </w:rPr>
        <w:t xml:space="preserve">Technologies utilisées</w:t>
      </w:r>
    </w:p>
    <w:p>
      <w:pPr>
        <w:spacing w:after="120"/>
        <w:jc w:val="center"/>
      </w:pPr>
      <w:r>
        <w:drawing>
          <wp:inline distT="0" distB="0" distL="0" distR="0">
            <wp:extent cx="60960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B6472"/>
          <w:sz w:val="20"/>
          <w:szCs w:val="20"/>
        </w:rPr>
        <w:t xml:space="preserve">Frontend en HTML / CSS / JavaScript (police Roboto) ; backend Node.js ≥ 18 sans aucune dépendance externe (modules natifs) ; recherche dans Elasticsearch (index myessec_faq) ; réponse rédigée par une IA au choix (Databricks / Claude Sonnet 4.5, Google Gemini ou Anthropic Claude) ; mise en boîte avec Docker et Docker Compose (image Node Alpine) ; versioning Git / GitHub et tests automatisés avec Playwright.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60" w:before="40"/>
        <w:ind w:left="200" w:right="120"/>
      </w:pPr>
      <w:r>
        <w:rPr>
          <w:b/>
          <w:bCs/>
          <w:color w:val="0C5A80"/>
          <w:sz w:val="22"/>
          <w:szCs w:val="22"/>
        </w:rPr>
        <w:t xml:space="preserve">Comment lire ce document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t xml:space="preserve">Le corps du document répond à votre demande : entrée, données et contexte, modèle et outils, sortie, validation humaine, puis chaque fichier et ce qu’il décide.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t xml:space="preserve">L’encadré final « 💡 Recommandations de Claude » regroupe mes observations et suggestions personnelles, que vous n’avez pas demandées.</w:t>
      </w:r>
    </w:p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1DA1E0"/>
          <w:sz w:val="26"/>
          <w:szCs w:val="26"/>
        </w:rPr>
        <w:t xml:space="preserve">Vue d’ensemble : le trajet d’une question</w:t>
      </w:r>
    </w:p>
    <w:p>
      <w:pPr>
        <w:spacing w:after="120" w:line="276"/>
      </w:pPr>
      <w:r>
        <w:t xml:space="preserve">1. L’étudiant pose une question dans le navigateur. 2. Le serveur cherche dans la FAQ (Elasticsearch). 3. Il reclasse les articles (titre et gras d’abord). 4. Il demande à l’IA de rédiger </w:t>
      </w:r>
      <w:r>
        <w:rPr>
          <w:b/>
          <w:bCs/>
        </w:rPr>
        <w:t xml:space="preserve">uniquement</w:t>
      </w:r>
      <w:r>
        <w:t xml:space="preserve"> à partir de ces articles. 5. Il ne garde la réponse que si l’IA se juge fiable (note ≥ 3). 6. Le navigateur affiche la réponse rédigée et jusqu’à 3 articles sources.</w:t>
      </w:r>
    </w:p>
    <w:p>
      <w:pPr>
        <w:spacing w:after="120" w:line="276"/>
      </w:pPr>
      <w:r>
        <w:t xml:space="preserve">Si aucune IA n’est configurée, l’étape 4 est remplacée par une </w:t>
      </w:r>
      <w:r>
        <w:rPr>
          <w:b/>
          <w:bCs/>
        </w:rPr>
        <w:t xml:space="preserve">synthèse sans IA</w:t>
      </w:r>
      <w:r>
        <w:t xml:space="preserve"> (assemblage des phrases de l’article le plus pertinent).</w:t>
      </w:r>
    </w:p>
    <w:p>
      <w:pPr>
        <w:pStyle w:val="Heading2"/>
        <w:spacing w:after="100" w:before="220"/>
      </w:pPr>
      <w:r>
        <w:rPr>
          <w:b/>
          <w:bCs/>
          <w:color w:val="1DA1E0"/>
          <w:sz w:val="26"/>
          <w:szCs w:val="26"/>
        </w:rPr>
        <w:t xml:space="preserve">Entrée</w:t>
      </w:r>
    </w:p>
    <w:p>
      <w:pPr>
        <w:spacing w:after="120" w:line="276"/>
      </w:pPr>
      <w:r>
        <w:t xml:space="preserve">Ce qui déclenche le traitement, c’est </w:t>
      </w:r>
      <w:r>
        <w:rPr>
          <w:b/>
          <w:bCs/>
        </w:rPr>
        <w:t xml:space="preserve">une question tapée par l’étudiant</w:t>
      </w:r>
      <w:r>
        <w:t xml:space="preserve">, puis envoyée. La question ne doit pas être vide et ne doit pas dépasser </w:t>
      </w:r>
      <w:r>
        <w:rPr>
          <w:b/>
          <w:bCs/>
        </w:rPr>
        <w:t xml:space="preserve">500 caractères</w:t>
      </w:r>
      <w:r>
        <w:t xml:space="preserve">.</w:t>
      </w:r>
    </w:p>
    <w:p>
      <w:pPr>
        <w:pStyle w:val="Heading2"/>
        <w:spacing w:after="100" w:before="220"/>
      </w:pPr>
      <w:r>
        <w:rPr>
          <w:b/>
          <w:bCs/>
          <w:color w:val="1DA1E0"/>
          <w:sz w:val="26"/>
          <w:szCs w:val="26"/>
        </w:rPr>
        <w:t xml:space="preserve">Données et contexte</w:t>
      </w:r>
    </w:p>
    <w:p>
      <w:pPr>
        <w:spacing w:after="120" w:line="276"/>
      </w:pPr>
      <w:r>
        <w:t xml:space="preserve">Le serveur ne s’appuie </w:t>
      </w:r>
      <w:r>
        <w:rPr>
          <w:b/>
          <w:bCs/>
        </w:rPr>
        <w:t xml:space="preserve">que</w:t>
      </w:r>
      <w:r>
        <w:t xml:space="preserve"> sur la FAQ officielle ESSEC, rangée dans </w:t>
      </w:r>
      <w:r>
        <w:rPr>
          <w:b/>
          <w:bCs/>
        </w:rPr>
        <w:t xml:space="preserve">Elasticsearch</w:t>
      </w:r>
      <w:r>
        <w:t xml:space="preserve"> (par défaut l’index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myessec_faq</w:t>
      </w:r>
      <w:r>
        <w:t xml:space="preserve">). Chaque article comporte un titre, un contenu (HTML), une adresse web et des catégories.</w:t>
      </w:r>
    </w:p>
    <w:p>
      <w:pPr>
        <w:spacing w:after="120" w:line="276"/>
      </w:pPr>
      <w:r>
        <w:t xml:space="preserve">Avant utilisation, les articles sont </w:t>
      </w:r>
      <w:r>
        <w:rPr>
          <w:b/>
          <w:bCs/>
        </w:rPr>
        <w:t xml:space="preserve">nettoyés</w:t>
      </w:r>
      <w:r>
        <w:t xml:space="preserve"> : suppression des balises HTML, décodage des caractères spéciaux, retrait de la mention « Last update ». Le </w:t>
      </w:r>
      <w:r>
        <w:rPr>
          <w:b/>
          <w:bCs/>
        </w:rPr>
        <w:t xml:space="preserve">contexte</w:t>
      </w:r>
      <w:r>
        <w:t xml:space="preserve"> fourni à l’IA est limité aux meilleurs articles retenus (tronqués à 1 500 caractères chacun) : l’IA n’a accès à aucune autre connaissance.</w:t>
      </w:r>
    </w:p>
    <w:p>
      <w:pPr>
        <w:pStyle w:val="Heading2"/>
        <w:spacing w:after="100" w:before="220"/>
      </w:pPr>
      <w:r>
        <w:rPr>
          <w:b/>
          <w:bCs/>
          <w:color w:val="1DA1E0"/>
          <w:sz w:val="26"/>
          <w:szCs w:val="26"/>
        </w:rPr>
        <w:t xml:space="preserve">Modèle et outils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Moteur de recherche</w:t>
      </w:r>
      <w:r>
        <w:t xml:space="preserve"> : Elasticsearch (priorité au titre ×3, tolérance aux fautes).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Reclassement « maison »</w:t>
      </w:r>
      <w:r>
        <w:t xml:space="preserve"> : favorise les articles dont le </w:t>
      </w:r>
      <w:r>
        <w:rPr>
          <w:b/>
          <w:bCs/>
        </w:rPr>
        <w:t xml:space="preserve">titre</w:t>
      </w:r>
      <w:r>
        <w:t xml:space="preserve"> et les </w:t>
      </w:r>
      <w:r>
        <w:rPr>
          <w:b/>
          <w:bCs/>
        </w:rPr>
        <w:t xml:space="preserve">passages en gras</w:t>
      </w:r>
      <w:r>
        <w:t xml:space="preserve"> contiennent les mots de la question.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Intelligence artificielle (facultative)</w:t>
      </w:r>
      <w:r>
        <w:t xml:space="preserve"> : un seul fournisseur, choisi par priorité — </w:t>
      </w:r>
      <w:r>
        <w:rPr>
          <w:b/>
          <w:bCs/>
        </w:rPr>
        <w:t xml:space="preserve">Databricks</w:t>
      </w:r>
      <w:r>
        <w:t xml:space="preserve"> (Claude Sonnet 4.5), puis </w:t>
      </w:r>
      <w:r>
        <w:rPr>
          <w:b/>
          <w:bCs/>
        </w:rPr>
        <w:t xml:space="preserve">Gemini</w:t>
      </w:r>
      <w:r>
        <w:t xml:space="preserve">, puis </w:t>
      </w:r>
      <w:r>
        <w:rPr>
          <w:b/>
          <w:bCs/>
        </w:rPr>
        <w:t xml:space="preserve">Anthropic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Consignes à l’IA</w:t>
      </w:r>
      <w:r>
        <w:t xml:space="preserve"> : rédiger en français, uniquement à partir des extraits, en 4 étapes (intention, rédaction, relecture/sourçage, auto-note 1 à 5).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Repli sans IA</w:t>
      </w:r>
      <w:r>
        <w:t xml:space="preserve"> : sélection des phrases du meilleur article qui recoupent la question.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Socle technique</w:t>
      </w:r>
      <w:r>
        <w:t xml:space="preserve"> : Node.js </w:t>
      </w:r>
      <w:r>
        <w:rPr>
          <w:b/>
          <w:bCs/>
        </w:rPr>
        <w:t xml:space="preserve">sans aucune bibliothèque externe</w:t>
      </w:r>
      <w:r>
        <w:t xml:space="preserve">.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Dockerfile</w:t>
      </w:r>
      <w:r>
        <w:t xml:space="preserve"> et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docker-compose.yml</w:t>
      </w:r>
      <w:r>
        <w:t xml:space="preserve"> pour l’exécution en conteneur.</w:t>
      </w:r>
    </w:p>
    <w:p>
      <w:pPr>
        <w:pStyle w:val="Heading2"/>
        <w:spacing w:after="100" w:before="220"/>
      </w:pPr>
      <w:r>
        <w:rPr>
          <w:b/>
          <w:bCs/>
          <w:color w:val="1DA1E0"/>
          <w:sz w:val="26"/>
          <w:szCs w:val="26"/>
        </w:rPr>
        <w:t xml:space="preserve">Sortie</w:t>
      </w:r>
    </w:p>
    <w:p>
      <w:pPr>
        <w:spacing w:after="120" w:line="276"/>
      </w:pPr>
      <w:r>
        <w:t xml:space="preserve">Le serveur renvoie : la </w:t>
      </w:r>
      <w:r>
        <w:rPr>
          <w:b/>
          <w:bCs/>
        </w:rPr>
        <w:t xml:space="preserve">réponse rédigée</w:t>
      </w:r>
      <w:r>
        <w:t xml:space="preserve"> (ou « Information non trouvée »), le </w:t>
      </w:r>
      <w:r>
        <w:rPr>
          <w:b/>
          <w:bCs/>
        </w:rPr>
        <w:t xml:space="preserve">mode</w:t>
      </w:r>
      <w:r>
        <w:t xml:space="preserve"> utilisé (IA ou synthèse), et la liste des </w:t>
      </w:r>
      <w:r>
        <w:rPr>
          <w:b/>
          <w:bCs/>
        </w:rPr>
        <w:t xml:space="preserve">articles sources</w:t>
      </w:r>
      <w:r>
        <w:t xml:space="preserve"> (au plus 3, avec titre, extrait, catégories et lien). Un point d’accès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/api/health</w:t>
      </w:r>
      <w:r>
        <w:t xml:space="preserve"> renvoie l’état du serveur.</w:t>
      </w:r>
    </w:p>
    <w:p>
      <w:pPr>
        <w:pStyle w:val="Heading2"/>
        <w:spacing w:after="100" w:before="220"/>
      </w:pPr>
      <w:r>
        <w:rPr>
          <w:b/>
          <w:bCs/>
          <w:color w:val="1DA1E0"/>
          <w:sz w:val="26"/>
          <w:szCs w:val="26"/>
        </w:rPr>
        <w:t xml:space="preserve">Validation humaine</w:t>
      </w:r>
    </w:p>
    <w:p>
      <w:pPr>
        <w:spacing w:after="120" w:line="276"/>
      </w:pPr>
      <w:r>
        <w:t xml:space="preserve">Deux garde-fous automatiques remplacent une relecture humaine à chaque réponse 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L’auto-note de l’IA</w:t>
      </w:r>
      <w:r>
        <w:t xml:space="preserve"> : la réponse n’est montrée que si l’IA s’attribue au moins 3 sur 5 et cite au moins un article.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b/>
          <w:bCs/>
        </w:rPr>
        <w:t xml:space="preserve">Le refus en cas de doute</w:t>
      </w:r>
      <w:r>
        <w:t xml:space="preserve"> : une panne de l’IA ou une base injoignable ne produit jamais de réponse inventée.</w:t>
      </w:r>
    </w:p>
    <w:p>
      <w:pPr>
        <w:spacing w:after="120" w:line="276"/>
      </w:pPr>
      <w:r>
        <w:t xml:space="preserve">En revanche, il n’y a </w:t>
      </w:r>
      <w:r>
        <w:rPr>
          <w:b/>
          <w:bCs/>
        </w:rPr>
        <w:t xml:space="preserve">pas de validation humaine en direct</w:t>
      </w:r>
      <w:r>
        <w:t xml:space="preserve"> ni de mécanisme de retour intégré. La supervision humaine se situe en amont : choix des accès, qualité de la FAQ indexée, réglages.</w:t>
      </w:r>
    </w:p>
    <w:p>
      <w:pPr>
        <w:pBdr>
          <w:bottom w:val="single" w:color="D0D7DE" w:sz="6"/>
        </w:pBdr>
        <w:spacing w:after="120" w:before="120"/>
      </w:pPr>
    </w:p>
    <w:p>
      <w:pPr>
        <w:pStyle w:val="Heading2"/>
        <w:spacing w:after="100" w:before="220"/>
      </w:pPr>
      <w:r>
        <w:rPr>
          <w:b/>
          <w:bCs/>
          <w:color w:val="1DA1E0"/>
          <w:sz w:val="26"/>
          <w:szCs w:val="26"/>
        </w:rPr>
        <w:t xml:space="preserve">Chaque fichier, et ce qu’il décide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server.js — le cerveau (côté serveur)</w:t>
      </w:r>
    </w:p>
    <w:p>
      <w:pPr>
        <w:spacing w:after="120" w:line="276"/>
      </w:pPr>
      <w:r>
        <w:t xml:space="preserve">Fichier central. Il </w:t>
      </w:r>
      <w:r>
        <w:rPr>
          <w:b/>
          <w:bCs/>
        </w:rPr>
        <w:t xml:space="preserve">décide de tout le traitement</w:t>
      </w:r>
      <w:r>
        <w:t xml:space="preserve"> : lire la configuration, interroger Elasticsearch, reclasser, appeler (ou non) l’IA, appliquer le garde-fou de la note, choisir les sources, renvoyer le résultat, </w:t>
      </w:r>
      <w:r>
        <w:rPr>
          <w:b/>
          <w:bCs/>
        </w:rPr>
        <w:t xml:space="preserve">choisir le fournisseur d’IA</w:t>
      </w:r>
      <w:r>
        <w:t xml:space="preserve"> et </w:t>
      </w:r>
      <w:r>
        <w:rPr>
          <w:b/>
          <w:bCs/>
        </w:rPr>
        <w:t xml:space="preserve">servir la page web</w:t>
      </w:r>
      <w:r>
        <w:t xml:space="preserve"> et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/api/health</w:t>
      </w:r>
      <w:r>
        <w:t xml:space="preserve">.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public/index.html — la page vue par l’étudiant</w:t>
      </w:r>
    </w:p>
    <w:p>
      <w:pPr>
        <w:spacing w:after="120" w:line="276"/>
      </w:pPr>
      <w:r>
        <w:t xml:space="preserve">Contient toute l’interface. Il </w:t>
      </w:r>
      <w:r>
        <w:rPr>
          <w:b/>
          <w:bCs/>
        </w:rPr>
        <w:t xml:space="preserve">décide de l’affichage</w:t>
      </w:r>
      <w:r>
        <w:t xml:space="preserve"> (envoi de la question, chargement, mise en forme, suggestions, erreurs) mais </w:t>
      </w:r>
      <w:r>
        <w:rPr>
          <w:b/>
          <w:bCs/>
        </w:rPr>
        <w:t xml:space="preserve">aucune</w:t>
      </w:r>
      <w:r>
        <w:t xml:space="preserve"> décision sur le contenu de la réponse.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public/logo-essec.svg — le logo officiel</w:t>
      </w:r>
    </w:p>
    <w:p>
      <w:pPr>
        <w:spacing w:after="120" w:line="276"/>
      </w:pPr>
      <w:r>
        <w:t xml:space="preserve">Image vectorielle du logo ESSEC. Aucun rôle logique.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.env.example — le modèle de configuration</w:t>
      </w:r>
    </w:p>
    <w:p>
      <w:pPr>
        <w:spacing w:after="120" w:line="276"/>
      </w:pPr>
      <w:r>
        <w:t xml:space="preserve">Liste les réglages à renseigner. Recopié en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.env</w:t>
      </w:r>
      <w:r>
        <w:t xml:space="preserve">, il </w:t>
      </w:r>
      <w:r>
        <w:rPr>
          <w:b/>
          <w:bCs/>
        </w:rPr>
        <w:t xml:space="preserve">décide du comportement</w:t>
      </w:r>
      <w:r>
        <w:t xml:space="preserve"> : quelle base, quelle IA, combien de sources, quel seuil.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.env (non versionné) — la vraie configuration</w:t>
      </w:r>
    </w:p>
    <w:p>
      <w:pPr>
        <w:spacing w:after="120" w:line="276"/>
      </w:pPr>
      <w:r>
        <w:t xml:space="preserve">Contient les </w:t>
      </w:r>
      <w:r>
        <w:rPr>
          <w:b/>
          <w:bCs/>
        </w:rPr>
        <w:t xml:space="preserve">vraies clés</w:t>
      </w:r>
      <w:r>
        <w:t xml:space="preserve">. </w:t>
      </w:r>
      <w:r>
        <w:rPr>
          <w:b/>
          <w:bCs/>
        </w:rPr>
        <w:t xml:space="preserve">Jamais</w:t>
      </w:r>
      <w:r>
        <w:t xml:space="preserve"> envoyé sur Git (protégé par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.gitignore</w:t>
      </w:r>
      <w:r>
        <w:t xml:space="preserve">). C’est lui que lit le serveur au démarrage.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test-rag.mjs — le banc d’essai</w:t>
      </w:r>
    </w:p>
    <w:p>
      <w:pPr>
        <w:spacing w:after="120" w:line="276"/>
      </w:pPr>
      <w:r>
        <w:t xml:space="preserve">Valide toute la chaîne sans les vrais services (faux Elasticsearch, faux Gemini, faux Databricks) avec des questions pièges. Ne fait pas partie de l’application en production.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README.md — la notice</w:t>
      </w:r>
    </w:p>
    <w:p>
      <w:pPr>
        <w:spacing w:after="120" w:line="276"/>
      </w:pPr>
      <w:r>
        <w:t xml:space="preserve">Explique le projet et comment le lancer. (Voir mes observations sur son décalage avec le code dans l’encadré « 💡 Recommandations de Claude » en fin de document.)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Dockerfile et docker-compose.yml — la mise en boîte</w:t>
      </w:r>
    </w:p>
    <w:p>
      <w:pPr>
        <w:spacing w:after="120" w:line="276"/>
      </w:pPr>
      <w:r>
        <w:t xml:space="preserve">Décrivent comment empaqueter et lancer l’application (image Node, port, variables, vérification de santé). (Voir mes observations en fin de document.)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.dockerignore / .gitignore — les listes d’exclusion</w:t>
      </w:r>
    </w:p>
    <w:p>
      <w:pPr>
        <w:spacing w:after="120" w:line="276"/>
      </w:pPr>
      <w:r>
        <w:t xml:space="preserve">Indiquent ce qu’il ne faut pas copier dans l’image Docker, respectivement ce qu’il ne faut pas envoyer sur Git (notamment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.env</w:t>
      </w:r>
      <w:r>
        <w:t xml:space="preserve">).</w:t>
      </w:r>
    </w:p>
    <w:p>
      <w:pPr>
        <w:pStyle w:val="Heading3"/>
        <w:spacing w:after="60" w:before="160"/>
      </w:pPr>
      <w:r>
        <w:rPr>
          <w:b/>
          <w:bCs/>
          <w:color w:val="14181F"/>
          <w:sz w:val="22"/>
          <w:szCs w:val="22"/>
        </w:rPr>
        <w:t xml:space="preserve">package.json — la fiche d’identité</w:t>
      </w:r>
    </w:p>
    <w:p>
      <w:pPr>
        <w:spacing w:after="120" w:line="276"/>
      </w:pPr>
      <w:r>
        <w:t xml:space="preserve">Nom, version, commandes de démarrage (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npm start</w:t>
      </w:r>
      <w:r>
        <w:t xml:space="preserve">), Node requis (≥ 18). Confirme l’absence de dépendances externes.</w:t>
      </w:r>
    </w:p>
    <w:p>
      <w:pPr>
        <w:pBdr>
          <w:bottom w:val="single" w:color="D0D7DE" w:sz="6"/>
        </w:pBdr>
        <w:spacing w:after="120" w:before="120"/>
      </w:pP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60" w:before="40"/>
        <w:ind w:left="200" w:right="120"/>
      </w:pPr>
      <w:r>
        <w:rPr>
          <w:b/>
          <w:bCs/>
          <w:color w:val="0C5A80"/>
          <w:sz w:val="22"/>
          <w:szCs w:val="22"/>
        </w:rPr>
        <w:t xml:space="preserve">💡 Recommandations de Claude (non demandées)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200" w:right="120" w:hanging="0"/>
      </w:pPr>
      <w:r>
        <w:t xml:space="preserve">Cette section n’a pas été demandée. Ce sont des incohérences que j’ai relevées dans le projet et les corrections que je suggère, à prendre ou à laisser. Elles n’empêchent pas l’application de fonctionner en local avec Databricks.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200" w:right="120" w:hanging="0"/>
      </w:pPr>
      <w:r>
        <w:t xml:space="preserve">Constats (faits observés dans le code) :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rPr>
          <w:b/>
          <w:bCs/>
        </w:rPr>
        <w:t xml:space="preserve">La notice (`README.md`) est en retard sur le code</w:t>
      </w:r>
      <w:r>
        <w:t xml:space="preserve"> : elle ne parle que d’Anthropic, alors que le code gère en priorité Databricks, puis Gemini, puis Anthropic ; elle ne mentionne ni Databricks, ni Gemini, ni les réglages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SCORE_MIN</w:t>
      </w:r>
      <w:r>
        <w:t xml:space="preserve"> et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SYNTH_MIN_COVERAGE</w:t>
      </w:r>
      <w:r>
        <w:t xml:space="preserve">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rPr>
          <w:b/>
          <w:bCs/>
        </w:rPr>
        <w:t xml:space="preserve">Le déploiement Docker ne connaît pas Databricks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docker-compose.yml</w:t>
      </w:r>
      <w:r>
        <w:t xml:space="preserve"> ne transmet que les variables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ANTHROPIC_*</w:t>
      </w:r>
      <w:r>
        <w:t xml:space="preserve">. En conteneur, l’app n’utiliserait pas Databricks ni Gemini et retomberait sur Anthropic (ou le mode sans IA).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rPr>
          <w:b/>
          <w:bCs/>
        </w:rPr>
        <w:t xml:space="preserve">Le fichier `.env.example` ne liste pas Gemini ni Anthropic</w:t>
      </w:r>
      <w:r>
        <w:t xml:space="preserve">, alors qu’ils existent dans le code comme solutions de repli.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rPr>
          <w:b/>
          <w:bCs/>
        </w:rPr>
        <w:t xml:space="preserve">Modèle Anthropic par défaut différent</w:t>
      </w:r>
      <w:r>
        <w:t xml:space="preserve"> :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claude-sonnet-5</w:t>
      </w:r>
      <w:r>
        <w:t xml:space="preserve"> dans le code vs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claude-3-5-haiku-latest</w:t>
      </w:r>
      <w:r>
        <w:t xml:space="preserve"> dans Docker.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500" w:right="120" w:hanging="180"/>
      </w:pPr>
      <w:r>
        <w:rPr>
          <w:color w:val="1DA1E0"/>
        </w:rPr>
        <w:t xml:space="preserve">•  </w:t>
      </w:r>
      <w:r>
        <w:rPr>
          <w:b/>
          <w:bCs/>
        </w:rPr>
        <w:t xml:space="preserve">Le parcours Anthropic n’est pas testé directement</w:t>
      </w:r>
      <w:r>
        <w:t xml:space="preserve"> (le banc d’essai couvre Gemini, Databricks et le mode sans IA).</w:t>
      </w:r>
    </w:p>
    <w:p>
      <w:pPr>
        <w:pBdr>
          <w:top w:val="single" w:color="CDE8F7" w:sz="4"/>
          <w:bottom w:val="single" w:color="CDE8F7" w:sz="4"/>
          <w:left w:val="single" w:color="1DA1E0" w:sz="24"/>
          <w:right w:val="single" w:color="CDE8F7" w:sz="4"/>
        </w:pBdr>
        <w:shd w:fill="EAF6FC" w:color="auto" w:val="clear"/>
        <w:spacing w:after="40" w:line="264"/>
        <w:ind w:left="200" w:right="120" w:hanging="0"/>
      </w:pPr>
      <w:r>
        <w:t xml:space="preserve">Ce que je suggère : aligner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docker-compose.yml</w:t>
      </w:r>
      <w:r>
        <w:t xml:space="preserve"> et </w:t>
      </w:r>
      <w:r>
        <w:rPr>
          <w:rFonts w:ascii="Consolas" w:cs="Consolas" w:eastAsia="Consolas" w:hAnsi="Consolas"/>
          <w:sz w:val="20"/>
          <w:szCs w:val="20"/>
          <w:shd w:fill="F0F0F0" w:color="auto" w:val="clear"/>
        </w:rPr>
        <w:t xml:space="preserve">.env.example</w:t>
      </w:r>
      <w:r>
        <w:t xml:space="preserve"> sur le code (priorité Databricks), uniformiser le modèle Anthropic par défaut, et vérifier les noms de modèles auprès des fournisseurs.</w:t>
      </w:r>
    </w:p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8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85fd8b4767189dbbfda1019cc361f3e9b0814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2026-09-22T13:05:37.309Z</dcterms:created>
  <dcterms:modified xsi:type="dcterms:W3CDTF">2026-09-22T13:05:37.309Z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