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sz w:val="24"/>
        </w:rPr>
        <w:t>CHAPTER I</w:t>
      </w:r>
    </w:p>
    <w:p>
      <w:pPr>
        <w:spacing w:after="280"/>
        <w:jc w:val="center"/>
      </w:pPr>
      <w:r>
        <w:rPr>
          <w:rFonts w:ascii="Times New Roman" w:hAnsi="Times New Roman"/>
          <w:b/>
          <w:sz w:val="24"/>
        </w:rPr>
        <w:t>INTRODUCTION</w:t>
      </w:r>
    </w:p>
    <w:p>
      <w:pPr>
        <w:pStyle w:val="Heading2"/>
      </w:pPr>
      <w:r>
        <w:t>Project Context</w:t>
      </w:r>
    </w:p>
    <w:p>
      <w:pPr>
        <w:pStyle w:val="Heading3"/>
      </w:pPr>
      <w:r>
        <w:t>Overview</w:t>
      </w:r>
    </w:p>
    <w:p>
      <w:pPr>
        <w:widowControl/>
        <w:ind w:firstLine="720"/>
      </w:pPr>
      <w:r>
        <w:rPr>
          <w:rFonts w:ascii="Times New Roman" w:hAnsi="Times New Roman"/>
          <w:sz w:val="24"/>
        </w:rPr>
        <w:t>Information technology had become an essential part of health service delivery because clinical decisions depended on records that were accurate, available, and protected. Within a higher-education institution, the school clinic served students, faculty members, and staff while also handling consultations, appointments, emergency cases, health requirements, medical clearances, medicine stocks, and confidential documents. These activities produced information that had to remain connected to the correct patient and available only to authorized users.</w:t>
      </w:r>
    </w:p>
    <w:p>
      <w:pPr>
        <w:widowControl/>
        <w:ind w:firstLine="720"/>
      </w:pPr>
      <w:r>
        <w:rPr>
          <w:rFonts w:ascii="Times New Roman" w:hAnsi="Times New Roman"/>
          <w:sz w:val="24"/>
        </w:rPr>
        <w:t>CLINICKA was developed as a web-based school clinic management system for Brokenshire College in Davao City. The project organized patient registration, electronic health records, clinic visits, appointments, requirement evidence, medical clearances, external vaccination history, health screening, certificates, emergencies, medicine inventory, dispensing, notifications, reports, and audit events in one institutional workspace. It was designed as a focused campus clinic system rather than a hospital information system.</w:t>
      </w:r>
    </w:p>
    <w:p>
      <w:pPr>
        <w:widowControl/>
        <w:ind w:firstLine="720"/>
      </w:pPr>
      <w:r>
        <w:rPr>
          <w:rFonts w:ascii="Times New Roman" w:hAnsi="Times New Roman"/>
          <w:sz w:val="24"/>
        </w:rPr>
        <w:t>The project was selected because fragmented records and disconnected tracking tools could make routine clinic work slower and could weaken the continuity of information. A patient profile might need to be consulted during an appointment, a consultation, a clearance review, or medicine dispensing. When these records were handled through separate documents or lists, clinic personnel could spend additional time searching, reconciling, or confirming information. The project therefore treated the patient record as the center of related clinical and administrative transactions.</w:t>
      </w:r>
    </w:p>
    <w:p>
      <w:pPr>
        <w:pStyle w:val="Heading3"/>
      </w:pPr>
      <w:r>
        <w:t>Current Situation</w:t>
      </w:r>
    </w:p>
    <w:p>
      <w:pPr>
        <w:widowControl/>
        <w:ind w:firstLine="720"/>
      </w:pPr>
      <w:r>
        <w:rPr>
          <w:rFonts w:ascii="Times New Roman" w:hAnsi="Times New Roman"/>
          <w:sz w:val="24"/>
        </w:rPr>
        <w:t>School health services managed large amounts of student health information. Johnson and Guthrie (2012) explained that electronic documentation systems were essential to effective school nursing because they supported the organized use of student health data. Baker and Gance-Cleveland (2021) likewise found that communication between school nurses and external health systems was often limited by reliance on telephone, fax, and traditional mail. These findings showed that school health work benefited when information was structured, retrievable, and connected across care activities.</w:t>
      </w:r>
    </w:p>
    <w:p>
      <w:pPr>
        <w:widowControl/>
        <w:ind w:firstLine="720"/>
      </w:pPr>
      <w:r>
        <w:rPr>
          <w:rFonts w:ascii="Times New Roman" w:hAnsi="Times New Roman"/>
          <w:sz w:val="24"/>
        </w:rPr>
        <w:t>General-purpose electronic medical record platforms offered extensive clinical capabilities, but their breadth could exceed the needs of a single college clinic. OpenMRS, for example, supported registration, appointments, queues, clinical documentation, inventory, reporting, permissions, and interoperability (OpenMRS, n.d.). CLINICKA used comparable principles but concentrated on the narrower workflows of Brokenshire College, including institutional patient types, academic periods, school health requirements, self-service evidence submission, and medical clearance review.</w:t>
      </w:r>
    </w:p>
    <w:p>
      <w:pPr>
        <w:widowControl/>
        <w:ind w:firstLine="720"/>
      </w:pPr>
      <w:r>
        <w:rPr>
          <w:rFonts w:ascii="Times New Roman" w:hAnsi="Times New Roman"/>
          <w:sz w:val="24"/>
        </w:rPr>
        <w:t>The operational gap addressed by the project was not merely the absence of digital forms. It involved the absence of a unified workflow in which identity, clinical encounters, supporting documents, academic requirements, clearances, and medicine transactions could be validated together. The project also recognized that convenience could not replace privacy. Under Republic Act No. 10173, health and education information were classified as sensitive personal information, making authorization, confidentiality, and appropriate safeguards central system requirements (Republic of the Philippines, 2012).</w:t>
      </w:r>
    </w:p>
    <w:p>
      <w:pPr>
        <w:pStyle w:val="Heading3"/>
      </w:pPr>
      <w:r>
        <w:t>Significance of the Project</w:t>
      </w:r>
    </w:p>
    <w:p>
      <w:pPr>
        <w:widowControl/>
        <w:ind w:firstLine="720"/>
      </w:pPr>
      <w:r>
        <w:rPr>
          <w:rFonts w:ascii="Times New Roman" w:hAnsi="Times New Roman"/>
          <w:sz w:val="24"/>
        </w:rPr>
        <w:t>The project was significant to clinic personnel because it provided a consistent workspace for daily operations. Clinic nurses and authorized staff could locate patient records, manage queues and appointments, document visits, review submitted evidence, process clearances, monitor medicine batches, and record dispensing activities without maintaining separate operational lists for each function. Physicians could review and document appropriate clinical information, while administrators could manage users, academic periods, reports, and audit records according to assigned permissions.</w:t>
      </w:r>
    </w:p>
    <w:p>
      <w:pPr>
        <w:widowControl/>
        <w:ind w:firstLine="720"/>
      </w:pPr>
      <w:r>
        <w:rPr>
          <w:rFonts w:ascii="Times New Roman" w:hAnsi="Times New Roman"/>
          <w:sz w:val="24"/>
        </w:rPr>
        <w:t>The project was significant to students, faculty members, and staff because it supported controlled self-service. Institutional users could access only the patient-linked information permitted to them, submit medical results for requirements, request a medical clearance, and track the review status. This ownership-based design reduced the need to expose general patient lists or accept arbitrary patient identifiers from self-service users.</w:t>
      </w:r>
    </w:p>
    <w:p>
      <w:pPr>
        <w:widowControl/>
        <w:ind w:firstLine="720"/>
      </w:pPr>
      <w:r>
        <w:rPr>
          <w:rFonts w:ascii="Times New Roman" w:hAnsi="Times New Roman"/>
          <w:sz w:val="24"/>
        </w:rPr>
        <w:t>The project was also significant from an information-governance perspective. The World Health Organization (2021) emphasized that effective digital health initiatives required coordinated organizational, human, financial, and technological resources, together with privacy and security safeguards. CLINICKA translated these principles into a campus setting through role-based authorization, patient ownership checks, private document access, audit logging, production environment validation, separate authentication secrets, redacted logging, and controlled retention practices.</w:t>
      </w:r>
    </w:p>
    <w:p>
      <w:pPr>
        <w:pStyle w:val="Heading2"/>
      </w:pPr>
      <w:r>
        <w:t>Purpose and Description</w:t>
      </w:r>
    </w:p>
    <w:p>
      <w:pPr>
        <w:pStyle w:val="Heading3"/>
      </w:pPr>
      <w:r>
        <w:t>Purpose</w:t>
      </w:r>
    </w:p>
    <w:p>
      <w:pPr>
        <w:widowControl/>
        <w:ind w:firstLine="720"/>
      </w:pPr>
      <w:r>
        <w:rPr>
          <w:rFonts w:ascii="Times New Roman" w:hAnsi="Times New Roman"/>
          <w:sz w:val="24"/>
        </w:rPr>
        <w:t>The main purpose of CLINICKA was to develop a secure and centralized web-based system that supported the clinical, administrative, and compliance workflows of the Brokenshire College clinic. The system was intended to improve the organization, availability, traceability, and protection of clinic information while reducing workflow fragmentation among patient records, visits, requirements, clearances, documents, and medicine transactions.</w:t>
      </w:r>
    </w:p>
    <w:p>
      <w:pPr>
        <w:pStyle w:val="Heading3"/>
      </w:pPr>
      <w:r>
        <w:t>Project Description</w:t>
      </w:r>
    </w:p>
    <w:p>
      <w:pPr>
        <w:widowControl/>
        <w:ind w:firstLine="720"/>
      </w:pPr>
      <w:r>
        <w:rPr>
          <w:rFonts w:ascii="Times New Roman" w:hAnsi="Times New Roman"/>
          <w:sz w:val="24"/>
        </w:rPr>
        <w:t>CLINICKA was implemented as a responsive web application with a React and TypeScript frontend, a NestJS REST application programming interface, a MySQL database, and Prisma Object Relational Mapping. It used JSON Web Token authentication with distinct access and refresh secrets, role-based access control, patient ownership authorization, input validation, private document handling, rate limiting, audit trails, and privacy-aware logging.</w:t>
      </w:r>
    </w:p>
    <w:p>
      <w:pPr>
        <w:widowControl/>
        <w:ind w:firstLine="720"/>
      </w:pPr>
      <w:r>
        <w:rPr>
          <w:rFonts w:ascii="Times New Roman" w:hAnsi="Times New Roman"/>
          <w:sz w:val="24"/>
        </w:rPr>
        <w:t>The system supported six principal account roles: administrator, clinic nurse, doctor, clinic staff, student, and faculty or staff. Its major functional areas included patient profiles and health records; appointment scheduling; clinic visit queue and consultation documentation; vital signs, diagnoses, treatment, and prescriptions; health requirement evidence; clearance requests and reviews; external vaccination history; screening and certificate records; emergency cases; medicine batches, stock movements, and dispensing; announcements and notifications; operational reports; and administrative audit records.</w:t>
      </w:r>
    </w:p>
    <w:p>
      <w:pPr>
        <w:widowControl/>
        <w:ind w:firstLine="720"/>
      </w:pPr>
      <w:r>
        <w:rPr>
          <w:rFonts w:ascii="Times New Roman" w:hAnsi="Times New Roman"/>
          <w:sz w:val="24"/>
        </w:rPr>
        <w:t>A distinguishing feature of the project was the integration of requirements with the clearance workflow. Students, faculty members, and staff could submit their medical results and other evidence, then request a clearance from the same workflow. Authorized clinic reviewers could inspect the submitted documents, verify or reject each requirement, and issue or reject the clearance only after the system re-evaluated the applicable requirements for the original academic year and semester. This preserved the historical context of the request and prevented an incomplete record from being treated as cleared.</w:t>
      </w:r>
    </w:p>
    <w:p>
      <w:pPr>
        <w:pStyle w:val="Heading2"/>
      </w:pPr>
      <w:r>
        <w:t>Objectives</w:t>
      </w:r>
    </w:p>
    <w:p>
      <w:pPr>
        <w:pStyle w:val="Heading3"/>
      </w:pPr>
      <w:r>
        <w:t>General Objective</w:t>
      </w:r>
    </w:p>
    <w:p>
      <w:pPr>
        <w:widowControl/>
        <w:ind w:firstLine="720"/>
      </w:pPr>
      <w:r>
        <w:rPr>
          <w:rFonts w:ascii="Times New Roman" w:hAnsi="Times New Roman"/>
          <w:sz w:val="24"/>
        </w:rPr>
        <w:t>The general objective of the project was to design and develop a secure web-based school clinic management system that centralized Brokenshire College clinic records and supported efficient, traceable, and role-appropriate health service workflows.</w:t>
      </w:r>
    </w:p>
    <w:p>
      <w:pPr>
        <w:pStyle w:val="Heading3"/>
      </w:pPr>
      <w:r>
        <w:t>Specific Objectives</w:t>
      </w:r>
    </w:p>
    <w:p>
      <w:pPr>
        <w:pStyle w:val="ListBullet"/>
        <w:spacing w:after="0"/>
        <w:ind w:left="720" w:hanging="360"/>
      </w:pPr>
      <w:r>
        <w:rPr>
          <w:rFonts w:ascii="Times New Roman" w:hAnsi="Times New Roman"/>
          <w:sz w:val="24"/>
        </w:rPr>
        <w:t>To create a centralized patient registry for students, faculty members, and staff, including identity, contact, allergy, condition, and emergency-contact information.</w:t>
      </w:r>
    </w:p>
    <w:p>
      <w:pPr>
        <w:pStyle w:val="ListBullet"/>
        <w:spacing w:after="0"/>
        <w:ind w:left="720" w:hanging="360"/>
      </w:pPr>
      <w:r>
        <w:rPr>
          <w:rFonts w:ascii="Times New Roman" w:hAnsi="Times New Roman"/>
          <w:sz w:val="24"/>
        </w:rPr>
        <w:t>To provide structured appointment, clinic queue, visit, vital-sign, consultation, diagnosis, treatment, prescription, emergency, screening, vaccination-history, and medical-certificate workflows.</w:t>
      </w:r>
    </w:p>
    <w:p>
      <w:pPr>
        <w:pStyle w:val="ListBullet"/>
        <w:spacing w:after="0"/>
        <w:ind w:left="720" w:hanging="360"/>
      </w:pPr>
      <w:r>
        <w:rPr>
          <w:rFonts w:ascii="Times New Roman" w:hAnsi="Times New Roman"/>
          <w:sz w:val="24"/>
        </w:rPr>
        <w:t>To allow patient-linked institutional users to submit private requirement evidence, request medical clearance, and view only their own permitted records.</w:t>
      </w:r>
    </w:p>
    <w:p>
      <w:pPr>
        <w:pStyle w:val="ListBullet"/>
        <w:spacing w:after="0"/>
        <w:ind w:left="720" w:hanging="360"/>
      </w:pPr>
      <w:r>
        <w:rPr>
          <w:rFonts w:ascii="Times New Roman" w:hAnsi="Times New Roman"/>
          <w:sz w:val="24"/>
        </w:rPr>
        <w:t>To enable authorized clinic reviewers to inspect evidence, record review notes, verify or reject requirements, and approve a clearance only when applicable requirements were satisfied.</w:t>
      </w:r>
    </w:p>
    <w:p>
      <w:pPr>
        <w:pStyle w:val="ListBullet"/>
        <w:spacing w:after="0"/>
        <w:ind w:left="720" w:hanging="360"/>
      </w:pPr>
      <w:r>
        <w:rPr>
          <w:rFonts w:ascii="Times New Roman" w:hAnsi="Times New Roman"/>
          <w:sz w:val="24"/>
        </w:rPr>
        <w:t>To manage medicines by batch, quantity, expiration date, stock movement, prescription context, and patient dispensing history.</w:t>
      </w:r>
    </w:p>
    <w:p>
      <w:pPr>
        <w:pStyle w:val="ListBullet"/>
        <w:spacing w:after="0"/>
        <w:ind w:left="720" w:hanging="360"/>
      </w:pPr>
      <w:r>
        <w:rPr>
          <w:rFonts w:ascii="Times New Roman" w:hAnsi="Times New Roman"/>
          <w:sz w:val="24"/>
        </w:rPr>
        <w:t>To enforce authentication, role permissions, ownership controls, input validation, private document authorization, audit logging, and privacy redaction for sensitive information.</w:t>
      </w:r>
    </w:p>
    <w:p>
      <w:pPr>
        <w:pStyle w:val="ListBullet"/>
        <w:spacing w:after="0"/>
        <w:ind w:left="720" w:hanging="360"/>
      </w:pPr>
      <w:r>
        <w:rPr>
          <w:rFonts w:ascii="Times New Roman" w:hAnsi="Times New Roman"/>
          <w:sz w:val="24"/>
        </w:rPr>
        <w:t>To preserve academic-year and semester context for historical requirements and clearance records and to reject invalid date or active-period configurations.</w:t>
      </w:r>
    </w:p>
    <w:p>
      <w:pPr>
        <w:pStyle w:val="ListBullet"/>
        <w:spacing w:after="0"/>
        <w:ind w:left="720" w:hanging="360"/>
      </w:pPr>
      <w:r>
        <w:rPr>
          <w:rFonts w:ascii="Times New Roman" w:hAnsi="Times New Roman"/>
          <w:sz w:val="24"/>
        </w:rPr>
        <w:t>To provide operational dashboards, reports, notifications, and reproducible automated tests for critical clinic workflows and permission failures.</w:t>
      </w:r>
    </w:p>
    <w:p>
      <w:pPr>
        <w:pStyle w:val="Heading2"/>
      </w:pPr>
      <w:r>
        <w:t>Scope and Limitations</w:t>
      </w:r>
    </w:p>
    <w:p>
      <w:pPr>
        <w:pStyle w:val="Heading3"/>
      </w:pPr>
      <w:r>
        <w:t>Scope</w:t>
      </w:r>
    </w:p>
    <w:p>
      <w:pPr>
        <w:widowControl/>
        <w:ind w:firstLine="720"/>
      </w:pPr>
      <w:r>
        <w:rPr>
          <w:rFonts w:ascii="Times New Roman" w:hAnsi="Times New Roman"/>
          <w:sz w:val="24"/>
        </w:rPr>
        <w:t>The project covered a single-institution deployment for the Brokenshire College clinic. It included authenticated web access for administrators, clinic nurses, doctors, clinic staff, students, and faculty or staff. Patient information covered demographic and institutional profiles, allergies, medical conditions, emergency contacts, longitudinal clinic visits, vital signs, consultations, diagnoses, treatments, prescriptions, screenings, external vaccination history, emergencies, certificates, private documents, requirements, and clearances.</w:t>
      </w:r>
    </w:p>
    <w:p>
      <w:pPr>
        <w:widowControl/>
        <w:ind w:firstLine="720"/>
      </w:pPr>
      <w:r>
        <w:rPr>
          <w:rFonts w:ascii="Times New Roman" w:hAnsi="Times New Roman"/>
          <w:sz w:val="24"/>
        </w:rPr>
        <w:t>Administrative and operational coverage included user and role management, academic-year and semester configuration, appointments, queue states, announcements, notifications, medicine master data, batch stock, stock-in and dispensing transactions, low-stock and expiration monitoring, audit events, and summary reports. The system enforced lifecycle rules, such as valid visit transitions, evidence review states, clearance eligibility checks, appointment states, patient archival, and inventory integrity.</w:t>
      </w:r>
    </w:p>
    <w:p>
      <w:pPr>
        <w:widowControl/>
        <w:ind w:firstLine="720"/>
      </w:pPr>
      <w:r>
        <w:rPr>
          <w:rFonts w:ascii="Times New Roman" w:hAnsi="Times New Roman"/>
          <w:sz w:val="24"/>
        </w:rPr>
        <w:t>The project included a browser-based user interface and a REST API backed by MySQL. It supported modern desktop and mobile browsers on a network capable of reaching the application server. The implementation included automated unit, frontend, authorization, and backend integration tests, including isolated test-database safeguards.</w:t>
      </w:r>
    </w:p>
    <w:p>
      <w:pPr>
        <w:pStyle w:val="Heading3"/>
      </w:pPr>
      <w:r>
        <w:t>Limitations</w:t>
      </w:r>
    </w:p>
    <w:p>
      <w:pPr>
        <w:widowControl/>
        <w:ind w:firstLine="720"/>
      </w:pPr>
      <w:r>
        <w:rPr>
          <w:rFonts w:ascii="Times New Roman" w:hAnsi="Times New Roman"/>
          <w:sz w:val="24"/>
        </w:rPr>
        <w:t>The project was limited to the workflows of one college clinic and was not designed to replace a hospital information system, laboratory information system, radiology system, pharmacy enterprise platform, or national health information exchange. It did not provide inpatient admission, billing, insurance claims, laboratory-device integration, diagnostic imaging, telemedicine, or a native mobile application.</w:t>
      </w:r>
    </w:p>
    <w:p>
      <w:pPr>
        <w:widowControl/>
        <w:ind w:firstLine="720"/>
      </w:pPr>
      <w:r>
        <w:rPr>
          <w:rFonts w:ascii="Times New Roman" w:hAnsi="Times New Roman"/>
          <w:sz w:val="24"/>
        </w:rPr>
        <w:t>The system depended on functioning server, database, storage, email, and network services. It did not provide full offline operation. External laboratory results and medical documents were submitted as authorized evidence rather than received directly from external providers. Interoperability standards such as HL7 FHIR informed future integration opportunities, but direct FHIR exchange was outside the implemented scope.</w:t>
      </w:r>
    </w:p>
    <w:p>
      <w:pPr>
        <w:widowControl/>
        <w:ind w:firstLine="720"/>
      </w:pPr>
      <w:r>
        <w:rPr>
          <w:rFonts w:ascii="Times New Roman" w:hAnsi="Times New Roman"/>
          <w:sz w:val="24"/>
        </w:rPr>
        <w:t>The accuracy and completeness of records depended on authorized users entering correct information and following institutional procedures. Technical controls reduced unauthorized access and invalid transitions but did not replace clinical judgment, privacy training, records-retention policy, backup procedures, incident response, or administrative review. Evaluation of long-term clinical outcomes, user satisfaction, and institution-wide performance after extended production use also remained outside the scope of this chapter.</w:t>
      </w:r>
    </w:p>
    <w:p>
      <w:r>
        <w:br w:type="page"/>
      </w:r>
    </w:p>
    <w:p>
      <w:pPr>
        <w:pStyle w:val="Heading2"/>
      </w:pPr>
      <w:r>
        <w:t>Review of Related Literature and Systems</w:t>
      </w:r>
    </w:p>
    <w:p>
      <w:pPr>
        <w:pStyle w:val="Heading3"/>
      </w:pPr>
      <w:r>
        <w:t>Review of Related Literature</w:t>
      </w:r>
    </w:p>
    <w:p>
      <w:pPr>
        <w:pStyle w:val="Heading3"/>
      </w:pPr>
      <w:r>
        <w:t>Digital Health and Integrated Information</w:t>
      </w:r>
    </w:p>
    <w:p>
      <w:pPr>
        <w:widowControl/>
        <w:ind w:firstLine="720"/>
      </w:pPr>
      <w:r>
        <w:rPr>
          <w:rFonts w:ascii="Times New Roman" w:hAnsi="Times New Roman"/>
          <w:sz w:val="24"/>
        </w:rPr>
        <w:t>The World Health Organization (2021) described digital health as the use of digital technologies to improve health and emphasized that successful initiatives required an integrated strategy rather than isolated applications. The strategy associated digital health with stronger health systems, better access to information, and patient empowerment, while also requiring governance, privacy, confidentiality, integrity, availability, and cybersecurity. These principles supported the design of CLINICKA as a coordinated set of clinic workflows rather than a collection of disconnected forms.</w:t>
      </w:r>
    </w:p>
    <w:p>
      <w:pPr>
        <w:widowControl/>
        <w:ind w:firstLine="720"/>
      </w:pPr>
      <w:r>
        <w:rPr>
          <w:rFonts w:ascii="Times New Roman" w:hAnsi="Times New Roman"/>
          <w:sz w:val="24"/>
        </w:rPr>
        <w:t>The World Health Organization (2025) further promoted integrated, interoperable, evidence-informed routine health information systems. Although CLINICKA operated at the institutional level, its centralized database and shared domain rules followed the same principle that information should be collected once, validated, and reused for service delivery and operational monitoring. Patient identity, academic context, visit records, requirement evidence, clearances, and inventory transactions were therefore linked through defined relationships.</w:t>
      </w:r>
    </w:p>
    <w:p>
      <w:pPr>
        <w:pStyle w:val="Heading3"/>
      </w:pPr>
      <w:r>
        <w:t>Electronic Records in School Health Services</w:t>
      </w:r>
    </w:p>
    <w:p>
      <w:pPr>
        <w:widowControl/>
        <w:ind w:firstLine="720"/>
      </w:pPr>
      <w:r>
        <w:rPr>
          <w:rFonts w:ascii="Times New Roman" w:hAnsi="Times New Roman"/>
          <w:sz w:val="24"/>
        </w:rPr>
        <w:t>Johnson and Guthrie (2012) observed that school nurses managed substantial volumes of student health information and argued that electronic documentation systems were essential for effective care. They identified standardized nursing language and implementation planning as relevant considerations. Their work supported the need for structured fields, consistent statuses, and defined workflows in a school clinic system.</w:t>
      </w:r>
    </w:p>
    <w:p>
      <w:pPr>
        <w:widowControl/>
        <w:ind w:firstLine="720"/>
      </w:pPr>
      <w:r>
        <w:rPr>
          <w:rFonts w:ascii="Times New Roman" w:hAnsi="Times New Roman"/>
          <w:sz w:val="24"/>
        </w:rPr>
        <w:t>Baker and Gance-Cleveland (2021) reviewed the use of electronic health records to connect school nurses with health care systems. They reported that care coordination was often hindered by telephone, fax, and traditional mail and identified legal and logistical issues in electronic access. Their findings reinforced the need for controlled document submission, clear authorization boundaries, and traceable review activity in CLINICKA.</w:t>
      </w:r>
    </w:p>
    <w:p>
      <w:pPr>
        <w:widowControl/>
        <w:ind w:firstLine="720"/>
      </w:pPr>
      <w:r>
        <w:rPr>
          <w:rFonts w:ascii="Times New Roman" w:hAnsi="Times New Roman"/>
          <w:sz w:val="24"/>
        </w:rPr>
        <w:t>Baker et al. (2022) examined school nurse access to hospital-based electronic records for 336 students. They reported a 34 percent decrease in emergency department visits and a 44 percent decrease in inpatient hospitalizations after access was introduced. The study did not establish that any school clinic system would automatically produce the same outcomes, but it demonstrated the practical value of timely and accurate health information for coordination. CLINICKA addressed the institutional side of that need by making authorized campus health information available within the clinic workflow.</w:t>
      </w:r>
    </w:p>
    <w:p>
      <w:pPr>
        <w:pStyle w:val="Heading3"/>
      </w:pPr>
      <w:r>
        <w:t>Privacy and Security of Health Information</w:t>
      </w:r>
    </w:p>
    <w:p>
      <w:pPr>
        <w:widowControl/>
        <w:ind w:firstLine="720"/>
      </w:pPr>
      <w:r>
        <w:rPr>
          <w:rFonts w:ascii="Times New Roman" w:hAnsi="Times New Roman"/>
          <w:sz w:val="24"/>
        </w:rPr>
        <w:t>Republic Act No. 10173 classified information about health and education as sensitive personal information and required appropriate conditions and safeguards for its processing (Republic of the Philippines, 2012). This legal context meant that a school clinic system had to limit access according to purpose and authority. CLINICKA applied this requirement through authenticated roles, permission checks, patient ownership rules, private document authorization, audit records, secret validation, safe production errors, and log redaction.</w:t>
      </w:r>
    </w:p>
    <w:p>
      <w:pPr>
        <w:widowControl/>
        <w:ind w:firstLine="720"/>
      </w:pPr>
      <w:r>
        <w:rPr>
          <w:rFonts w:ascii="Times New Roman" w:hAnsi="Times New Roman"/>
          <w:sz w:val="24"/>
        </w:rPr>
        <w:t>The HL7 FHIR specification explained that digitized health records needed to be available, discoverable, understandable, structured, and standardized for exchange and automated processing (HL7 International, 2023). CLINICKA did not implement FHIR exchange within the project scope, but its modular API and structured relational data model created a clearer foundation for later interoperability than unstructured files alone.</w:t>
      </w:r>
    </w:p>
    <w:p>
      <w:pPr>
        <w:pStyle w:val="Heading3"/>
      </w:pPr>
      <w:r>
        <w:t>Review of Related Systems</w:t>
      </w:r>
    </w:p>
    <w:p>
      <w:pPr>
        <w:widowControl/>
        <w:ind w:firstLine="720"/>
      </w:pPr>
      <w:r>
        <w:rPr>
          <w:rFonts w:ascii="Times New Roman" w:hAnsi="Times New Roman"/>
          <w:sz w:val="24"/>
        </w:rPr>
        <w:t>OpenMRS was reviewed as a major open-source electronic medical record platform. It supported registration, appointments, queues, clinical documentation, diagnosis tracking, inventory, dispensing, reporting, granular privileges, audit logging, REST interfaces, and FHIR integration (OpenMRS, n.d.). Its strengths included configurability, broad clinical coverage, open standards, and a large implementation community. Its breadth, however, reflected health-facility and multi-program use cases that required configuration and implementation effort beyond the focused needs of a college clinic.</w:t>
      </w:r>
    </w:p>
    <w:p>
      <w:pPr>
        <w:widowControl/>
        <w:ind w:firstLine="720"/>
      </w:pPr>
      <w:r>
        <w:rPr>
          <w:rFonts w:ascii="Times New Roman" w:hAnsi="Times New Roman"/>
          <w:sz w:val="24"/>
        </w:rPr>
        <w:t>CLINICKA differed by embedding academic and institutional concepts directly into the workflow. It classified patients as students, faculty members, or staff; retained academic-year and semester context; connected medical evidence to school health requirements; provided self-service clearance requests; and constrained patient-facing access through the user-to-patient relationship. It also integrated clinic queue, clinical records, certificates, external vaccination history, requirements, clearances, medicine stock, and dispensing around a single campus-oriented patient record.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2160"/>
        <w:gridCol w:w="2160"/>
        <w:gridCol w:w="2160"/>
      </w:tblGrid>
      <w:tr>
        <w:tc>
          <w:tcPr>
            <w:tcW w:type="dxa" w:w="1728"/>
            <w:vAlign w:val="center"/>
            <w:tcMar>
              <w:top w:w="90" w:type="dxa"/>
              <w:start w:w="100" w:type="dxa"/>
              <w:bottom w:w="90" w:type="dxa"/>
              <w:end w:w="100" w:type="dxa"/>
            </w:tcMar>
            <w:shd w:fill="1F4E78"/>
          </w:tcPr>
          <w:p>
            <w:pPr>
              <w:spacing w:after="0" w:line="240" w:lineRule="auto"/>
            </w:pPr>
            <w:r>
              <w:rPr>
                <w:rFonts w:ascii="Times New Roman" w:hAnsi="Times New Roman"/>
                <w:b/>
                <w:color w:val="FFFFFF"/>
                <w:sz w:val="24"/>
              </w:rPr>
              <w:t>Criterion</w:t>
            </w:r>
          </w:p>
        </w:tc>
        <w:tc>
          <w:tcPr>
            <w:tcW w:type="dxa" w:w="2448"/>
            <w:vAlign w:val="center"/>
            <w:tcMar>
              <w:top w:w="90" w:type="dxa"/>
              <w:start w:w="100" w:type="dxa"/>
              <w:bottom w:w="90" w:type="dxa"/>
              <w:end w:w="100" w:type="dxa"/>
            </w:tcMar>
            <w:shd w:fill="1F4E78"/>
          </w:tcPr>
          <w:p>
            <w:pPr>
              <w:spacing w:after="0" w:line="240" w:lineRule="auto"/>
            </w:pPr>
            <w:r>
              <w:rPr>
                <w:rFonts w:ascii="Times New Roman" w:hAnsi="Times New Roman"/>
                <w:b/>
                <w:color w:val="FFFFFF"/>
                <w:sz w:val="24"/>
              </w:rPr>
              <w:t>OpenMRS</w:t>
            </w:r>
          </w:p>
        </w:tc>
        <w:tc>
          <w:tcPr>
            <w:tcW w:type="dxa" w:w="2592"/>
            <w:vAlign w:val="center"/>
            <w:tcMar>
              <w:top w:w="90" w:type="dxa"/>
              <w:start w:w="100" w:type="dxa"/>
              <w:bottom w:w="90" w:type="dxa"/>
              <w:end w:w="100" w:type="dxa"/>
            </w:tcMar>
            <w:shd w:fill="1F4E78"/>
          </w:tcPr>
          <w:p>
            <w:pPr>
              <w:spacing w:after="0" w:line="240" w:lineRule="auto"/>
            </w:pPr>
            <w:r>
              <w:rPr>
                <w:rFonts w:ascii="Times New Roman" w:hAnsi="Times New Roman"/>
                <w:b/>
                <w:color w:val="FFFFFF"/>
                <w:sz w:val="24"/>
              </w:rPr>
              <w:t>Common Manual or Separate Tools</w:t>
            </w:r>
          </w:p>
        </w:tc>
        <w:tc>
          <w:tcPr>
            <w:tcW w:type="dxa" w:w="2592"/>
            <w:vAlign w:val="center"/>
            <w:tcMar>
              <w:top w:w="90" w:type="dxa"/>
              <w:start w:w="100" w:type="dxa"/>
              <w:bottom w:w="90" w:type="dxa"/>
              <w:end w:w="100" w:type="dxa"/>
            </w:tcMar>
            <w:shd w:fill="1F4E78"/>
          </w:tcPr>
          <w:p>
            <w:pPr>
              <w:spacing w:after="0" w:line="240" w:lineRule="auto"/>
            </w:pPr>
            <w:r>
              <w:rPr>
                <w:rFonts w:ascii="Times New Roman" w:hAnsi="Times New Roman"/>
                <w:b/>
                <w:color w:val="FFFFFF"/>
                <w:sz w:val="24"/>
              </w:rPr>
              <w:t>CLINICKA</w:t>
            </w:r>
          </w:p>
        </w:tc>
      </w:tr>
      <w:tr>
        <w:tc>
          <w:tcPr>
            <w:tcW w:type="dxa" w:w="1728"/>
            <w:vAlign w:val="center"/>
            <w:tcMar>
              <w:top w:w="90" w:type="dxa"/>
              <w:start w:w="100" w:type="dxa"/>
              <w:bottom w:w="90" w:type="dxa"/>
              <w:end w:w="100" w:type="dxa"/>
            </w:tcMar>
          </w:tcPr>
          <w:p>
            <w:pPr>
              <w:spacing w:after="0" w:line="240" w:lineRule="auto"/>
            </w:pPr>
            <w:r>
              <w:rPr>
                <w:rFonts w:ascii="Times New Roman" w:hAnsi="Times New Roman"/>
                <w:b w:val="0"/>
                <w:sz w:val="24"/>
              </w:rPr>
              <w:t>Primary setting</w:t>
            </w:r>
          </w:p>
        </w:tc>
        <w:tc>
          <w:tcPr>
            <w:tcW w:type="dxa" w:w="2448"/>
            <w:vAlign w:val="center"/>
            <w:tcMar>
              <w:top w:w="90" w:type="dxa"/>
              <w:start w:w="100" w:type="dxa"/>
              <w:bottom w:w="90" w:type="dxa"/>
              <w:end w:w="100" w:type="dxa"/>
            </w:tcMar>
          </w:tcPr>
          <w:p>
            <w:pPr>
              <w:spacing w:after="0" w:line="240" w:lineRule="auto"/>
            </w:pPr>
            <w:r>
              <w:rPr>
                <w:rFonts w:ascii="Times New Roman" w:hAnsi="Times New Roman"/>
                <w:b w:val="0"/>
                <w:sz w:val="24"/>
              </w:rPr>
              <w:t>General clinical facilities and programs</w:t>
            </w:r>
          </w:p>
        </w:tc>
        <w:tc>
          <w:tcPr>
            <w:tcW w:type="dxa" w:w="2592"/>
            <w:vAlign w:val="center"/>
            <w:tcMar>
              <w:top w:w="90" w:type="dxa"/>
              <w:start w:w="100" w:type="dxa"/>
              <w:bottom w:w="90" w:type="dxa"/>
              <w:end w:w="100" w:type="dxa"/>
            </w:tcMar>
          </w:tcPr>
          <w:p>
            <w:pPr>
              <w:spacing w:after="0" w:line="240" w:lineRule="auto"/>
            </w:pPr>
            <w:r>
              <w:rPr>
                <w:rFonts w:ascii="Times New Roman" w:hAnsi="Times New Roman"/>
                <w:b w:val="0"/>
                <w:sz w:val="24"/>
              </w:rPr>
              <w:t>Varied office or clinic processes</w:t>
            </w:r>
          </w:p>
        </w:tc>
        <w:tc>
          <w:tcPr>
            <w:tcW w:type="dxa" w:w="2592"/>
            <w:vAlign w:val="center"/>
            <w:tcMar>
              <w:top w:w="90" w:type="dxa"/>
              <w:start w:w="100" w:type="dxa"/>
              <w:bottom w:w="90" w:type="dxa"/>
              <w:end w:w="100" w:type="dxa"/>
            </w:tcMar>
          </w:tcPr>
          <w:p>
            <w:pPr>
              <w:spacing w:after="0" w:line="240" w:lineRule="auto"/>
            </w:pPr>
            <w:r>
              <w:rPr>
                <w:rFonts w:ascii="Times New Roman" w:hAnsi="Times New Roman"/>
                <w:b w:val="0"/>
                <w:sz w:val="24"/>
              </w:rPr>
              <w:t>Single higher-education clinic</w:t>
            </w:r>
          </w:p>
        </w:tc>
      </w:tr>
      <w:tr>
        <w:tc>
          <w:tcPr>
            <w:tcW w:type="dxa" w:w="1728"/>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Patient records</w:t>
            </w:r>
          </w:p>
        </w:tc>
        <w:tc>
          <w:tcPr>
            <w:tcW w:type="dxa" w:w="2448"/>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Configurable electronic medical record</w:t>
            </w:r>
          </w:p>
        </w:tc>
        <w:tc>
          <w:tcPr>
            <w:tcW w:type="dxa" w:w="2592"/>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Paper files, spreadsheets, or separate documents</w:t>
            </w:r>
          </w:p>
        </w:tc>
        <w:tc>
          <w:tcPr>
            <w:tcW w:type="dxa" w:w="2592"/>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Institution-linked longitudinal patient record</w:t>
            </w:r>
          </w:p>
        </w:tc>
      </w:tr>
      <w:tr>
        <w:tc>
          <w:tcPr>
            <w:tcW w:type="dxa" w:w="1728"/>
            <w:vAlign w:val="center"/>
            <w:tcMar>
              <w:top w:w="90" w:type="dxa"/>
              <w:start w:w="100" w:type="dxa"/>
              <w:bottom w:w="90" w:type="dxa"/>
              <w:end w:w="100" w:type="dxa"/>
            </w:tcMar>
          </w:tcPr>
          <w:p>
            <w:pPr>
              <w:spacing w:after="0" w:line="240" w:lineRule="auto"/>
            </w:pPr>
            <w:r>
              <w:rPr>
                <w:rFonts w:ascii="Times New Roman" w:hAnsi="Times New Roman"/>
                <w:b w:val="0"/>
                <w:sz w:val="24"/>
              </w:rPr>
              <w:t>School requirements</w:t>
            </w:r>
          </w:p>
        </w:tc>
        <w:tc>
          <w:tcPr>
            <w:tcW w:type="dxa" w:w="2448"/>
            <w:vAlign w:val="center"/>
            <w:tcMar>
              <w:top w:w="90" w:type="dxa"/>
              <w:start w:w="100" w:type="dxa"/>
              <w:bottom w:w="90" w:type="dxa"/>
              <w:end w:w="100" w:type="dxa"/>
            </w:tcMar>
          </w:tcPr>
          <w:p>
            <w:pPr>
              <w:spacing w:after="0" w:line="240" w:lineRule="auto"/>
            </w:pPr>
            <w:r>
              <w:rPr>
                <w:rFonts w:ascii="Times New Roman" w:hAnsi="Times New Roman"/>
                <w:b w:val="0"/>
                <w:sz w:val="24"/>
              </w:rPr>
              <w:t>Requires local configuration</w:t>
            </w:r>
          </w:p>
        </w:tc>
        <w:tc>
          <w:tcPr>
            <w:tcW w:type="dxa" w:w="2592"/>
            <w:vAlign w:val="center"/>
            <w:tcMar>
              <w:top w:w="90" w:type="dxa"/>
              <w:start w:w="100" w:type="dxa"/>
              <w:bottom w:w="90" w:type="dxa"/>
              <w:end w:w="100" w:type="dxa"/>
            </w:tcMar>
          </w:tcPr>
          <w:p>
            <w:pPr>
              <w:spacing w:after="0" w:line="240" w:lineRule="auto"/>
            </w:pPr>
            <w:r>
              <w:rPr>
                <w:rFonts w:ascii="Times New Roman" w:hAnsi="Times New Roman"/>
                <w:b w:val="0"/>
                <w:sz w:val="24"/>
              </w:rPr>
              <w:t>Tracked separately</w:t>
            </w:r>
          </w:p>
        </w:tc>
        <w:tc>
          <w:tcPr>
            <w:tcW w:type="dxa" w:w="2592"/>
            <w:vAlign w:val="center"/>
            <w:tcMar>
              <w:top w:w="90" w:type="dxa"/>
              <w:start w:w="100" w:type="dxa"/>
              <w:bottom w:w="90" w:type="dxa"/>
              <w:end w:w="100" w:type="dxa"/>
            </w:tcMar>
          </w:tcPr>
          <w:p>
            <w:pPr>
              <w:spacing w:after="0" w:line="240" w:lineRule="auto"/>
            </w:pPr>
            <w:r>
              <w:rPr>
                <w:rFonts w:ascii="Times New Roman" w:hAnsi="Times New Roman"/>
                <w:b w:val="0"/>
                <w:sz w:val="24"/>
              </w:rPr>
              <w:t>Academic-period requirements and evidence review</w:t>
            </w:r>
          </w:p>
        </w:tc>
      </w:tr>
      <w:tr>
        <w:tc>
          <w:tcPr>
            <w:tcW w:type="dxa" w:w="1728"/>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Clearance workflow</w:t>
            </w:r>
          </w:p>
        </w:tc>
        <w:tc>
          <w:tcPr>
            <w:tcW w:type="dxa" w:w="2448"/>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Requires configured forms and workflows</w:t>
            </w:r>
          </w:p>
        </w:tc>
        <w:tc>
          <w:tcPr>
            <w:tcW w:type="dxa" w:w="2592"/>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Manual checking and signatures</w:t>
            </w:r>
          </w:p>
        </w:tc>
        <w:tc>
          <w:tcPr>
            <w:tcW w:type="dxa" w:w="2592"/>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Patient request, evidence review, eligibility check, and decision</w:t>
            </w:r>
          </w:p>
        </w:tc>
      </w:tr>
      <w:tr>
        <w:tc>
          <w:tcPr>
            <w:tcW w:type="dxa" w:w="1728"/>
            <w:vAlign w:val="center"/>
            <w:tcMar>
              <w:top w:w="90" w:type="dxa"/>
              <w:start w:w="100" w:type="dxa"/>
              <w:bottom w:w="90" w:type="dxa"/>
              <w:end w:w="100" w:type="dxa"/>
            </w:tcMar>
          </w:tcPr>
          <w:p>
            <w:pPr>
              <w:spacing w:after="0" w:line="240" w:lineRule="auto"/>
            </w:pPr>
            <w:r>
              <w:rPr>
                <w:rFonts w:ascii="Times New Roman" w:hAnsi="Times New Roman"/>
                <w:b w:val="0"/>
                <w:sz w:val="24"/>
              </w:rPr>
              <w:t>Access control</w:t>
            </w:r>
          </w:p>
        </w:tc>
        <w:tc>
          <w:tcPr>
            <w:tcW w:type="dxa" w:w="2448"/>
            <w:vAlign w:val="center"/>
            <w:tcMar>
              <w:top w:w="90" w:type="dxa"/>
              <w:start w:w="100" w:type="dxa"/>
              <w:bottom w:w="90" w:type="dxa"/>
              <w:end w:w="100" w:type="dxa"/>
            </w:tcMar>
          </w:tcPr>
          <w:p>
            <w:pPr>
              <w:spacing w:after="0" w:line="240" w:lineRule="auto"/>
            </w:pPr>
            <w:r>
              <w:rPr>
                <w:rFonts w:ascii="Times New Roman" w:hAnsi="Times New Roman"/>
                <w:b w:val="0"/>
                <w:sz w:val="24"/>
              </w:rPr>
              <w:t>Privileges and user management</w:t>
            </w:r>
          </w:p>
        </w:tc>
        <w:tc>
          <w:tcPr>
            <w:tcW w:type="dxa" w:w="2592"/>
            <w:vAlign w:val="center"/>
            <w:tcMar>
              <w:top w:w="90" w:type="dxa"/>
              <w:start w:w="100" w:type="dxa"/>
              <w:bottom w:w="90" w:type="dxa"/>
              <w:end w:w="100" w:type="dxa"/>
            </w:tcMar>
          </w:tcPr>
          <w:p>
            <w:pPr>
              <w:spacing w:after="0" w:line="240" w:lineRule="auto"/>
            </w:pPr>
            <w:r>
              <w:rPr>
                <w:rFonts w:ascii="Times New Roman" w:hAnsi="Times New Roman"/>
                <w:b w:val="0"/>
                <w:sz w:val="24"/>
              </w:rPr>
              <w:t>Depends on physical or file permissions</w:t>
            </w:r>
          </w:p>
        </w:tc>
        <w:tc>
          <w:tcPr>
            <w:tcW w:type="dxa" w:w="2592"/>
            <w:vAlign w:val="center"/>
            <w:tcMar>
              <w:top w:w="90" w:type="dxa"/>
              <w:start w:w="100" w:type="dxa"/>
              <w:bottom w:w="90" w:type="dxa"/>
              <w:end w:w="100" w:type="dxa"/>
            </w:tcMar>
          </w:tcPr>
          <w:p>
            <w:pPr>
              <w:spacing w:after="0" w:line="240" w:lineRule="auto"/>
            </w:pPr>
            <w:r>
              <w:rPr>
                <w:rFonts w:ascii="Times New Roman" w:hAnsi="Times New Roman"/>
                <w:b w:val="0"/>
                <w:sz w:val="24"/>
              </w:rPr>
              <w:t>Role permissions plus patient ownership</w:t>
            </w:r>
          </w:p>
        </w:tc>
      </w:tr>
      <w:tr>
        <w:tc>
          <w:tcPr>
            <w:tcW w:type="dxa" w:w="1728"/>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Inventory</w:t>
            </w:r>
          </w:p>
        </w:tc>
        <w:tc>
          <w:tcPr>
            <w:tcW w:type="dxa" w:w="2448"/>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Stock and dispensing capabilities</w:t>
            </w:r>
          </w:p>
        </w:tc>
        <w:tc>
          <w:tcPr>
            <w:tcW w:type="dxa" w:w="2592"/>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Often maintained separately</w:t>
            </w:r>
          </w:p>
        </w:tc>
        <w:tc>
          <w:tcPr>
            <w:tcW w:type="dxa" w:w="2592"/>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Batch, expiration, stock movement, and visit-linked dispensing</w:t>
            </w:r>
          </w:p>
        </w:tc>
      </w:tr>
    </w:tbl>
    <w:p>
      <w:pPr>
        <w:pStyle w:val="Heading3"/>
      </w:pPr>
      <w:r>
        <w:t>Synthesis and Identified Gap</w:t>
      </w:r>
    </w:p>
    <w:p>
      <w:pPr>
        <w:widowControl/>
        <w:ind w:firstLine="720"/>
      </w:pPr>
      <w:r>
        <w:rPr>
          <w:rFonts w:ascii="Times New Roman" w:hAnsi="Times New Roman"/>
          <w:sz w:val="24"/>
        </w:rPr>
        <w:t>The reviewed literature consistently supported structured electronic documentation, timely information access, coordination, privacy safeguards, and interoperable design. Existing electronic medical record systems demonstrated that registration, clinical documentation, scheduling, inventory, reporting, and permission management could be integrated. However, the literature and reviewed system did not directly provide the complete combination required by the project: a single-campus clinic workflow that linked institutional identity, academic periods, private requirement evidence, deterministic clearance eligibility, patient self-service, longitudinal encounters, and medicine accountability.</w:t>
      </w:r>
    </w:p>
    <w:p>
      <w:pPr>
        <w:widowControl/>
        <w:ind w:firstLine="720"/>
      </w:pPr>
      <w:r>
        <w:rPr>
          <w:rFonts w:ascii="Times New Roman" w:hAnsi="Times New Roman"/>
          <w:sz w:val="24"/>
        </w:rPr>
        <w:t>CLINICKA addressed this gap by adapting established digital-health principles to the scope of Brokenshire College. It did not attempt to compete with a general hospital platform. Instead, it applied focused domain rules and security controls to the actual relationships among campus patients, clinic personnel, academic requirements, medical documents, clinical visits, and supplies.</w:t>
      </w:r>
    </w:p>
    <w:p>
      <w:pPr>
        <w:pStyle w:val="Heading3"/>
      </w:pPr>
      <w:r>
        <w:t>Literature Map</w:t>
      </w:r>
    </w:p>
    <w:p>
      <w:pPr>
        <w:widowControl/>
        <w:ind w:firstLine="720"/>
      </w:pPr>
      <w:r>
        <w:rPr>
          <w:rFonts w:ascii="Times New Roman" w:hAnsi="Times New Roman"/>
          <w:sz w:val="24"/>
        </w:rPr>
        <w:t>The literature map organized the reviewed sources into four themes and showed how each theme informed the proposed system.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2880"/>
        <w:gridCol w:w="2880"/>
      </w:tblGrid>
      <w:tr>
        <w:tc>
          <w:tcPr>
            <w:tcW w:type="dxa" w:w="2952"/>
            <w:vAlign w:val="center"/>
            <w:tcMar>
              <w:top w:w="90" w:type="dxa"/>
              <w:start w:w="100" w:type="dxa"/>
              <w:bottom w:w="90" w:type="dxa"/>
              <w:end w:w="100" w:type="dxa"/>
            </w:tcMar>
            <w:shd w:fill="1F4E78"/>
          </w:tcPr>
          <w:p>
            <w:pPr>
              <w:spacing w:after="0" w:line="240" w:lineRule="auto"/>
            </w:pPr>
            <w:r>
              <w:rPr>
                <w:rFonts w:ascii="Times New Roman" w:hAnsi="Times New Roman"/>
                <w:b/>
                <w:color w:val="FFFFFF"/>
                <w:sz w:val="24"/>
              </w:rPr>
              <w:t>Theme and Sources</w:t>
            </w:r>
          </w:p>
        </w:tc>
        <w:tc>
          <w:tcPr>
            <w:tcW w:type="dxa" w:w="3024"/>
            <w:vAlign w:val="center"/>
            <w:tcMar>
              <w:top w:w="90" w:type="dxa"/>
              <w:start w:w="100" w:type="dxa"/>
              <w:bottom w:w="90" w:type="dxa"/>
              <w:end w:w="100" w:type="dxa"/>
            </w:tcMar>
            <w:shd w:fill="1F4E78"/>
          </w:tcPr>
          <w:p>
            <w:pPr>
              <w:spacing w:after="0" w:line="240" w:lineRule="auto"/>
            </w:pPr>
            <w:r>
              <w:rPr>
                <w:rFonts w:ascii="Times New Roman" w:hAnsi="Times New Roman"/>
                <w:b/>
                <w:color w:val="FFFFFF"/>
                <w:sz w:val="24"/>
              </w:rPr>
              <w:t>Key Contribution</w:t>
            </w:r>
          </w:p>
        </w:tc>
        <w:tc>
          <w:tcPr>
            <w:tcW w:type="dxa" w:w="3384"/>
            <w:vAlign w:val="center"/>
            <w:tcMar>
              <w:top w:w="90" w:type="dxa"/>
              <w:start w:w="100" w:type="dxa"/>
              <w:bottom w:w="90" w:type="dxa"/>
              <w:end w:w="100" w:type="dxa"/>
            </w:tcMar>
            <w:shd w:fill="1F4E78"/>
          </w:tcPr>
          <w:p>
            <w:pPr>
              <w:spacing w:after="0" w:line="240" w:lineRule="auto"/>
            </w:pPr>
            <w:r>
              <w:rPr>
                <w:rFonts w:ascii="Times New Roman" w:hAnsi="Times New Roman"/>
                <w:b/>
                <w:color w:val="FFFFFF"/>
                <w:sz w:val="24"/>
              </w:rPr>
              <w:t>Application to CLINICKA</w:t>
            </w:r>
          </w:p>
        </w:tc>
      </w:tr>
      <w:tr>
        <w:tc>
          <w:tcPr>
            <w:tcW w:type="dxa" w:w="2952"/>
            <w:vAlign w:val="center"/>
            <w:tcMar>
              <w:top w:w="90" w:type="dxa"/>
              <w:start w:w="100" w:type="dxa"/>
              <w:bottom w:w="90" w:type="dxa"/>
              <w:end w:w="100" w:type="dxa"/>
            </w:tcMar>
          </w:tcPr>
          <w:p>
            <w:pPr>
              <w:spacing w:after="0" w:line="240" w:lineRule="auto"/>
            </w:pPr>
            <w:r>
              <w:rPr>
                <w:rFonts w:ascii="Times New Roman" w:hAnsi="Times New Roman"/>
                <w:b w:val="0"/>
                <w:sz w:val="24"/>
              </w:rPr>
              <w:t>Digital health strategy</w:t>
              <w:br/>
              <w:t>WHO 2021 and WHO 2025</w:t>
            </w:r>
          </w:p>
        </w:tc>
        <w:tc>
          <w:tcPr>
            <w:tcW w:type="dxa" w:w="3024"/>
            <w:vAlign w:val="center"/>
            <w:tcMar>
              <w:top w:w="90" w:type="dxa"/>
              <w:start w:w="100" w:type="dxa"/>
              <w:bottom w:w="90" w:type="dxa"/>
              <w:end w:w="100" w:type="dxa"/>
            </w:tcMar>
          </w:tcPr>
          <w:p>
            <w:pPr>
              <w:spacing w:after="0" w:line="240" w:lineRule="auto"/>
            </w:pPr>
            <w:r>
              <w:rPr>
                <w:rFonts w:ascii="Times New Roman" w:hAnsi="Times New Roman"/>
                <w:b w:val="0"/>
                <w:sz w:val="24"/>
              </w:rPr>
              <w:t>Integrated governance, information use, sustainability, and health-system strengthening</w:t>
            </w:r>
          </w:p>
        </w:tc>
        <w:tc>
          <w:tcPr>
            <w:tcW w:type="dxa" w:w="3384"/>
            <w:vAlign w:val="center"/>
            <w:tcMar>
              <w:top w:w="90" w:type="dxa"/>
              <w:start w:w="100" w:type="dxa"/>
              <w:bottom w:w="90" w:type="dxa"/>
              <w:end w:w="100" w:type="dxa"/>
            </w:tcMar>
          </w:tcPr>
          <w:p>
            <w:pPr>
              <w:spacing w:after="0" w:line="240" w:lineRule="auto"/>
            </w:pPr>
            <w:r>
              <w:rPr>
                <w:rFonts w:ascii="Times New Roman" w:hAnsi="Times New Roman"/>
                <w:b w:val="0"/>
                <w:sz w:val="24"/>
              </w:rPr>
              <w:t>One coordinated clinic platform with modular workflows and reports</w:t>
            </w:r>
          </w:p>
        </w:tc>
      </w:tr>
      <w:tr>
        <w:tc>
          <w:tcPr>
            <w:tcW w:type="dxa" w:w="2952"/>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School health documentation</w:t>
              <w:br/>
              <w:t>Johnson and Guthrie 2012</w:t>
            </w:r>
          </w:p>
        </w:tc>
        <w:tc>
          <w:tcPr>
            <w:tcW w:type="dxa" w:w="3024"/>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Electronic documentation supported management of large volumes of student health data</w:t>
            </w:r>
          </w:p>
        </w:tc>
        <w:tc>
          <w:tcPr>
            <w:tcW w:type="dxa" w:w="3384"/>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Structured student, faculty, and staff health records</w:t>
            </w:r>
          </w:p>
        </w:tc>
      </w:tr>
      <w:tr>
        <w:tc>
          <w:tcPr>
            <w:tcW w:type="dxa" w:w="2952"/>
            <w:vAlign w:val="center"/>
            <w:tcMar>
              <w:top w:w="90" w:type="dxa"/>
              <w:start w:w="100" w:type="dxa"/>
              <w:bottom w:w="90" w:type="dxa"/>
              <w:end w:w="100" w:type="dxa"/>
            </w:tcMar>
          </w:tcPr>
          <w:p>
            <w:pPr>
              <w:spacing w:after="0" w:line="240" w:lineRule="auto"/>
            </w:pPr>
            <w:r>
              <w:rPr>
                <w:rFonts w:ascii="Times New Roman" w:hAnsi="Times New Roman"/>
                <w:b w:val="0"/>
                <w:sz w:val="24"/>
              </w:rPr>
              <w:t>School nurse information access</w:t>
              <w:br/>
              <w:t>Baker and Gance-Cleveland 2021; Baker et al. 2022</w:t>
            </w:r>
          </w:p>
        </w:tc>
        <w:tc>
          <w:tcPr>
            <w:tcW w:type="dxa" w:w="3024"/>
            <w:vAlign w:val="center"/>
            <w:tcMar>
              <w:top w:w="90" w:type="dxa"/>
              <w:start w:w="100" w:type="dxa"/>
              <w:bottom w:w="90" w:type="dxa"/>
              <w:end w:w="100" w:type="dxa"/>
            </w:tcMar>
          </w:tcPr>
          <w:p>
            <w:pPr>
              <w:spacing w:after="0" w:line="240" w:lineRule="auto"/>
            </w:pPr>
            <w:r>
              <w:rPr>
                <w:rFonts w:ascii="Times New Roman" w:hAnsi="Times New Roman"/>
                <w:b w:val="0"/>
                <w:sz w:val="24"/>
              </w:rPr>
              <w:t>Timely information supported communication, coordination, and school health service delivery</w:t>
            </w:r>
          </w:p>
        </w:tc>
        <w:tc>
          <w:tcPr>
            <w:tcW w:type="dxa" w:w="3384"/>
            <w:vAlign w:val="center"/>
            <w:tcMar>
              <w:top w:w="90" w:type="dxa"/>
              <w:start w:w="100" w:type="dxa"/>
              <w:bottom w:w="90" w:type="dxa"/>
              <w:end w:w="100" w:type="dxa"/>
            </w:tcMar>
          </w:tcPr>
          <w:p>
            <w:pPr>
              <w:spacing w:after="0" w:line="240" w:lineRule="auto"/>
            </w:pPr>
            <w:r>
              <w:rPr>
                <w:rFonts w:ascii="Times New Roman" w:hAnsi="Times New Roman"/>
                <w:b w:val="0"/>
                <w:sz w:val="24"/>
              </w:rPr>
              <w:t>Authorized longitudinal records, evidence review, and clinic workflow continuity</w:t>
            </w:r>
          </w:p>
        </w:tc>
      </w:tr>
      <w:tr>
        <w:tc>
          <w:tcPr>
            <w:tcW w:type="dxa" w:w="2952"/>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Privacy and security</w:t>
              <w:br/>
              <w:t>RA 10173; WHO 2021</w:t>
            </w:r>
          </w:p>
        </w:tc>
        <w:tc>
          <w:tcPr>
            <w:tcW w:type="dxa" w:w="3024"/>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Health and education data required purpose limitation and strong safeguards</w:t>
            </w:r>
          </w:p>
        </w:tc>
        <w:tc>
          <w:tcPr>
            <w:tcW w:type="dxa" w:w="3384"/>
            <w:vAlign w:val="center"/>
            <w:tcMar>
              <w:top w:w="90" w:type="dxa"/>
              <w:start w:w="100" w:type="dxa"/>
              <w:bottom w:w="90" w:type="dxa"/>
              <w:end w:w="100" w:type="dxa"/>
            </w:tcMar>
            <w:shd w:fill="EAF2F8"/>
          </w:tcPr>
          <w:p>
            <w:pPr>
              <w:spacing w:after="0" w:line="240" w:lineRule="auto"/>
            </w:pPr>
            <w:r>
              <w:rPr>
                <w:rFonts w:ascii="Times New Roman" w:hAnsi="Times New Roman"/>
                <w:b w:val="0"/>
                <w:sz w:val="24"/>
              </w:rPr>
              <w:t>RBAC, ownership checks, private documents, audit logs, redaction, and safe errors</w:t>
            </w:r>
          </w:p>
        </w:tc>
      </w:tr>
      <w:tr>
        <w:tc>
          <w:tcPr>
            <w:tcW w:type="dxa" w:w="2952"/>
            <w:vAlign w:val="center"/>
            <w:tcMar>
              <w:top w:w="90" w:type="dxa"/>
              <w:start w:w="100" w:type="dxa"/>
              <w:bottom w:w="90" w:type="dxa"/>
              <w:end w:w="100" w:type="dxa"/>
            </w:tcMar>
          </w:tcPr>
          <w:p>
            <w:pPr>
              <w:spacing w:after="0" w:line="240" w:lineRule="auto"/>
            </w:pPr>
            <w:r>
              <w:rPr>
                <w:rFonts w:ascii="Times New Roman" w:hAnsi="Times New Roman"/>
                <w:b w:val="0"/>
                <w:sz w:val="24"/>
              </w:rPr>
              <w:t>Interoperability and related systems</w:t>
              <w:br/>
              <w:t>HL7 FHIR; OpenMRS</w:t>
            </w:r>
          </w:p>
        </w:tc>
        <w:tc>
          <w:tcPr>
            <w:tcW w:type="dxa" w:w="3024"/>
            <w:vAlign w:val="center"/>
            <w:tcMar>
              <w:top w:w="90" w:type="dxa"/>
              <w:start w:w="100" w:type="dxa"/>
              <w:bottom w:w="90" w:type="dxa"/>
              <w:end w:w="100" w:type="dxa"/>
            </w:tcMar>
          </w:tcPr>
          <w:p>
            <w:pPr>
              <w:spacing w:after="0" w:line="240" w:lineRule="auto"/>
            </w:pPr>
            <w:r>
              <w:rPr>
                <w:rFonts w:ascii="Times New Roman" w:hAnsi="Times New Roman"/>
                <w:b w:val="0"/>
                <w:sz w:val="24"/>
              </w:rPr>
              <w:t>Structured resources, APIs, configurable clinical modules, and auditability</w:t>
            </w:r>
          </w:p>
        </w:tc>
        <w:tc>
          <w:tcPr>
            <w:tcW w:type="dxa" w:w="3384"/>
            <w:vAlign w:val="center"/>
            <w:tcMar>
              <w:top w:w="90" w:type="dxa"/>
              <w:start w:w="100" w:type="dxa"/>
              <w:bottom w:w="90" w:type="dxa"/>
              <w:end w:w="100" w:type="dxa"/>
            </w:tcMar>
          </w:tcPr>
          <w:p>
            <w:pPr>
              <w:spacing w:after="0" w:line="240" w:lineRule="auto"/>
            </w:pPr>
            <w:r>
              <w:rPr>
                <w:rFonts w:ascii="Times New Roman" w:hAnsi="Times New Roman"/>
                <w:b w:val="0"/>
                <w:sz w:val="24"/>
              </w:rPr>
              <w:t>REST API, relational domain model, modular services, and future integration path</w:t>
            </w:r>
          </w:p>
        </w:tc>
      </w:tr>
    </w:tbl>
    <w:p>
      <w:r>
        <w:br w:type="page"/>
      </w:r>
    </w:p>
    <w:p>
      <w:pPr>
        <w:pStyle w:val="Heading2"/>
      </w:pPr>
      <w:r>
        <w:t>Technical Background and Conceptual Framework</w:t>
      </w:r>
    </w:p>
    <w:p>
      <w:pPr>
        <w:pStyle w:val="Heading3"/>
      </w:pPr>
      <w:r>
        <w:t>Background of the Current System</w:t>
      </w:r>
    </w:p>
    <w:p>
      <w:pPr>
        <w:pStyle w:val="Heading3"/>
      </w:pPr>
      <w:r>
        <w:t>Overview of the Current Process</w:t>
      </w:r>
    </w:p>
    <w:p>
      <w:pPr>
        <w:widowControl/>
        <w:ind w:firstLine="720"/>
      </w:pPr>
      <w:r>
        <w:rPr>
          <w:rFonts w:ascii="Times New Roman" w:hAnsi="Times New Roman"/>
          <w:sz w:val="24"/>
        </w:rPr>
        <w:t>The process considered by the project involved recurring clinic activities that were related but could be managed through separate records: patient identification, appointment scheduling, queue handling, consultation documentation, medical-result submission, clearance checking, certificate issuance, medicine monitoring, and reporting. Each activity depended on reliable patient identity and on information created in earlier steps. A clearance decision, for example, depended on the correct patient, applicable academic period, required evidence, reviewer decisions, and current eligibility.</w:t>
      </w:r>
    </w:p>
    <w:p>
      <w:pPr>
        <w:widowControl/>
        <w:ind w:firstLine="720"/>
      </w:pPr>
      <w:r>
        <w:rPr>
          <w:rFonts w:ascii="Times New Roman" w:hAnsi="Times New Roman"/>
          <w:sz w:val="24"/>
        </w:rPr>
        <w:t>When records were distributed among paper documents, folders, spreadsheets, messages, or independent digital files, staff had to perform manual reconciliation. This approach could increase search time, duplicate data entry, produce inconsistent status labels, and make it difficult to determine who performed an action or which academic period applied to a record. It could also make patient self-service unsafe if users were allowed to supply identifiers without ownership validation.</w:t>
      </w:r>
    </w:p>
    <w:p>
      <w:pPr>
        <w:pStyle w:val="Heading3"/>
      </w:pPr>
      <w:r>
        <w:t>Technical Limitations of the Current Process</w:t>
      </w:r>
    </w:p>
    <w:p>
      <w:pPr>
        <w:pStyle w:val="ListBullet"/>
        <w:spacing w:after="0"/>
        <w:ind w:left="720" w:hanging="360"/>
      </w:pPr>
      <w:r>
        <w:rPr>
          <w:rFonts w:ascii="Times New Roman" w:hAnsi="Times New Roman"/>
          <w:sz w:val="24"/>
        </w:rPr>
        <w:t>Fragmented records could prevent a complete and current view of the patient and clinic transaction history.</w:t>
      </w:r>
    </w:p>
    <w:p>
      <w:pPr>
        <w:pStyle w:val="ListBullet"/>
        <w:spacing w:after="0"/>
        <w:ind w:left="720" w:hanging="360"/>
      </w:pPr>
      <w:r>
        <w:rPr>
          <w:rFonts w:ascii="Times New Roman" w:hAnsi="Times New Roman"/>
          <w:sz w:val="24"/>
        </w:rPr>
        <w:t>Manual status tracking could permit invalid transitions, incomplete clearances, or inconsistent queue and appointment states.</w:t>
      </w:r>
    </w:p>
    <w:p>
      <w:pPr>
        <w:pStyle w:val="ListBullet"/>
        <w:spacing w:after="0"/>
        <w:ind w:left="720" w:hanging="360"/>
      </w:pPr>
      <w:r>
        <w:rPr>
          <w:rFonts w:ascii="Times New Roman" w:hAnsi="Times New Roman"/>
          <w:sz w:val="24"/>
        </w:rPr>
        <w:t>Separate requirement and clearance records could lose the academic-year or semester context used in the original decision.</w:t>
      </w:r>
    </w:p>
    <w:p>
      <w:pPr>
        <w:pStyle w:val="ListBullet"/>
        <w:spacing w:after="0"/>
        <w:ind w:left="720" w:hanging="360"/>
      </w:pPr>
      <w:r>
        <w:rPr>
          <w:rFonts w:ascii="Times New Roman" w:hAnsi="Times New Roman"/>
          <w:sz w:val="24"/>
        </w:rPr>
        <w:t>File-based evidence could lack consistent ownership checks, privacy controls, review history, and retention rules.</w:t>
      </w:r>
    </w:p>
    <w:p>
      <w:pPr>
        <w:pStyle w:val="ListBullet"/>
        <w:spacing w:after="0"/>
        <w:ind w:left="720" w:hanging="360"/>
      </w:pPr>
      <w:r>
        <w:rPr>
          <w:rFonts w:ascii="Times New Roman" w:hAnsi="Times New Roman"/>
          <w:sz w:val="24"/>
        </w:rPr>
        <w:t>Independent inventory lists could weaken the connection among medicine batches, expiration dates, prescriptions, visits, and dispensing records.</w:t>
      </w:r>
    </w:p>
    <w:p>
      <w:pPr>
        <w:pStyle w:val="ListBullet"/>
        <w:spacing w:after="0"/>
        <w:ind w:left="720" w:hanging="360"/>
      </w:pPr>
      <w:r>
        <w:rPr>
          <w:rFonts w:ascii="Times New Roman" w:hAnsi="Times New Roman"/>
          <w:sz w:val="24"/>
        </w:rPr>
        <w:t>Limited auditability could make it difficult to reconstruct who accessed or changed an operational record.</w:t>
      </w:r>
    </w:p>
    <w:p>
      <w:pPr>
        <w:pStyle w:val="ListBullet"/>
        <w:spacing w:after="0"/>
        <w:ind w:left="720" w:hanging="360"/>
      </w:pPr>
      <w:r>
        <w:rPr>
          <w:rFonts w:ascii="Times New Roman" w:hAnsi="Times New Roman"/>
          <w:sz w:val="24"/>
        </w:rPr>
        <w:t>Weak environment configuration or verbose logs could expose authentication secrets or sensitive clinical information.</w:t>
      </w:r>
    </w:p>
    <w:p>
      <w:pPr>
        <w:pStyle w:val="Heading3"/>
      </w:pPr>
      <w:r>
        <w:t>Technicality of the Project</w:t>
      </w:r>
    </w:p>
    <w:p>
      <w:pPr>
        <w:pStyle w:val="Heading3"/>
      </w:pPr>
      <w:r>
        <w:t>Proposed System</w:t>
      </w:r>
    </w:p>
    <w:p>
      <w:pPr>
        <w:widowControl/>
        <w:ind w:firstLine="720"/>
      </w:pPr>
      <w:r>
        <w:rPr>
          <w:rFonts w:ascii="Times New Roman" w:hAnsi="Times New Roman"/>
          <w:sz w:val="24"/>
        </w:rPr>
        <w:t>The proposed system used a modular monolith architecture. A React single-page application communicated through HTTPS-ready REST endpoints with a NestJS backend. Prisma managed the relational data model and migrations for MySQL. Private documents were stored through a controlled storage adapter, while database records maintained ownership, metadata, and evidence relationships. This structure kept deployment manageable for one institution while separating authentication, patients, visits, appointments, evidence, clearances, inventory, reporting, and administration into domain modules.</w:t>
      </w:r>
    </w:p>
    <w:p>
      <w:pPr>
        <w:widowControl/>
        <w:ind w:firstLine="720"/>
      </w:pPr>
      <w:r>
        <w:rPr>
          <w:rFonts w:ascii="Times New Roman" w:hAnsi="Times New Roman"/>
          <w:sz w:val="24"/>
        </w:rPr>
        <w:t>Business rules were enforced on the server rather than relying on the interface alone. Examples included patient ownership for self-service records, valid visit and appointment transitions, academic-period validation, single-use expiring account-recovery tokens, clearance re-evaluation before approval, medicine expiration and quantity checks, and prescription-linked dispensing. Database constraints and migration-controlled indexes supported integrity and operational query performance.</w:t>
      </w:r>
    </w:p>
    <w:p>
      <w:pPr>
        <w:pStyle w:val="Heading3"/>
      </w:pPr>
      <w:r>
        <w:t>Details of the Technologies Used</w:t>
      </w:r>
    </w:p>
    <w:p>
      <w:pPr>
        <w:pStyle w:val="Heading3"/>
      </w:pPr>
      <w:r>
        <w:t>Hardware</w:t>
      </w:r>
    </w:p>
    <w:p>
      <w:pPr>
        <w:widowControl/>
        <w:ind w:firstLine="720"/>
      </w:pPr>
      <w:r>
        <w:rPr>
          <w:rFonts w:ascii="Times New Roman" w:hAnsi="Times New Roman"/>
          <w:sz w:val="24"/>
        </w:rPr>
        <w:t>The system required a server or hosted virtual machine capable of running Node.js and MySQL, protected storage for database and uploaded-document backups, and client computers or mobile devices with a modern web browser. During development and evaluation, ordinary desktop or laptop computers were sufficient. Production capacity was expected to be sized according to the number of concurrent users, document volume, backup retention, and institutional availability requirements.</w:t>
      </w:r>
    </w:p>
    <w:p>
      <w:pPr>
        <w:pStyle w:val="Heading3"/>
      </w:pPr>
      <w:r>
        <w:t>Software</w:t>
      </w:r>
    </w:p>
    <w:p>
      <w:pPr>
        <w:pStyle w:val="ListBullet"/>
        <w:spacing w:after="0"/>
        <w:ind w:left="720" w:hanging="360"/>
      </w:pPr>
      <w:r>
        <w:rPr>
          <w:rFonts w:ascii="Times New Roman" w:hAnsi="Times New Roman"/>
          <w:sz w:val="24"/>
        </w:rPr>
        <w:t>React, TypeScript, Vite, Material UI, Tailwind CSS, React Router, TanStack Query, Axios, React Hook Form, and Zod were used for the web interface, navigation, server-state handling, forms, and validation.</w:t>
      </w:r>
    </w:p>
    <w:p>
      <w:pPr>
        <w:pStyle w:val="ListBullet"/>
        <w:spacing w:after="0"/>
        <w:ind w:left="720" w:hanging="360"/>
      </w:pPr>
      <w:r>
        <w:rPr>
          <w:rFonts w:ascii="Times New Roman" w:hAnsi="Times New Roman"/>
          <w:sz w:val="24"/>
        </w:rPr>
        <w:t>NestJS and TypeScript were used for the REST API, dependency injection, controllers, services, guards, validation, OpenAPI documentation, and rate limiting.</w:t>
      </w:r>
    </w:p>
    <w:p>
      <w:pPr>
        <w:pStyle w:val="ListBullet"/>
        <w:spacing w:after="0"/>
        <w:ind w:left="720" w:hanging="360"/>
      </w:pPr>
      <w:r>
        <w:rPr>
          <w:rFonts w:ascii="Times New Roman" w:hAnsi="Times New Roman"/>
          <w:sz w:val="24"/>
        </w:rPr>
        <w:t>MySQL was used for relational persistence, while Prisma supplied the schema, type-safe data access, controlled migrations, indexing, and seed operations.</w:t>
      </w:r>
    </w:p>
    <w:p>
      <w:pPr>
        <w:pStyle w:val="ListBullet"/>
        <w:spacing w:after="0"/>
        <w:ind w:left="720" w:hanging="360"/>
      </w:pPr>
      <w:r>
        <w:rPr>
          <w:rFonts w:ascii="Times New Roman" w:hAnsi="Times New Roman"/>
          <w:sz w:val="24"/>
        </w:rPr>
        <w:t>JSON Web Tokens, hashed passwords, rotated hashed refresh tokens, Helmet, CORS policy, role permissions, patient ownership checks, private storage authorization, audit logging, and redaction supported security and privacy.</w:t>
      </w:r>
    </w:p>
    <w:p>
      <w:pPr>
        <w:pStyle w:val="ListBullet"/>
        <w:spacing w:after="0"/>
        <w:ind w:left="720" w:hanging="360"/>
      </w:pPr>
      <w:r>
        <w:rPr>
          <w:rFonts w:ascii="Times New Roman" w:hAnsi="Times New Roman"/>
          <w:sz w:val="24"/>
        </w:rPr>
        <w:t>Jest, Supertest, Vitest, Testing Library, ESLint, and continuous integration were used to verify backend, frontend, authorization, integration, build, and code-quality behavior.</w:t>
      </w:r>
    </w:p>
    <w:p>
      <w:pPr>
        <w:pStyle w:val="Heading3"/>
      </w:pPr>
      <w:r>
        <w:t>Peopleware</w:t>
      </w:r>
    </w:p>
    <w:p>
      <w:pPr>
        <w:widowControl/>
        <w:ind w:firstLine="720"/>
      </w:pPr>
      <w:r>
        <w:rPr>
          <w:rFonts w:ascii="Times New Roman" w:hAnsi="Times New Roman"/>
          <w:sz w:val="24"/>
        </w:rPr>
        <w:t>The peopleware component included the student development team, capstone adviser and panel, institutional administrators, clinic nurses, physicians, clinic staff, students, and faculty or staff users. The development team analyzed requirements, designed the architecture and interface, implemented the system, wrote tests, and prepared documentation. Clinic and administrative stakeholders supplied workflow knowledge and were expected to validate usability and policy alignment. End users required orientation appropriate to their assigned role, particularly for privacy, evidence review, clinical documentation, and audit accountability.</w:t>
      </w:r>
    </w:p>
    <w:p>
      <w:pPr>
        <w:pStyle w:val="Heading3"/>
      </w:pPr>
      <w:r>
        <w:t>Network</w:t>
      </w:r>
    </w:p>
    <w:p>
      <w:pPr>
        <w:widowControl/>
        <w:ind w:firstLine="720"/>
      </w:pPr>
      <w:r>
        <w:rPr>
          <w:rFonts w:ascii="Times New Roman" w:hAnsi="Times New Roman"/>
          <w:sz w:val="24"/>
        </w:rPr>
        <w:t>The system used a client-server network model. Users accessed the web application through a browser, and the frontend sent authenticated HTTPS requests to the API. The API alone communicated with MySQL and private document storage. Production deployment required Transport Layer Security, restricted database access, secure secret management, controlled cross-origin settings, reliable local or internet connectivity, firewall rules, backups, and monitoring. The database and storage services were not intended to be exposed directly to end users.</w:t>
      </w:r>
    </w:p>
    <w:p>
      <w:pPr>
        <w:pStyle w:val="Heading3"/>
      </w:pPr>
      <w:r>
        <w:t>Conceptual Framework</w:t>
      </w:r>
    </w:p>
    <w:p>
      <w:pPr>
        <w:widowControl/>
        <w:ind w:firstLine="720"/>
      </w:pPr>
      <w:r>
        <w:rPr>
          <w:rFonts w:ascii="Times New Roman" w:hAnsi="Times New Roman"/>
          <w:sz w:val="24"/>
        </w:rPr>
        <w:t>The project followed an Input Process Output framework. Inputs represented the institutional requirements, users, data, policies, and technologies needed by the project. Processes represented the analysis, design, implementation, validation, and operational rules that transformed those inputs. Outputs represented the completed system and the intended improvements in clinic information management.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2880"/>
        <w:gridCol w:w="2880"/>
      </w:tblGrid>
      <w:tr>
        <w:tc>
          <w:tcPr>
            <w:tcW w:type="dxa" w:w="3110"/>
            <w:vAlign w:val="center"/>
            <w:tcMar>
              <w:top w:w="90" w:type="dxa"/>
              <w:start w:w="100" w:type="dxa"/>
              <w:bottom w:w="90" w:type="dxa"/>
              <w:end w:w="100" w:type="dxa"/>
            </w:tcMar>
            <w:shd w:fill="1F4E78"/>
          </w:tcPr>
          <w:p>
            <w:pPr>
              <w:spacing w:after="0" w:line="240" w:lineRule="auto"/>
            </w:pPr>
            <w:r>
              <w:rPr>
                <w:rFonts w:ascii="Times New Roman" w:hAnsi="Times New Roman"/>
                <w:b/>
                <w:color w:val="FFFFFF"/>
                <w:sz w:val="24"/>
              </w:rPr>
              <w:t>INPUT</w:t>
            </w:r>
          </w:p>
        </w:tc>
        <w:tc>
          <w:tcPr>
            <w:tcW w:type="dxa" w:w="3110"/>
            <w:vAlign w:val="center"/>
            <w:tcMar>
              <w:top w:w="90" w:type="dxa"/>
              <w:start w:w="100" w:type="dxa"/>
              <w:bottom w:w="90" w:type="dxa"/>
              <w:end w:w="100" w:type="dxa"/>
            </w:tcMar>
            <w:shd w:fill="1F4E78"/>
          </w:tcPr>
          <w:p>
            <w:pPr>
              <w:spacing w:after="0" w:line="240" w:lineRule="auto"/>
            </w:pPr>
            <w:r>
              <w:rPr>
                <w:rFonts w:ascii="Times New Roman" w:hAnsi="Times New Roman"/>
                <w:b/>
                <w:color w:val="FFFFFF"/>
                <w:sz w:val="24"/>
              </w:rPr>
              <w:t>PROCESS</w:t>
            </w:r>
          </w:p>
        </w:tc>
        <w:tc>
          <w:tcPr>
            <w:tcW w:type="dxa" w:w="3110"/>
            <w:vAlign w:val="center"/>
            <w:tcMar>
              <w:top w:w="90" w:type="dxa"/>
              <w:start w:w="100" w:type="dxa"/>
              <w:bottom w:w="90" w:type="dxa"/>
              <w:end w:w="100" w:type="dxa"/>
            </w:tcMar>
            <w:shd w:fill="1F4E78"/>
          </w:tcPr>
          <w:p>
            <w:pPr>
              <w:spacing w:after="0" w:line="240" w:lineRule="auto"/>
            </w:pPr>
            <w:r>
              <w:rPr>
                <w:rFonts w:ascii="Times New Roman" w:hAnsi="Times New Roman"/>
                <w:b/>
                <w:color w:val="FFFFFF"/>
                <w:sz w:val="24"/>
              </w:rPr>
              <w:t>OUTPUT</w:t>
            </w:r>
          </w:p>
        </w:tc>
      </w:tr>
      <w:tr>
        <w:tc>
          <w:tcPr>
            <w:tcW w:type="dxa" w:w="3110"/>
            <w:vAlign w:val="center"/>
            <w:tcMar>
              <w:top w:w="90" w:type="dxa"/>
              <w:start w:w="100" w:type="dxa"/>
              <w:bottom w:w="90" w:type="dxa"/>
              <w:end w:w="100" w:type="dxa"/>
            </w:tcMar>
          </w:tcPr>
          <w:p>
            <w:pPr>
              <w:spacing w:after="0" w:line="240" w:lineRule="auto"/>
            </w:pPr>
            <w:r>
              <w:rPr>
                <w:rFonts w:ascii="Times New Roman" w:hAnsi="Times New Roman"/>
                <w:b w:val="0"/>
                <w:sz w:val="24"/>
              </w:rPr>
              <w:t>Stakeholder and clinic workflow requirements</w:t>
              <w:br/>
              <w:t>Patient, academic, clinical, document, and inventory data</w:t>
              <w:br/>
              <w:t>Privacy, authorization, retention, and audit requirements</w:t>
              <w:br/>
              <w:t>Development team, clinic personnel, and users</w:t>
              <w:br/>
              <w:t>React, NestJS, Prisma, MySQL, testing, and deployment resources</w:t>
            </w:r>
          </w:p>
        </w:tc>
        <w:tc>
          <w:tcPr>
            <w:tcW w:type="dxa" w:w="3110"/>
            <w:vAlign w:val="center"/>
            <w:tcMar>
              <w:top w:w="90" w:type="dxa"/>
              <w:start w:w="100" w:type="dxa"/>
              <w:bottom w:w="90" w:type="dxa"/>
              <w:end w:w="100" w:type="dxa"/>
            </w:tcMar>
          </w:tcPr>
          <w:p>
            <w:pPr>
              <w:spacing w:after="0" w:line="240" w:lineRule="auto"/>
            </w:pPr>
            <w:r>
              <w:rPr>
                <w:rFonts w:ascii="Times New Roman" w:hAnsi="Times New Roman"/>
                <w:b w:val="0"/>
                <w:sz w:val="24"/>
              </w:rPr>
              <w:t>Requirements analysis and workflow mapping</w:t>
              <w:br/>
              <w:t>Database, API, security, and interface design</w:t>
              <w:br/>
              <w:t>Iterative implementation of domain modules</w:t>
              <w:br/>
              <w:t>Validation of roles, ownership, states, and data invariants</w:t>
              <w:br/>
              <w:t>Unit, frontend, integration, security, and acceptance testing</w:t>
              <w:br/>
              <w:t>Deployment preparation, training, maintenance, and review</w:t>
            </w:r>
          </w:p>
        </w:tc>
        <w:tc>
          <w:tcPr>
            <w:tcW w:type="dxa" w:w="3110"/>
            <w:vAlign w:val="center"/>
            <w:tcMar>
              <w:top w:w="90" w:type="dxa"/>
              <w:start w:w="100" w:type="dxa"/>
              <w:bottom w:w="90" w:type="dxa"/>
              <w:end w:w="100" w:type="dxa"/>
            </w:tcMar>
          </w:tcPr>
          <w:p>
            <w:pPr>
              <w:spacing w:after="0" w:line="240" w:lineRule="auto"/>
            </w:pPr>
            <w:r>
              <w:rPr>
                <w:rFonts w:ascii="Times New Roman" w:hAnsi="Times New Roman"/>
                <w:b w:val="0"/>
                <w:sz w:val="24"/>
              </w:rPr>
              <w:t>CLINICKA web-based school clinic management system</w:t>
              <w:br/>
              <w:t>Centralized and traceable patient and clinic records</w:t>
              <w:br/>
              <w:t>Integrated requirements and clearance workflow</w:t>
              <w:br/>
              <w:t>Controlled self-service and role-based clinic access</w:t>
              <w:br/>
              <w:t>Accountable inventory and dispensing records</w:t>
              <w:br/>
              <w:t>Operational reports, audit history, and privacy safeguards</w:t>
            </w:r>
          </w:p>
        </w:tc>
      </w:tr>
    </w:tbl>
    <w:p>
      <w:pPr>
        <w:widowControl/>
        <w:jc w:val="center"/>
      </w:pPr>
      <w:r>
        <w:rPr>
          <w:rFonts w:ascii="Times New Roman" w:hAnsi="Times New Roman"/>
          <w:sz w:val="24"/>
        </w:rPr>
        <w:t>Figure 1. Input Process Output conceptual framework of CLINICKA.</w:t>
      </w:r>
    </w:p>
    <w:p>
      <w:pPr>
        <w:widowControl/>
        <w:ind w:firstLine="720"/>
      </w:pPr>
      <w:r>
        <w:rPr>
          <w:rFonts w:ascii="Times New Roman" w:hAnsi="Times New Roman"/>
          <w:sz w:val="24"/>
        </w:rPr>
        <w:t>The framework showed that the system was not produced by technology alone. Institutional workflow requirements, privacy obligations, accurate patient data, trained people, and dependable infrastructure formed the necessary inputs. The development and governance processes transformed those inputs into an operational system. The resulting output was expected to improve organization, traceability, controlled access, and continuity of campus clinic information, subject to the limitations stated in this chapter.</w:t>
      </w:r>
    </w:p>
    <w:p>
      <w:r>
        <w:br w:type="page"/>
      </w:r>
    </w:p>
    <w:p>
      <w:pPr>
        <w:pStyle w:val="Heading2"/>
      </w:pPr>
      <w:r>
        <w:t>References</w:t>
      </w:r>
    </w:p>
    <w:p>
      <w:pPr>
        <w:spacing w:after="120" w:line="240" w:lineRule="auto"/>
        <w:ind w:left="720" w:hanging="720"/>
      </w:pPr>
      <w:r>
        <w:rPr>
          <w:rFonts w:ascii="Times New Roman" w:hAnsi="Times New Roman"/>
          <w:sz w:val="24"/>
        </w:rPr>
        <w:t>Baker, C., &amp; Gance-Cleveland, B. (2021). Linking school nurses with health care systems using EHRs: An integrative review. The Journal of School Nursing, 37(1), 28-40. https://doi.org/10.1177/1059840520913323</w:t>
      </w:r>
    </w:p>
    <w:p>
      <w:pPr>
        <w:spacing w:after="120" w:line="240" w:lineRule="auto"/>
        <w:ind w:left="720" w:hanging="720"/>
      </w:pPr>
      <w:r>
        <w:rPr>
          <w:rFonts w:ascii="Times New Roman" w:hAnsi="Times New Roman"/>
          <w:sz w:val="24"/>
        </w:rPr>
        <w:t>Baker, C., Loresto, F., Jr., Pickett, K., Samay, S. S., &amp; Gance-Cleveland, B. (2022). Facilitating health information exchange to improve health outcomes for school-aged children: School nurse electronic health record access. Applied Clinical Informatics, 13(4), 803-810. https://doi.org/10.1055/a-1905-3729</w:t>
      </w:r>
    </w:p>
    <w:p>
      <w:pPr>
        <w:spacing w:after="120" w:line="240" w:lineRule="auto"/>
        <w:ind w:left="720" w:hanging="720"/>
      </w:pPr>
      <w:r>
        <w:rPr>
          <w:rFonts w:ascii="Times New Roman" w:hAnsi="Times New Roman"/>
          <w:sz w:val="24"/>
        </w:rPr>
        <w:t>HL7 International. (2023). FHIR overview. https://fhir.hl7.org/fhir/overview.html</w:t>
      </w:r>
    </w:p>
    <w:p>
      <w:pPr>
        <w:spacing w:after="120" w:line="240" w:lineRule="auto"/>
        <w:ind w:left="720" w:hanging="720"/>
      </w:pPr>
      <w:r>
        <w:rPr>
          <w:rFonts w:ascii="Times New Roman" w:hAnsi="Times New Roman"/>
          <w:sz w:val="24"/>
        </w:rPr>
        <w:t>Johnson, K. H., &amp; Guthrie, S. (2012). Harnessing the power of student health data: Selecting, using, and implementing electronic school health documentation systems. NASN School Nurse, 27(1), 26-33. https://doi.org/10.1177/1942602X11429828</w:t>
      </w:r>
    </w:p>
    <w:p>
      <w:pPr>
        <w:spacing w:after="120" w:line="240" w:lineRule="auto"/>
        <w:ind w:left="720" w:hanging="720"/>
      </w:pPr>
      <w:r>
        <w:rPr>
          <w:rFonts w:ascii="Times New Roman" w:hAnsi="Times New Roman"/>
          <w:sz w:val="24"/>
        </w:rPr>
        <w:t>OpenMRS. (n.d.). OpenMRS EMR product and features. Retrieved September 30, 2026, from https://openmrs.org/product/</w:t>
      </w:r>
    </w:p>
    <w:p>
      <w:pPr>
        <w:spacing w:after="120" w:line="240" w:lineRule="auto"/>
        <w:ind w:left="720" w:hanging="720"/>
      </w:pPr>
      <w:r>
        <w:rPr>
          <w:rFonts w:ascii="Times New Roman" w:hAnsi="Times New Roman"/>
          <w:sz w:val="24"/>
        </w:rPr>
        <w:t>Republic of the Philippines. (2012). Republic Act No. 10173: Data Privacy Act of 2012. Official Gazette. https://officialgazette.gov.ph/2012/08/15/republic-act-no-10173/</w:t>
      </w:r>
    </w:p>
    <w:p>
      <w:pPr>
        <w:spacing w:after="120" w:line="240" w:lineRule="auto"/>
        <w:ind w:left="720" w:hanging="720"/>
      </w:pPr>
      <w:r>
        <w:rPr>
          <w:rFonts w:ascii="Times New Roman" w:hAnsi="Times New Roman"/>
          <w:sz w:val="24"/>
        </w:rPr>
        <w:t>World Health Organization. (2021). Global strategy on digital health 2020-2025. https://www.who.int/publications/i/item/9789240020924</w:t>
      </w:r>
    </w:p>
    <w:p>
      <w:pPr>
        <w:spacing w:after="120" w:line="240" w:lineRule="auto"/>
        <w:ind w:left="720" w:hanging="720"/>
      </w:pPr>
      <w:r>
        <w:rPr>
          <w:rFonts w:ascii="Times New Roman" w:hAnsi="Times New Roman"/>
          <w:sz w:val="24"/>
        </w:rPr>
        <w:t>World Health Organization. (2025). Strategy for optimizing national routine health information systems: Strengthening routine health information systems to deliver primary health care and universal health coverage. https://www.who.int/publications/i/item/9789240087163</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CLINICKA Chapter 1 Introduction</dc:title>
  <dc:subject>BSIT Capstone Project Chapter 1</dc:subject>
  <dc:creator>CLINICKA Capstone Project Team</dc:creator>
  <cp:keywords>CLINICKA, school clinic management system, capstone project, Chapter 1</cp:keywords>
  <dc:description>generated by python-docx</dc:description>
  <cp:lastModifiedBy/>
  <cp:revision>1</cp:revision>
  <dcterms:created xsi:type="dcterms:W3CDTF">2013-12-23T23:15:00Z</dcterms:created>
  <dcterms:modified xsi:type="dcterms:W3CDTF">2013-12-23T23:15:00Z</dcterms:modified>
  <cp:category/>
</cp:coreProperties>
</file>