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FastQC report (via Python)</w:t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11624915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11437524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10698443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9578977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10607636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10417383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10510958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12780882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9892037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10202002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10785193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1376257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9662772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10526325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9766773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 SRR6175552</w:t>
      </w:r>
    </w:p>
    <w:p>
      <w:pPr>
        <w:pStyle w:val="Heading2"/>
      </w:pPr>
      <w:r>
        <w:t>summary</w:t>
      </w:r>
    </w:p>
    <w:p>
      <w:r>
        <w:t>Total Sequences</w:t>
        <w:tab/>
        <w:t>10671031</w:t>
        <w:br/>
      </w:r>
    </w:p>
    <w:p>
      <w:r>
        <w:t>PASS</w:t>
        <w:tab/>
        <w:t>Basic Statistics</w:t>
      </w:r>
    </w:p>
    <w:p>
      <w:r>
        <w:t>PASS</w:t>
        <w:tab/>
        <w:t>Per base sequence quality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