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TUBEFACTORY</w:t>
      </w:r>
    </w:p>
    <w:p>
      <w:pPr>
        <w:pStyle w:val="Title"/>
      </w:pPr>
      <w:r>
        <w:t>FaktischSimpel</w:t>
        <w:br/>
        <w:t>Automatisierungsworkflow</w:t>
      </w:r>
    </w:p>
    <w:p>
      <w:pPr>
        <w:pStyle w:val="Subtitle"/>
      </w:pPr>
      <w:r>
        <w:t>Von der Themenbeobachtung über beleggebundene AI-Skripte und unabhängige Prüfung bis zum privaten Upload</w:t>
      </w:r>
    </w:p>
    <w:p/>
    <w:tbl>
      <w:tblPr>
        <w:tblW w:type="auto" w:w="0"/>
        <w:jc w:val="center"/>
        <w:tblLook w:firstColumn="1" w:firstRow="1" w:lastColumn="0" w:lastRow="0" w:noHBand="0" w:noVBand="1" w:val="04A0"/>
      </w:tblPr>
      <w:tblGrid>
        <w:gridCol w:w="9752"/>
      </w:tblGrid>
      <w:tr>
        <w:tc>
          <w:tcPr>
            <w:tcW w:type="dxa" w:w="9752"/>
            <w:shd w:fill="0D6F70"/>
          </w:tcPr>
          <w:p>
            <w:pPr>
              <w:jc w:val="center"/>
            </w:pPr>
            <w:r>
              <w:rPr>
                <w:b/>
                <w:color w:val="FFFFFF"/>
                <w:sz w:val="20"/>
              </w:rPr>
              <w:t>LIVE VALIDIERT: 22. JULI 2026  |  BRANCH: dev  |  WORKFLOW: v2</w:t>
            </w:r>
          </w:p>
        </w:tc>
      </w:tr>
    </w:tbl>
    <w:p/>
    <w:p>
      <w:r>
        <w:t>Dieses Dokument hält die implementierte und live konfigurierte FaktischSimpel-Pipeline fest. Sie automatisiert wiederkehrende Recherche- und Produktionsschritte, ohne redaktionelle Freigaben, Quellenbindung oder die private Standardveröffentlichung aufzuweichen.</w:t>
      </w:r>
    </w:p>
    <w:tbl>
      <w:tblPr>
        <w:tblW w:type="auto" w:w="0"/>
        <w:jc w:val="center"/>
        <w:tblLook w:firstColumn="1" w:firstRow="1" w:lastColumn="0" w:lastRow="0" w:noHBand="0" w:noVBand="1" w:val="04A0"/>
      </w:tblPr>
      <w:tblGrid>
        <w:gridCol w:w="9752"/>
      </w:tblGrid>
      <w:tr>
        <w:tc>
          <w:tcPr>
            <w:tcW w:type="dxa" w:w="9752"/>
            <w:shd w:fill="EAF4F4"/>
          </w:tcPr>
          <w:p>
            <w:pPr>
              <w:spacing w:after="40"/>
            </w:pPr>
            <w:r>
              <w:rPr>
                <w:b/>
                <w:color w:val="0D6F70"/>
              </w:rPr>
              <w:t xml:space="preserve">Kurzantwort  </w:t>
            </w:r>
            <w:r>
              <w:t>Ja. TubeFactory kann geeignete Themen regelmäßig entdecken, Quellen verarbeiten, ein kanaltypisches deutsches Erklärskript schreiben, dieses unabhängig prüfen, ein Storyboard erzeugen und Medien vorbereiten. Redaktionelle Entscheidungen und die öffentliche Veröffentlichung bleiben bewusst menschliche Freigaben.</w:t>
            </w:r>
          </w:p>
        </w:tc>
      </w:tr>
    </w:tbl>
    <w:p>
      <w:pPr>
        <w:spacing w:after="0"/>
      </w:pP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0D6F70"/>
            <w:vAlign w:val="center"/>
          </w:tcPr>
          <w:p>
            <w:r/>
            <w:r>
              <w:rPr>
                <w:rFonts w:ascii="Liberation Sans" w:hAnsi="Liberation Sans"/>
                <w:b/>
                <w:color w:val="FFFFFF"/>
                <w:sz w:val="17"/>
              </w:rPr>
              <w:t>Baustein</w:t>
            </w:r>
          </w:p>
        </w:tc>
        <w:tc>
          <w:tcPr>
            <w:tcW w:type="dxa" w:w="4876"/>
            <w:shd w:fill="0D6F70"/>
            <w:vAlign w:val="center"/>
          </w:tcPr>
          <w:p>
            <w:r/>
            <w:r>
              <w:rPr>
                <w:rFonts w:ascii="Liberation Sans" w:hAnsi="Liberation Sans"/>
                <w:b/>
                <w:color w:val="FFFFFF"/>
                <w:sz w:val="17"/>
              </w:rPr>
              <w:t>Live-Status</w:t>
            </w:r>
          </w:p>
        </w:tc>
      </w:tr>
      <w:tr>
        <w:tc>
          <w:tcPr>
            <w:tcW w:type="dxa" w:w="4876"/>
            <w:vAlign w:val="center"/>
            <w:shd w:fill="F3F7F7"/>
          </w:tcPr>
          <w:p>
            <w:r/>
            <w:r>
              <w:rPr>
                <w:rFonts w:ascii="Liberation Sans" w:hAnsi="Liberation Sans"/>
                <w:b/>
                <w:color w:val="142C35"/>
                <w:sz w:val="17"/>
              </w:rPr>
              <w:t>Kanal</w:t>
            </w:r>
          </w:p>
        </w:tc>
        <w:tc>
          <w:tcPr>
            <w:tcW w:type="dxa" w:w="4876"/>
            <w:vAlign w:val="center"/>
          </w:tcPr>
          <w:p>
            <w:r/>
            <w:r>
              <w:rPr>
                <w:rFonts w:ascii="Liberation Sans" w:hAnsi="Liberation Sans"/>
                <w:b w:val="0"/>
                <w:color w:val="142C35"/>
                <w:sz w:val="17"/>
              </w:rPr>
              <w:t>FaktischSimpel, aktiv, Version 3, Sprache de</w:t>
            </w:r>
          </w:p>
        </w:tc>
      </w:tr>
      <w:tr>
        <w:tc>
          <w:tcPr>
            <w:tcW w:type="dxa" w:w="4876"/>
            <w:vAlign w:val="center"/>
            <w:shd w:fill="F3F7F7"/>
          </w:tcPr>
          <w:p>
            <w:r/>
            <w:r>
              <w:rPr>
                <w:rFonts w:ascii="Liberation Sans" w:hAnsi="Liberation Sans"/>
                <w:b/>
                <w:color w:val="142C35"/>
                <w:sz w:val="17"/>
              </w:rPr>
              <w:t>Workflow</w:t>
            </w:r>
          </w:p>
        </w:tc>
        <w:tc>
          <w:tcPr>
            <w:tcW w:type="dxa" w:w="4876"/>
            <w:vAlign w:val="center"/>
          </w:tcPr>
          <w:p>
            <w:r/>
            <w:r>
              <w:rPr>
                <w:rFonts w:ascii="Liberation Sans" w:hAnsi="Liberation Sans"/>
                <w:b w:val="0"/>
                <w:color w:val="142C35"/>
                <w:sz w:val="17"/>
              </w:rPr>
              <w:t>faktischsimpel.explainer, 13 Stufen, aktiv</w:t>
            </w:r>
          </w:p>
        </w:tc>
      </w:tr>
      <w:tr>
        <w:tc>
          <w:tcPr>
            <w:tcW w:type="dxa" w:w="4876"/>
            <w:vAlign w:val="center"/>
            <w:shd w:fill="F3F7F7"/>
          </w:tcPr>
          <w:p>
            <w:r/>
            <w:r>
              <w:rPr>
                <w:rFonts w:ascii="Liberation Sans" w:hAnsi="Liberation Sans"/>
                <w:b/>
                <w:color w:val="142C35"/>
                <w:sz w:val="17"/>
              </w:rPr>
              <w:t>Themenradar</w:t>
            </w:r>
          </w:p>
        </w:tc>
        <w:tc>
          <w:tcPr>
            <w:tcW w:type="dxa" w:w="4876"/>
            <w:vAlign w:val="center"/>
          </w:tcPr>
          <w:p>
            <w:r/>
            <w:r>
              <w:rPr>
                <w:rFonts w:ascii="Liberation Sans" w:hAnsi="Liberation Sans"/>
                <w:b w:val="0"/>
                <w:color w:val="142C35"/>
                <w:sz w:val="17"/>
              </w:rPr>
              <w:t>FaktischSimpel Themenradar, aktiv, Version 3</w:t>
            </w:r>
          </w:p>
        </w:tc>
      </w:tr>
      <w:tr>
        <w:tc>
          <w:tcPr>
            <w:tcW w:type="dxa" w:w="4876"/>
            <w:vAlign w:val="center"/>
            <w:shd w:fill="F3F7F7"/>
          </w:tcPr>
          <w:p>
            <w:r/>
            <w:r>
              <w:rPr>
                <w:rFonts w:ascii="Liberation Sans" w:hAnsi="Liberation Sans"/>
                <w:b/>
                <w:color w:val="142C35"/>
                <w:sz w:val="17"/>
              </w:rPr>
              <w:t>Zeitplan</w:t>
            </w:r>
          </w:p>
        </w:tc>
        <w:tc>
          <w:tcPr>
            <w:tcW w:type="dxa" w:w="4876"/>
            <w:vAlign w:val="center"/>
          </w:tcPr>
          <w:p>
            <w:r/>
            <w:r>
              <w:rPr>
                <w:rFonts w:ascii="Liberation Sans" w:hAnsi="Liberation Sans"/>
                <w:b w:val="0"/>
                <w:color w:val="142C35"/>
                <w:sz w:val="17"/>
              </w:rPr>
              <w:t>Montags 07:00 Uhr, Europe/Berlin</w:t>
            </w:r>
          </w:p>
        </w:tc>
      </w:tr>
      <w:tr>
        <w:tc>
          <w:tcPr>
            <w:tcW w:type="dxa" w:w="4876"/>
            <w:vAlign w:val="center"/>
            <w:shd w:fill="F3F7F7"/>
          </w:tcPr>
          <w:p>
            <w:r/>
            <w:r>
              <w:rPr>
                <w:rFonts w:ascii="Liberation Sans" w:hAnsi="Liberation Sans"/>
                <w:b/>
                <w:color w:val="142C35"/>
                <w:sz w:val="17"/>
              </w:rPr>
              <w:t>Zielvideo</w:t>
            </w:r>
          </w:p>
        </w:tc>
        <w:tc>
          <w:tcPr>
            <w:tcW w:type="dxa" w:w="4876"/>
            <w:vAlign w:val="center"/>
          </w:tcPr>
          <w:p>
            <w:r/>
            <w:r>
              <w:rPr>
                <w:rFonts w:ascii="Liberation Sans" w:hAnsi="Liberation Sans"/>
                <w:b w:val="0"/>
                <w:color w:val="142C35"/>
                <w:sz w:val="17"/>
              </w:rPr>
              <w:t>Evidenzgebundenes Erklärvideo, etwa 6–10 Minuten</w:t>
            </w:r>
          </w:p>
        </w:tc>
      </w:tr>
      <w:tr>
        <w:tc>
          <w:tcPr>
            <w:tcW w:type="dxa" w:w="4876"/>
            <w:vAlign w:val="center"/>
            <w:shd w:fill="F3F7F7"/>
          </w:tcPr>
          <w:p>
            <w:r/>
            <w:r>
              <w:rPr>
                <w:rFonts w:ascii="Liberation Sans" w:hAnsi="Liberation Sans"/>
                <w:b/>
                <w:color w:val="142C35"/>
                <w:sz w:val="17"/>
              </w:rPr>
              <w:t>Veröffentlichung</w:t>
            </w:r>
          </w:p>
        </w:tc>
        <w:tc>
          <w:tcPr>
            <w:tcW w:type="dxa" w:w="4876"/>
            <w:vAlign w:val="center"/>
          </w:tcPr>
          <w:p>
            <w:r/>
            <w:r>
              <w:rPr>
                <w:rFonts w:ascii="Liberation Sans" w:hAnsi="Liberation Sans"/>
                <w:b w:val="0"/>
                <w:color w:val="142C35"/>
                <w:sz w:val="17"/>
              </w:rPr>
              <w:t>Privater Upload; öffentliche Freigabe separat</w:t>
            </w:r>
          </w:p>
        </w:tc>
      </w:tr>
    </w:tbl>
    <w:p/>
    <w:p>
      <w:r>
        <w:br w:type="page"/>
      </w:r>
    </w:p>
    <w:p>
      <w:pPr>
        <w:pStyle w:val="Heading1"/>
      </w:pPr>
      <w:r>
        <w:t>1. Geplante und umgesetzte Vorgehensweise</w:t>
      </w:r>
    </w:p>
    <w:p>
      <w:r>
        <w:t>Die Kanalbeschreibung wurde nicht als bloßer Schreibstil interpretiert, sondern in eine überprüfbare Produktionslogik übersetzt: verständlicher Einstieg, schrittweiser Wissensaufbau, klare Trennung von gesichertem Wissen, unterschiedlichen Einschätzungen und offenen Fragen sowie eine überprüfbare Quellenkette.</w:t>
      </w:r>
    </w:p>
    <w:p>
      <w:pPr>
        <w:ind w:left="369" w:hanging="369"/>
      </w:pPr>
      <w:r>
        <w:rPr>
          <w:b/>
        </w:rPr>
        <w:t xml:space="preserve">1. </w:t>
      </w:r>
      <w:r>
        <w:t>Ein wöchentliches Themenradar sucht konkrete, zeitgemäße Erklärfragen und unterdrückt ungeeignete Blickwinkel, Werbung, reine Meinung und Dubletten.</w:t>
      </w:r>
    </w:p>
    <w:p>
      <w:pPr>
        <w:ind w:left="369" w:hanging="369"/>
      </w:pPr>
      <w:r>
        <w:rPr>
          <w:b/>
        </w:rPr>
        <w:t xml:space="preserve">2. </w:t>
      </w:r>
      <w:r>
        <w:t>Ein Mensch prüft Thema, Publikumsnutzen und Quellenpotenzial, bevor kostenintensive Recherche beginnt.</w:t>
      </w:r>
    </w:p>
    <w:p>
      <w:pPr>
        <w:ind w:left="369" w:hanging="369"/>
      </w:pPr>
      <w:r>
        <w:rPr>
          <w:b/>
        </w:rPr>
        <w:t xml:space="preserve">3. </w:t>
      </w:r>
      <w:r>
        <w:t>Die KI zerlegt das Thema in mindestens sechs Erkläreinheiten. Quellen werden normalisiert und als unveränderliche Snapshots gesichert; Claims bleiben exakt an Fundstellen gebunden.</w:t>
      </w:r>
    </w:p>
    <w:p>
      <w:pPr>
        <w:ind w:left="369" w:hanging="369"/>
      </w:pPr>
      <w:r>
        <w:rPr>
          <w:b/>
        </w:rPr>
        <w:t xml:space="preserve">4. </w:t>
      </w:r>
      <w:r>
        <w:t>Explanation Readiness prüft Wort- und Zeitkorridor, Claim-Dichte, Abdeckung aller wesentlichen Erkläreinheiten, unabhängige Quellen, Primärquellen und Gegenbelegsuche. Lücken lösen bis zu drei gezielte Evidenzrunden aus.</w:t>
      </w:r>
    </w:p>
    <w:p>
      <w:pPr>
        <w:ind w:left="369" w:hanging="369"/>
      </w:pPr>
      <w:r>
        <w:rPr>
          <w:b/>
        </w:rPr>
        <w:t xml:space="preserve">5. </w:t>
      </w:r>
      <w:r>
        <w:t>Der Script Writer erzeugt ein deutsches, schrittweises Erklärskript ausschließlich aus freigegebenen Claims und Evidence-IDs.</w:t>
      </w:r>
    </w:p>
    <w:p>
      <w:pPr>
        <w:ind w:left="369" w:hanging="369"/>
      </w:pPr>
      <w:r>
        <w:rPr>
          <w:b/>
        </w:rPr>
        <w:t xml:space="preserve">6. </w:t>
      </w:r>
      <w:r>
        <w:t>Ein separat zugewiesenes Verifier-Modell kontrolliert Belegtreue, Kausalität, Unsicherheit, Gegenpositionen und Verständlichkeit.</w:t>
      </w:r>
    </w:p>
    <w:p>
      <w:pPr>
        <w:ind w:left="369" w:hanging="369"/>
      </w:pPr>
      <w:r>
        <w:rPr>
          <w:b/>
        </w:rPr>
        <w:t xml:space="preserve">7. </w:t>
      </w:r>
      <w:r>
        <w:t>Das Storyboard übersetzt jeden Erklärschritt in quellengebundene, zugängliche Visuals; synthetische Darstellungen realer Ereignisse dürfen nicht wie Dokumentation wirken.</w:t>
      </w:r>
    </w:p>
    <w:p>
      <w:pPr>
        <w:ind w:left="369" w:hanging="369"/>
      </w:pPr>
      <w:r>
        <w:rPr>
          <w:b/>
        </w:rPr>
        <w:t xml:space="preserve">8. </w:t>
      </w:r>
      <w:r>
        <w:t>Nach Skript, Storyboard und exaktem Render greifen eigene menschliche Gates. Der Upload erfolgt privat, die Veröffentlichung separat.</w:t>
      </w:r>
    </w:p>
    <w:p>
      <w:pPr>
        <w:keepNext/>
        <w:jc w:val="center"/>
      </w:pPr>
      <w:r>
        <w:drawing>
          <wp:inline xmlns:a="http://schemas.openxmlformats.org/drawingml/2006/main" xmlns:pic="http://schemas.openxmlformats.org/drawingml/2006/picture">
            <wp:extent cx="5715000" cy="4498503"/>
            <wp:docPr id="1" name="Picture 1"/>
            <wp:cNvGraphicFramePr>
              <a:graphicFrameLocks noChangeAspect="1"/>
            </wp:cNvGraphicFramePr>
            <a:graphic>
              <a:graphicData uri="http://schemas.openxmlformats.org/drawingml/2006/picture">
                <pic:pic>
                  <pic:nvPicPr>
                    <pic:cNvPr id="0" name="01-automation-overview.png"/>
                    <pic:cNvPicPr/>
                  </pic:nvPicPr>
                  <pic:blipFill>
                    <a:blip r:embed="rId11"/>
                    <a:stretch>
                      <a:fillRect/>
                    </a:stretch>
                  </pic:blipFill>
                  <pic:spPr>
                    <a:xfrm>
                      <a:off x="0" y="0"/>
                      <a:ext cx="5715000" cy="4498503"/>
                    </a:xfrm>
                    <a:prstGeom prst="rect"/>
                  </pic:spPr>
                </pic:pic>
              </a:graphicData>
            </a:graphic>
          </wp:inline>
        </w:drawing>
      </w:r>
    </w:p>
    <w:p>
      <w:pPr>
        <w:spacing w:before="60" w:after="160"/>
        <w:jc w:val="center"/>
      </w:pPr>
      <w:r>
        <w:rPr>
          <w:i/>
          <w:color w:val="5E6E74"/>
          <w:sz w:val="16"/>
        </w:rPr>
        <w:t>Abbildung 1 – Der live angezeigte 13-stufige FaktischSimpel-Workflow mit automatischen, assistierten und menschlichen Schritten.</w:t>
      </w:r>
    </w:p>
    <w:p>
      <w:r>
        <w:br w:type="page"/>
      </w:r>
    </w:p>
    <w:p>
      <w:pPr>
        <w:pStyle w:val="Heading1"/>
      </w:pPr>
      <w:r>
        <w:t>2. Sicherheits- und Qualitätsgrenzen</w:t>
      </w:r>
    </w:p>
    <w:p>
      <w:r>
        <w:t>Kanal-Prompts werden zusätzlich zu den globalen Prompt-Verträgen geladen. Sie dürfen deshalb Ton, Aufbau und Erklärstrategie verfeinern, aber keine technischen oder redaktionellen Schutzregeln ersetzen.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0D6F70"/>
            <w:vAlign w:val="center"/>
          </w:tcPr>
          <w:p>
            <w:r/>
            <w:r>
              <w:rPr>
                <w:rFonts w:ascii="Liberation Sans" w:hAnsi="Liberation Sans"/>
                <w:b/>
                <w:color w:val="FFFFFF"/>
                <w:sz w:val="17"/>
              </w:rPr>
              <w:t>Grenze</w:t>
            </w:r>
          </w:p>
        </w:tc>
        <w:tc>
          <w:tcPr>
            <w:tcW w:type="dxa" w:w="4876"/>
            <w:shd w:fill="0D6F70"/>
            <w:vAlign w:val="center"/>
          </w:tcPr>
          <w:p>
            <w:r/>
            <w:r>
              <w:rPr>
                <w:rFonts w:ascii="Liberation Sans" w:hAnsi="Liberation Sans"/>
                <w:b/>
                <w:color w:val="FFFFFF"/>
                <w:sz w:val="17"/>
              </w:rPr>
              <w:t>Erzwungenes Verhalten</w:t>
            </w:r>
          </w:p>
        </w:tc>
      </w:tr>
      <w:tr>
        <w:tc>
          <w:tcPr>
            <w:tcW w:type="dxa" w:w="4876"/>
            <w:vAlign w:val="center"/>
            <w:shd w:fill="F3F7F7"/>
          </w:tcPr>
          <w:p>
            <w:r/>
            <w:r>
              <w:rPr>
                <w:rFonts w:ascii="Liberation Sans" w:hAnsi="Liberation Sans"/>
                <w:b/>
                <w:color w:val="142C35"/>
                <w:sz w:val="17"/>
              </w:rPr>
              <w:t>Freigegebene Claims</w:t>
            </w:r>
          </w:p>
        </w:tc>
        <w:tc>
          <w:tcPr>
            <w:tcW w:type="dxa" w:w="4876"/>
            <w:vAlign w:val="center"/>
          </w:tcPr>
          <w:p>
            <w:r/>
            <w:r>
              <w:rPr>
                <w:rFonts w:ascii="Liberation Sans" w:hAnsi="Liberation Sans"/>
                <w:b w:val="0"/>
                <w:color w:val="142C35"/>
                <w:sz w:val="17"/>
              </w:rPr>
              <w:t>Das Modell darf keine zusätzlichen Fakten erfinden oder aus allgemeinem Vorwissen ergänzen.</w:t>
            </w:r>
          </w:p>
        </w:tc>
      </w:tr>
      <w:tr>
        <w:tc>
          <w:tcPr>
            <w:tcW w:type="dxa" w:w="4876"/>
            <w:vAlign w:val="center"/>
            <w:shd w:fill="F3F7F7"/>
          </w:tcPr>
          <w:p>
            <w:r/>
            <w:r>
              <w:rPr>
                <w:rFonts w:ascii="Liberation Sans" w:hAnsi="Liberation Sans"/>
                <w:b/>
                <w:color w:val="142C35"/>
                <w:sz w:val="17"/>
              </w:rPr>
              <w:t>Exakte Belegbindung</w:t>
            </w:r>
          </w:p>
        </w:tc>
        <w:tc>
          <w:tcPr>
            <w:tcW w:type="dxa" w:w="4876"/>
            <w:vAlign w:val="center"/>
          </w:tcPr>
          <w:p>
            <w:r/>
            <w:r>
              <w:rPr>
                <w:rFonts w:ascii="Liberation Sans" w:hAnsi="Liberation Sans"/>
                <w:b w:val="0"/>
                <w:color w:val="142C35"/>
                <w:sz w:val="17"/>
              </w:rPr>
              <w:t>Jede Tatsachenbehauptung benötigt den identischen Narrationstext, korrekte Zeichenpositionen und eine freigegebene Evidence-ID.</w:t>
            </w:r>
          </w:p>
        </w:tc>
      </w:tr>
      <w:tr>
        <w:tc>
          <w:tcPr>
            <w:tcW w:type="dxa" w:w="4876"/>
            <w:vAlign w:val="center"/>
            <w:shd w:fill="F3F7F7"/>
          </w:tcPr>
          <w:p>
            <w:r/>
            <w:r>
              <w:rPr>
                <w:rFonts w:ascii="Liberation Sans" w:hAnsi="Liberation Sans"/>
                <w:b/>
                <w:color w:val="142C35"/>
                <w:sz w:val="17"/>
              </w:rPr>
              <w:t>Unabhängige Prüfung</w:t>
            </w:r>
          </w:p>
        </w:tc>
        <w:tc>
          <w:tcPr>
            <w:tcW w:type="dxa" w:w="4876"/>
            <w:vAlign w:val="center"/>
          </w:tcPr>
          <w:p>
            <w:r/>
            <w:r>
              <w:rPr>
                <w:rFonts w:ascii="Liberation Sans" w:hAnsi="Liberation Sans"/>
                <w:b w:val="0"/>
                <w:color w:val="142C35"/>
                <w:sz w:val="17"/>
              </w:rPr>
              <w:t>Writer und Verifier werden getrennt geroutet; der Verifier kann das Skript blockieren.</w:t>
            </w:r>
          </w:p>
        </w:tc>
      </w:tr>
      <w:tr>
        <w:tc>
          <w:tcPr>
            <w:tcW w:type="dxa" w:w="4876"/>
            <w:vAlign w:val="center"/>
            <w:shd w:fill="F3F7F7"/>
          </w:tcPr>
          <w:p>
            <w:r/>
            <w:r>
              <w:rPr>
                <w:rFonts w:ascii="Liberation Sans" w:hAnsi="Liberation Sans"/>
                <w:b/>
                <w:color w:val="142C35"/>
                <w:sz w:val="17"/>
              </w:rPr>
              <w:t>Deterministische Verträge</w:t>
            </w:r>
          </w:p>
        </w:tc>
        <w:tc>
          <w:tcPr>
            <w:tcW w:type="dxa" w:w="4876"/>
            <w:vAlign w:val="center"/>
          </w:tcPr>
          <w:p>
            <w:r/>
            <w:r>
              <w:rPr>
                <w:rFonts w:ascii="Liberation Sans" w:hAnsi="Liberation Sans"/>
                <w:b w:val="0"/>
                <w:color w:val="142C35"/>
                <w:sz w:val="17"/>
              </w:rPr>
              <w:t>JSON-Schema und nachgelagerte Validatoren bleiben maßgeblich.</w:t>
            </w:r>
          </w:p>
        </w:tc>
      </w:tr>
      <w:tr>
        <w:tc>
          <w:tcPr>
            <w:tcW w:type="dxa" w:w="4876"/>
            <w:vAlign w:val="center"/>
            <w:shd w:fill="F3F7F7"/>
          </w:tcPr>
          <w:p>
            <w:r/>
            <w:r>
              <w:rPr>
                <w:rFonts w:ascii="Liberation Sans" w:hAnsi="Liberation Sans"/>
                <w:b/>
                <w:color w:val="142C35"/>
                <w:sz w:val="17"/>
              </w:rPr>
              <w:t>Sechs Pflicht-Gates</w:t>
            </w:r>
          </w:p>
        </w:tc>
        <w:tc>
          <w:tcPr>
            <w:tcW w:type="dxa" w:w="4876"/>
            <w:vAlign w:val="center"/>
          </w:tcPr>
          <w:p>
            <w:r/>
            <w:r>
              <w:rPr>
                <w:rFonts w:ascii="Liberation Sans" w:hAnsi="Liberation Sans"/>
                <w:b w:val="0"/>
                <w:color w:val="142C35"/>
                <w:sz w:val="17"/>
              </w:rPr>
              <w:t>Opportunity, Dossier, Skript, Storyboard, exakter Render und Veröffentlichung.</w:t>
            </w:r>
          </w:p>
        </w:tc>
      </w:tr>
      <w:tr>
        <w:tc>
          <w:tcPr>
            <w:tcW w:type="dxa" w:w="4876"/>
            <w:vAlign w:val="center"/>
            <w:shd w:fill="F3F7F7"/>
          </w:tcPr>
          <w:p>
            <w:r/>
            <w:r>
              <w:rPr>
                <w:rFonts w:ascii="Liberation Sans" w:hAnsi="Liberation Sans"/>
                <w:b/>
                <w:color w:val="142C35"/>
                <w:sz w:val="17"/>
              </w:rPr>
              <w:t>Private-by-default</w:t>
            </w:r>
          </w:p>
        </w:tc>
        <w:tc>
          <w:tcPr>
            <w:tcW w:type="dxa" w:w="4876"/>
            <w:vAlign w:val="center"/>
          </w:tcPr>
          <w:p>
            <w:r/>
            <w:r>
              <w:rPr>
                <w:rFonts w:ascii="Liberation Sans" w:hAnsi="Liberation Sans"/>
                <w:b w:val="0"/>
                <w:color w:val="142C35"/>
                <w:sz w:val="17"/>
              </w:rPr>
              <w:t>Kein kanalbezogener Prompt kann automatische öffentliche Veröffentlichung aktivieren.</w:t>
            </w:r>
          </w:p>
        </w:tc>
      </w:tr>
    </w:tbl>
    <w:p/>
    <w:tbl>
      <w:tblPr>
        <w:tblW w:type="auto" w:w="0"/>
        <w:jc w:val="center"/>
        <w:tblLook w:firstColumn="1" w:firstRow="1" w:lastColumn="0" w:lastRow="0" w:noHBand="0" w:noVBand="1" w:val="04A0"/>
      </w:tblPr>
      <w:tblGrid>
        <w:gridCol w:w="9752"/>
      </w:tblGrid>
      <w:tr>
        <w:tc>
          <w:tcPr>
            <w:tcW w:type="dxa" w:w="9752"/>
            <w:shd w:fill="EAF4F4"/>
          </w:tcPr>
          <w:p>
            <w:pPr>
              <w:spacing w:after="40"/>
            </w:pPr>
            <w:r>
              <w:rPr>
                <w:b/>
                <w:color w:val="B7791F"/>
              </w:rPr>
              <w:t xml:space="preserve">Prompt-Injection-Schutz  </w:t>
            </w:r>
            <w:r>
              <w:t>Quellinhalt wird als nicht vertrauenswürdiges Beweismaterial behandelt. Anweisungen aus Webseiten oder Dokumenten dürfen keine System-, Freigabe- oder Ausgabegrenzen verändern.</w:t>
            </w:r>
          </w:p>
        </w:tc>
      </w:tr>
    </w:tbl>
    <w:p>
      <w:pPr>
        <w:spacing w:after="0"/>
      </w:pPr>
    </w:p>
    <w:p>
      <w:pPr>
        <w:pStyle w:val="Heading2"/>
      </w:pPr>
      <w:r>
        <w:t>Warum drei getrennte Prompts?</w:t>
      </w:r>
    </w:p>
    <w:p>
      <w:pPr>
        <w:pStyle w:val="ListBullet"/>
      </w:pPr>
      <w:r>
        <w:t>Der Writer optimiert Verständlichkeit und didaktische Reihenfolge.</w:t>
      </w:r>
    </w:p>
    <w:p>
      <w:pPr>
        <w:pStyle w:val="ListBullet"/>
      </w:pPr>
      <w:r>
        <w:t>Der Verifier sucht aktiv nach unbelegten Aussagen, Übertreibung, falscher Kausalität und nur scheinbarer Ausgewogenheit.</w:t>
      </w:r>
    </w:p>
    <w:p>
      <w:pPr>
        <w:pStyle w:val="ListBullet"/>
      </w:pPr>
      <w:r>
        <w:t>Der Storyboard-Generator prüft die visuelle Belegbarkeit und vermeidet Bilder, die mehr behaupten als die Quellen.</w:t>
      </w:r>
    </w:p>
    <w:p>
      <w:pPr>
        <w:keepNext/>
        <w:jc w:val="center"/>
      </w:pPr>
      <w:r>
        <w:drawing>
          <wp:inline xmlns:a="http://schemas.openxmlformats.org/drawingml/2006/main" xmlns:pic="http://schemas.openxmlformats.org/drawingml/2006/picture">
            <wp:extent cx="5669280" cy="7695485"/>
            <wp:docPr id="2" name="Picture 2"/>
            <wp:cNvGraphicFramePr>
              <a:graphicFrameLocks noChangeAspect="1"/>
            </wp:cNvGraphicFramePr>
            <a:graphic>
              <a:graphicData uri="http://schemas.openxmlformats.org/drawingml/2006/picture">
                <pic:pic>
                  <pic:nvPicPr>
                    <pic:cNvPr id="0" name="02-writer-prompt.png"/>
                    <pic:cNvPicPr/>
                  </pic:nvPicPr>
                  <pic:blipFill>
                    <a:blip r:embed="rId12"/>
                    <a:stretch>
                      <a:fillRect/>
                    </a:stretch>
                  </pic:blipFill>
                  <pic:spPr>
                    <a:xfrm>
                      <a:off x="0" y="0"/>
                      <a:ext cx="5669280" cy="7695485"/>
                    </a:xfrm>
                    <a:prstGeom prst="rect"/>
                  </pic:spPr>
                </pic:pic>
              </a:graphicData>
            </a:graphic>
          </wp:inline>
        </w:drawing>
      </w:r>
    </w:p>
    <w:p>
      <w:pPr>
        <w:spacing w:before="60" w:after="160"/>
        <w:jc w:val="center"/>
      </w:pPr>
      <w:r>
        <w:rPr>
          <w:i/>
          <w:color w:val="5E6E74"/>
          <w:sz w:val="16"/>
        </w:rPr>
        <w:t>Abbildung 2 – Der Writer-Prompt ist im Kanalprofil sichtbar und damit für Operatoren überprüfbar.</w:t>
      </w:r>
    </w:p>
    <w:p>
      <w:r>
        <w:br w:type="page"/>
      </w:r>
    </w:p>
    <w:p>
      <w:pPr>
        <w:pStyle w:val="Heading1"/>
      </w:pPr>
      <w:r>
        <w:t>3. Themenradar konfigurieren</w:t>
      </w:r>
    </w:p>
    <w:p>
      <w:r>
        <w:t>Das Profil wurde absichtlich deaktiviert erstellt, vollständig ergänzt, mit Test plan geprüft und erst danach aktiviert. Dadurch startet kein Zeitplan mit ungeprüften Suchparametern.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0D6F70"/>
            <w:vAlign w:val="center"/>
          </w:tcPr>
          <w:p>
            <w:r/>
            <w:r>
              <w:rPr>
                <w:rFonts w:ascii="Liberation Sans" w:hAnsi="Liberation Sans"/>
                <w:b/>
                <w:color w:val="FFFFFF"/>
                <w:sz w:val="17"/>
              </w:rPr>
              <w:t>Feld</w:t>
            </w:r>
          </w:p>
        </w:tc>
        <w:tc>
          <w:tcPr>
            <w:tcW w:type="dxa" w:w="4876"/>
            <w:shd w:fill="0D6F70"/>
            <w:vAlign w:val="center"/>
          </w:tcPr>
          <w:p>
            <w:r/>
            <w:r>
              <w:rPr>
                <w:rFonts w:ascii="Liberation Sans" w:hAnsi="Liberation Sans"/>
                <w:b/>
                <w:color w:val="FFFFFF"/>
                <w:sz w:val="17"/>
              </w:rPr>
              <w:t>Konfiguration</w:t>
            </w:r>
          </w:p>
        </w:tc>
      </w:tr>
      <w:tr>
        <w:tc>
          <w:tcPr>
            <w:tcW w:type="dxa" w:w="4876"/>
            <w:vAlign w:val="center"/>
            <w:shd w:fill="F3F7F7"/>
          </w:tcPr>
          <w:p>
            <w:r/>
            <w:r>
              <w:rPr>
                <w:rFonts w:ascii="Liberation Sans" w:hAnsi="Liberation Sans"/>
                <w:b/>
                <w:color w:val="142C35"/>
                <w:sz w:val="17"/>
              </w:rPr>
              <w:t>Thema</w:t>
            </w:r>
          </w:p>
        </w:tc>
        <w:tc>
          <w:tcPr>
            <w:tcW w:type="dxa" w:w="4876"/>
            <w:vAlign w:val="center"/>
          </w:tcPr>
          <w:p>
            <w:r/>
            <w:r>
              <w:rPr>
                <w:rFonts w:ascii="Liberation Sans" w:hAnsi="Liberation Sans"/>
                <w:b w:val="0"/>
                <w:color w:val="142C35"/>
                <w:sz w:val="17"/>
              </w:rPr>
              <w:t>Erklärungsbedürftige Zusammenhänge aus Wissenschaft, Technik, Gesellschaft und Alltag mit belastbarer Evidenz und erkennbarem Nutzen für ein deutschsprachiges Publikum</w:t>
            </w:r>
          </w:p>
        </w:tc>
      </w:tr>
      <w:tr>
        <w:tc>
          <w:tcPr>
            <w:tcW w:type="dxa" w:w="4876"/>
            <w:vAlign w:val="center"/>
            <w:shd w:fill="F3F7F7"/>
          </w:tcPr>
          <w:p>
            <w:r/>
            <w:r>
              <w:rPr>
                <w:rFonts w:ascii="Liberation Sans" w:hAnsi="Liberation Sans"/>
                <w:b/>
                <w:color w:val="142C35"/>
                <w:sz w:val="17"/>
              </w:rPr>
              <w:t>Regionen</w:t>
            </w:r>
          </w:p>
        </w:tc>
        <w:tc>
          <w:tcPr>
            <w:tcW w:type="dxa" w:w="4876"/>
            <w:vAlign w:val="center"/>
          </w:tcPr>
          <w:p>
            <w:r/>
            <w:r>
              <w:rPr>
                <w:rFonts w:ascii="Liberation Sans" w:hAnsi="Liberation Sans"/>
                <w:b w:val="0"/>
                <w:color w:val="142C35"/>
                <w:sz w:val="17"/>
              </w:rPr>
              <w:t>DE, AT, CH</w:t>
            </w:r>
          </w:p>
        </w:tc>
      </w:tr>
      <w:tr>
        <w:tc>
          <w:tcPr>
            <w:tcW w:type="dxa" w:w="4876"/>
            <w:vAlign w:val="center"/>
            <w:shd w:fill="F3F7F7"/>
          </w:tcPr>
          <w:p>
            <w:r/>
            <w:r>
              <w:rPr>
                <w:rFonts w:ascii="Liberation Sans" w:hAnsi="Liberation Sans"/>
                <w:b/>
                <w:color w:val="142C35"/>
                <w:sz w:val="17"/>
              </w:rPr>
              <w:t>Frischefenster</w:t>
            </w:r>
          </w:p>
        </w:tc>
        <w:tc>
          <w:tcPr>
            <w:tcW w:type="dxa" w:w="4876"/>
            <w:vAlign w:val="center"/>
          </w:tcPr>
          <w:p>
            <w:r/>
            <w:r>
              <w:rPr>
                <w:rFonts w:ascii="Liberation Sans" w:hAnsi="Liberation Sans"/>
                <w:b w:val="0"/>
                <w:color w:val="142C35"/>
                <w:sz w:val="17"/>
              </w:rPr>
              <w:t>21 Tage</w:t>
            </w:r>
          </w:p>
        </w:tc>
      </w:tr>
      <w:tr>
        <w:tc>
          <w:tcPr>
            <w:tcW w:type="dxa" w:w="4876"/>
            <w:vAlign w:val="center"/>
            <w:shd w:fill="F3F7F7"/>
          </w:tcPr>
          <w:p>
            <w:r/>
            <w:r>
              <w:rPr>
                <w:rFonts w:ascii="Liberation Sans" w:hAnsi="Liberation Sans"/>
                <w:b/>
                <w:color w:val="142C35"/>
                <w:sz w:val="17"/>
              </w:rPr>
              <w:t>Quellenminimum</w:t>
            </w:r>
          </w:p>
        </w:tc>
        <w:tc>
          <w:tcPr>
            <w:tcW w:type="dxa" w:w="4876"/>
            <w:vAlign w:val="center"/>
          </w:tcPr>
          <w:p>
            <w:r/>
            <w:r>
              <w:rPr>
                <w:rFonts w:ascii="Liberation Sans" w:hAnsi="Liberation Sans"/>
                <w:b w:val="0"/>
                <w:color w:val="142C35"/>
                <w:sz w:val="17"/>
              </w:rPr>
              <w:t>2 unabhängige Quellen, davon mindestens 1 Primärquelle</w:t>
            </w:r>
          </w:p>
        </w:tc>
      </w:tr>
      <w:tr>
        <w:tc>
          <w:tcPr>
            <w:tcW w:type="dxa" w:w="4876"/>
            <w:vAlign w:val="center"/>
            <w:shd w:fill="F3F7F7"/>
          </w:tcPr>
          <w:p>
            <w:r/>
            <w:r>
              <w:rPr>
                <w:rFonts w:ascii="Liberation Sans" w:hAnsi="Liberation Sans"/>
                <w:b/>
                <w:color w:val="142C35"/>
                <w:sz w:val="17"/>
              </w:rPr>
              <w:t>Risikoprofil</w:t>
            </w:r>
          </w:p>
        </w:tc>
        <w:tc>
          <w:tcPr>
            <w:tcW w:type="dxa" w:w="4876"/>
            <w:vAlign w:val="center"/>
          </w:tcPr>
          <w:p>
            <w:r/>
            <w:r>
              <w:rPr>
                <w:rFonts w:ascii="Liberation Sans" w:hAnsi="Liberation Sans"/>
                <w:b w:val="0"/>
                <w:color w:val="142C35"/>
                <w:sz w:val="17"/>
              </w:rPr>
              <w:t>medium; supervised für Finance, Health und Politics</w:t>
            </w:r>
          </w:p>
        </w:tc>
      </w:tr>
      <w:tr>
        <w:tc>
          <w:tcPr>
            <w:tcW w:type="dxa" w:w="4876"/>
            <w:vAlign w:val="center"/>
            <w:shd w:fill="F3F7F7"/>
          </w:tcPr>
          <w:p>
            <w:r/>
            <w:r>
              <w:rPr>
                <w:rFonts w:ascii="Liberation Sans" w:hAnsi="Liberation Sans"/>
                <w:b/>
                <w:color w:val="142C35"/>
                <w:sz w:val="17"/>
              </w:rPr>
              <w:t>Budget</w:t>
            </w:r>
          </w:p>
        </w:tc>
        <w:tc>
          <w:tcPr>
            <w:tcW w:type="dxa" w:w="4876"/>
            <w:vAlign w:val="center"/>
          </w:tcPr>
          <w:p>
            <w:r/>
            <w:r>
              <w:rPr>
                <w:rFonts w:ascii="Liberation Sans" w:hAnsi="Liberation Sans"/>
                <w:b w:val="0"/>
                <w:color w:val="142C35"/>
                <w:sz w:val="17"/>
              </w:rPr>
              <w:t>75.000 Tokens und 1.800 GPU-Sekunden pro Produktionsrahmen</w:t>
            </w:r>
          </w:p>
        </w:tc>
      </w:tr>
      <w:tr>
        <w:tc>
          <w:tcPr>
            <w:tcW w:type="dxa" w:w="4876"/>
            <w:vAlign w:val="center"/>
            <w:shd w:fill="F3F7F7"/>
          </w:tcPr>
          <w:p>
            <w:r/>
            <w:r>
              <w:rPr>
                <w:rFonts w:ascii="Liberation Sans" w:hAnsi="Liberation Sans"/>
                <w:b/>
                <w:color w:val="142C35"/>
                <w:sz w:val="17"/>
              </w:rPr>
              <w:t>Format</w:t>
            </w:r>
          </w:p>
        </w:tc>
        <w:tc>
          <w:tcPr>
            <w:tcW w:type="dxa" w:w="4876"/>
            <w:vAlign w:val="center"/>
          </w:tcPr>
          <w:p>
            <w:r/>
            <w:r>
              <w:rPr>
                <w:rFonts w:ascii="Liberation Sans" w:hAnsi="Liberation Sans"/>
                <w:b w:val="0"/>
                <w:color w:val="142C35"/>
                <w:sz w:val="17"/>
              </w:rPr>
              <w:t>evidence_first_explainer, Ziel 480 Sekunden</w:t>
            </w:r>
          </w:p>
        </w:tc>
      </w:tr>
    </w:tbl>
    <w:p/>
    <w:p>
      <w:pPr>
        <w:pStyle w:val="Heading2"/>
      </w:pPr>
      <w:r>
        <w:t>Seed-Queries</w:t>
      </w:r>
    </w:p>
    <w:p>
      <w:pPr>
        <w:pStyle w:val="ListBullet"/>
      </w:pPr>
      <w:r>
        <w:t>aktuelle Studie überraschender Zusammenhang Alltag Deutschland</w:t>
      </w:r>
    </w:p>
    <w:p>
      <w:pPr>
        <w:pStyle w:val="ListBullet"/>
      </w:pPr>
      <w:r>
        <w:t>neue Forschung warum funktioniert Technik Auswirkungen Alltag</w:t>
      </w:r>
    </w:p>
    <w:p>
      <w:pPr>
        <w:pStyle w:val="ListBullet"/>
      </w:pPr>
      <w:r>
        <w:t>gesellschaftlicher Trend Daten Ursachen Einordnung Deutschland</w:t>
      </w:r>
    </w:p>
    <w:p>
      <w:pPr>
        <w:pStyle w:val="ListBullet"/>
      </w:pPr>
      <w:r>
        <w:t>wissenschaftlicher Konsens offene Fragen aktuelle Forschung</w:t>
      </w:r>
    </w:p>
    <w:p>
      <w:pPr>
        <w:pStyle w:val="Heading2"/>
      </w:pPr>
      <w:r>
        <w:t>Ausgeschlossene Blickwinkel</w:t>
      </w:r>
    </w:p>
    <w:p>
      <w:pPr>
        <w:pStyle w:val="ListBullet"/>
      </w:pPr>
      <w:r>
        <w:t>reine Nachrichtennacherzählung ohne erklärbaren Zusammenhang</w:t>
      </w:r>
    </w:p>
    <w:p>
      <w:pPr>
        <w:pStyle w:val="ListBullet"/>
      </w:pPr>
      <w:r>
        <w:t>Empörung, Angst oder Prominenz als einziges Nutzenversprechen</w:t>
      </w:r>
    </w:p>
    <w:p>
      <w:pPr>
        <w:pStyle w:val="ListBullet"/>
      </w:pPr>
      <w:r>
        <w:t>medizinische, rechtliche oder finanzielle Einzelfallberatung</w:t>
      </w:r>
    </w:p>
    <w:p>
      <w:pPr>
        <w:pStyle w:val="ListBullet"/>
      </w:pPr>
      <w:r>
        <w:t>Themen ohne mindestens zwei voneinander unabhängige belastbare Quellen</w:t>
      </w:r>
    </w:p>
    <w:p>
      <w:pPr>
        <w:keepNext/>
        <w:jc w:val="center"/>
      </w:pPr>
      <w:r>
        <w:drawing>
          <wp:inline xmlns:a="http://schemas.openxmlformats.org/drawingml/2006/main" xmlns:pic="http://schemas.openxmlformats.org/drawingml/2006/picture">
            <wp:extent cx="5669280" cy="4387093"/>
            <wp:docPr id="3" name="Picture 3"/>
            <wp:cNvGraphicFramePr>
              <a:graphicFrameLocks noChangeAspect="1"/>
            </wp:cNvGraphicFramePr>
            <a:graphic>
              <a:graphicData uri="http://schemas.openxmlformats.org/drawingml/2006/picture">
                <pic:pic>
                  <pic:nvPicPr>
                    <pic:cNvPr id="0" name="03-validated-search-plan.png"/>
                    <pic:cNvPicPr/>
                  </pic:nvPicPr>
                  <pic:blipFill>
                    <a:blip r:embed="rId13"/>
                    <a:stretch>
                      <a:fillRect/>
                    </a:stretch>
                  </pic:blipFill>
                  <pic:spPr>
                    <a:xfrm>
                      <a:off x="0" y="0"/>
                      <a:ext cx="5669280" cy="4387093"/>
                    </a:xfrm>
                    <a:prstGeom prst="rect"/>
                  </pic:spPr>
                </pic:pic>
              </a:graphicData>
            </a:graphic>
          </wp:inline>
        </w:drawing>
      </w:r>
    </w:p>
    <w:p>
      <w:pPr>
        <w:spacing w:before="60" w:after="160"/>
        <w:jc w:val="center"/>
      </w:pPr>
      <w:r>
        <w:rPr>
          <w:i/>
          <w:color w:val="5E6E74"/>
          <w:sz w:val="16"/>
        </w:rPr>
        <w:t>Abbildung 3 – Der validierte Suchplan enthält Broad Discovery, Primärquellen-Suche, verwandte Konzepte und einen Falsifikationszweig.</w:t>
      </w:r>
    </w:p>
    <w:p>
      <w:r>
        <w:br w:type="page"/>
      </w:r>
    </w:p>
    <w:p>
      <w:pPr>
        <w:pStyle w:val="Heading1"/>
      </w:pPr>
      <w:r>
        <w:t>4. Zeitplan und Live-Validierung</w:t>
      </w:r>
    </w:p>
    <w:p>
      <w:pPr>
        <w:ind w:left="369" w:hanging="369"/>
      </w:pPr>
      <w:r>
        <w:rPr>
          <w:b/>
        </w:rPr>
        <w:t xml:space="preserve">1. </w:t>
      </w:r>
      <w:r>
        <w:t>Nach erfolgreicher Planprüfung wurde das Subject aktiviert; damit entstand Profilversion 3.</w:t>
      </w:r>
    </w:p>
    <w:p>
      <w:pPr>
        <w:ind w:left="369" w:hanging="369"/>
      </w:pPr>
      <w:r>
        <w:rPr>
          <w:b/>
        </w:rPr>
        <w:t xml:space="preserve">2. </w:t>
      </w:r>
      <w:r>
        <w:t>Apply schedule hat den Temporal-Zeitplan mit Cron 0 7 * * 1 und Europe/Berlin abgeglichen.</w:t>
      </w:r>
    </w:p>
    <w:p>
      <w:pPr>
        <w:ind w:left="369" w:hanging="369"/>
      </w:pPr>
      <w:r>
        <w:rPr>
          <w:b/>
        </w:rPr>
        <w:t xml:space="preserve">3. </w:t>
      </w:r>
      <w:r>
        <w:t>Der nächste Lauf wurde für Montag, 27. Juli 2026, 07:00 Uhr Europe/Berlin eingeplant.</w:t>
      </w:r>
    </w:p>
    <w:p>
      <w:pPr>
        <w:ind w:left="369" w:hanging="369"/>
      </w:pPr>
      <w:r>
        <w:rPr>
          <w:b/>
        </w:rPr>
        <w:t xml:space="preserve">4. </w:t>
      </w:r>
      <w:r>
        <w:t>Ein korrigierter manueller Live-Discovery-Lauf führte sieben private Metasuche-Abfragen nacheinander und mit Abstand aus. Aktuelle Suchen dürfen kontrolliert auf eine zeitlose Suche zurückfallen; Primär- und Gegenbelegzweige arbeiten grundsätzlich zeitlos.</w:t>
      </w:r>
    </w:p>
    <w:p>
      <w:pPr>
        <w:ind w:left="369" w:hanging="369"/>
      </w:pPr>
      <w:r>
        <w:rPr>
          <w:b/>
        </w:rPr>
        <w:t xml:space="preserve">5. </w:t>
      </w:r>
      <w:r>
        <w:t>Der verifizierte Lauf sichtete 70 Rohresultate, verwarf 52 nicht erklärgeeignete Plattform- und Navigationstreffer, deduplizierte 18 geeignete Funde und erzeugte 11 neue, quellenverknüpfte Opportunities.</w:t>
      </w:r>
    </w:p>
    <w:p>
      <w:pPr>
        <w:keepNext/>
        <w:jc w:val="center"/>
      </w:pPr>
      <w:r>
        <w:drawing>
          <wp:inline xmlns:a="http://schemas.openxmlformats.org/drawingml/2006/main" xmlns:pic="http://schemas.openxmlformats.org/drawingml/2006/picture">
            <wp:extent cx="4572000" cy="1838107"/>
            <wp:docPr id="4" name="Picture 4"/>
            <wp:cNvGraphicFramePr>
              <a:graphicFrameLocks noChangeAspect="1"/>
            </wp:cNvGraphicFramePr>
            <a:graphic>
              <a:graphicData uri="http://schemas.openxmlformats.org/drawingml/2006/picture">
                <pic:pic>
                  <pic:nvPicPr>
                    <pic:cNvPr id="0" name="04-subject-schedule-active.png"/>
                    <pic:cNvPicPr/>
                  </pic:nvPicPr>
                  <pic:blipFill>
                    <a:blip r:embed="rId14"/>
                    <a:stretch>
                      <a:fillRect/>
                    </a:stretch>
                  </pic:blipFill>
                  <pic:spPr>
                    <a:xfrm>
                      <a:off x="0" y="0"/>
                      <a:ext cx="4572000" cy="1838107"/>
                    </a:xfrm>
                    <a:prstGeom prst="rect"/>
                  </pic:spPr>
                </pic:pic>
              </a:graphicData>
            </a:graphic>
          </wp:inline>
        </w:drawing>
      </w:r>
    </w:p>
    <w:p>
      <w:pPr>
        <w:spacing w:before="60" w:after="160"/>
        <w:jc w:val="center"/>
      </w:pPr>
      <w:r>
        <w:rPr>
          <w:i/>
          <w:color w:val="5E6E74"/>
          <w:sz w:val="16"/>
        </w:rPr>
        <w:t>Abbildung 4 – Das FaktischSimpel-Themenradar ist aktiviert und der Temporal-Zeitplan ist aktiv.</w:t>
      </w:r>
    </w:p>
    <w:p>
      <w:pPr>
        <w:keepNext/>
        <w:jc w:val="center"/>
      </w:pPr>
      <w:r>
        <w:drawing>
          <wp:inline xmlns:a="http://schemas.openxmlformats.org/drawingml/2006/main" xmlns:pic="http://schemas.openxmlformats.org/drawingml/2006/picture">
            <wp:extent cx="5715000" cy="3890255"/>
            <wp:docPr id="5" name="Picture 5"/>
            <wp:cNvGraphicFramePr>
              <a:graphicFrameLocks noChangeAspect="1"/>
            </wp:cNvGraphicFramePr>
            <a:graphic>
              <a:graphicData uri="http://schemas.openxmlformats.org/drawingml/2006/picture">
                <pic:pic>
                  <pic:nvPicPr>
                    <pic:cNvPr id="0" name="06-live-discovery-completed.png"/>
                    <pic:cNvPicPr/>
                  </pic:nvPicPr>
                  <pic:blipFill>
                    <a:blip r:embed="rId15"/>
                    <a:stretch>
                      <a:fillRect/>
                    </a:stretch>
                  </pic:blipFill>
                  <pic:spPr>
                    <a:xfrm>
                      <a:off x="0" y="0"/>
                      <a:ext cx="5715000" cy="3890255"/>
                    </a:xfrm>
                    <a:prstGeom prst="rect"/>
                  </pic:spPr>
                </pic:pic>
              </a:graphicData>
            </a:graphic>
          </wp:inline>
        </w:drawing>
      </w:r>
    </w:p>
    <w:p>
      <w:pPr>
        <w:spacing w:before="60" w:after="160"/>
        <w:jc w:val="center"/>
      </w:pPr>
      <w:r>
        <w:rPr>
          <w:i/>
          <w:color w:val="5E6E74"/>
          <w:sz w:val="16"/>
        </w:rPr>
        <w:t>Abbildung 5 – Der korrigierte Live-Lauf zeigt Orchestrierungsstatus und Suchquellen-Gesundheit getrennt; ArXiv, Bing und Bing News antworteten im Browser-Nachweis.</w:t>
      </w:r>
    </w:p>
    <w:tbl>
      <w:tblPr>
        <w:tblW w:type="auto" w:w="0"/>
        <w:jc w:val="center"/>
        <w:tblLook w:firstColumn="1" w:firstRow="1" w:lastColumn="0" w:lastRow="0" w:noHBand="0" w:noVBand="1" w:val="04A0"/>
      </w:tblPr>
      <w:tblGrid>
        <w:gridCol w:w="9752"/>
      </w:tblGrid>
      <w:tr>
        <w:tc>
          <w:tcPr>
            <w:tcW w:type="dxa" w:w="9752"/>
            <w:shd w:fill="EAF4F4"/>
          </w:tcPr>
          <w:p>
            <w:pPr>
              <w:spacing w:after="40"/>
            </w:pPr>
            <w:r>
              <w:rPr>
                <w:b/>
                <w:color w:val="0D6F70"/>
              </w:rPr>
              <w:t xml:space="preserve">Korrektur des früheren Leer-Laufs  </w:t>
            </w:r>
            <w:r>
              <w:t>Der frühere Null-Treffer-Lauf war kein fachlich leerer Themenmarkt. Brave war gedrosselt, DuckDuckGo und Startpage verlangten CAPTCHAs, SearXNG meldete diese Ausfälle aber zusammen mit HTTP 200. TubeFactory verwirft diese Diagnose nicht mehr: Null Treffer bei nicht erreichbaren Engines stoppt den Lauf als SOURCE_UNAVAILABLE mit Wiederholungsmöglichkeit. Teilabdeckung erscheint als degraded; nur belegte Quellenabdeckung erscheint healthy.</w:t>
            </w:r>
          </w:p>
        </w:tc>
      </w:tr>
    </w:tbl>
    <w:p>
      <w:pPr>
        <w:spacing w:after="0"/>
      </w:pPr>
    </w:p>
    <w:p>
      <w:r>
        <w:br w:type="page"/>
      </w:r>
    </w:p>
    <w:p>
      <w:pPr>
        <w:pStyle w:val="Heading1"/>
      </w:pPr>
      <w:r>
        <w:t>5. Bedienung im Redaktionsalltag</w:t>
      </w:r>
    </w:p>
    <w:p>
      <w:pPr>
        <w:ind w:left="369" w:hanging="369"/>
      </w:pPr>
      <w:r>
        <w:rPr>
          <w:b/>
        </w:rPr>
        <w:t xml:space="preserve">1. </w:t>
      </w:r>
      <w:r>
        <w:t>Im Channel workspace FaktischSimpel auswählen und in Channels &amp; subjects prüfen, ob Workflow und Themenradar aktiv sind.</w:t>
      </w:r>
    </w:p>
    <w:p>
      <w:pPr>
        <w:ind w:left="369" w:hanging="369"/>
      </w:pPr>
      <w:r>
        <w:rPr>
          <w:b/>
        </w:rPr>
        <w:t xml:space="preserve">2. </w:t>
      </w:r>
      <w:r>
        <w:t>In Research &amp; evidence neue Findings vollständig öffnen. Nur ein Thema mit erkennbarem Publikumsnutzen und belastbarem Quellenpotenzial shortlist-en.</w:t>
      </w:r>
    </w:p>
    <w:p>
      <w:pPr>
        <w:ind w:left="369" w:hanging="369"/>
      </w:pPr>
      <w:r>
        <w:rPr>
          <w:b/>
        </w:rPr>
        <w:t xml:space="preserve">3. </w:t>
      </w:r>
      <w:r>
        <w:t>Quellen akquirieren, Snapshots prüfen sowie exakte Claims, Gegenbelege und offene Fragen freigeben; anschließend die konkrete Dossier-Version genehmigen.</w:t>
      </w:r>
    </w:p>
    <w:p>
      <w:pPr>
        <w:ind w:left="369" w:hanging="369"/>
      </w:pPr>
      <w:r>
        <w:rPr>
          <w:b/>
        </w:rPr>
        <w:t xml:space="preserve">4. </w:t>
      </w:r>
      <w:r>
        <w:t>Skript generieren. Der FaktischSimpel-Prompt wird aus der Kanal-Lineage automatisch an Writer und danach an den unabhängigen Verifier übergeben.</w:t>
      </w:r>
    </w:p>
    <w:p>
      <w:pPr>
        <w:ind w:left="369" w:hanging="369"/>
      </w:pPr>
      <w:r>
        <w:rPr>
          <w:b/>
        </w:rPr>
        <w:t xml:space="preserve">5. </w:t>
      </w:r>
      <w:r>
        <w:t>Nur die verifizierte Skriptversion genehmigen. Danach Storyboard erzeugen, Quellenbindungen und Visuals prüfen und die exakte Version freigeben.</w:t>
      </w:r>
    </w:p>
    <w:p>
      <w:pPr>
        <w:ind w:left="369" w:hanging="369"/>
      </w:pPr>
      <w:r>
        <w:rPr>
          <w:b/>
        </w:rPr>
        <w:t xml:space="preserve">6. </w:t>
      </w:r>
      <w:r>
        <w:t>Medien produzieren, blockierende QA-Findings lösen, exakten Render freigeben, privat hochladen und eine öffentliche Veröffentlichung separat autorisieren.</w:t>
      </w:r>
    </w:p>
    <w:p>
      <w:pPr>
        <w:pStyle w:val="Heading2"/>
      </w:pPr>
      <w:r>
        <w:t>Suchbare Hilfe</w:t>
      </w:r>
    </w:p>
    <w:p>
      <w:r>
        <w:t>Das globale Hilfe-Panel enthält jetzt die Aufgabe Produce a FaktischSimpel explainer. Die Suche nach FaktischSimpel reduziert die Liste auf diesen Ablauf; die sechs Schritte verlinken zurück in den Workflow.</w:t>
      </w:r>
    </w:p>
    <w:p>
      <w:pPr>
        <w:keepNext/>
        <w:jc w:val="center"/>
      </w:pPr>
      <w:r>
        <w:drawing>
          <wp:inline xmlns:a="http://schemas.openxmlformats.org/drawingml/2006/main" xmlns:pic="http://schemas.openxmlformats.org/drawingml/2006/picture">
            <wp:extent cx="4663440" cy="5504389"/>
            <wp:docPr id="6" name="Picture 6"/>
            <wp:cNvGraphicFramePr>
              <a:graphicFrameLocks noChangeAspect="1"/>
            </wp:cNvGraphicFramePr>
            <a:graphic>
              <a:graphicData uri="http://schemas.openxmlformats.org/drawingml/2006/picture">
                <pic:pic>
                  <pic:nvPicPr>
                    <pic:cNvPr id="0" name="05-task-help.png"/>
                    <pic:cNvPicPr/>
                  </pic:nvPicPr>
                  <pic:blipFill>
                    <a:blip r:embed="rId16"/>
                    <a:stretch>
                      <a:fillRect/>
                    </a:stretch>
                  </pic:blipFill>
                  <pic:spPr>
                    <a:xfrm>
                      <a:off x="0" y="0"/>
                      <a:ext cx="4663440" cy="5504389"/>
                    </a:xfrm>
                    <a:prstGeom prst="rect"/>
                  </pic:spPr>
                </pic:pic>
              </a:graphicData>
            </a:graphic>
          </wp:inline>
        </w:drawing>
      </w:r>
    </w:p>
    <w:p>
      <w:pPr>
        <w:spacing w:before="60" w:after="160"/>
        <w:jc w:val="center"/>
      </w:pPr>
      <w:r>
        <w:rPr>
          <w:i/>
          <w:color w:val="5E6E74"/>
          <w:sz w:val="16"/>
        </w:rPr>
        <w:t>Abbildung 6 – Die FaktischSimpel-Prozedur ist im task-basierten Hilfe-Panel suchbar und vollständig aufklappbar.</w:t>
      </w:r>
    </w:p>
    <w:p>
      <w:r>
        <w:br w:type="page"/>
      </w:r>
    </w:p>
    <w:p>
      <w:pPr>
        <w:pStyle w:val="Heading1"/>
      </w:pPr>
      <w:r>
        <w:t>6. Technische Umsetzung</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0D6F70"/>
            <w:vAlign w:val="center"/>
          </w:tcPr>
          <w:p>
            <w:r/>
            <w:r>
              <w:rPr>
                <w:rFonts w:ascii="Liberation Sans" w:hAnsi="Liberation Sans"/>
                <w:b/>
                <w:color w:val="FFFFFF"/>
                <w:sz w:val="17"/>
              </w:rPr>
              <w:t>Komponente</w:t>
            </w:r>
          </w:p>
        </w:tc>
        <w:tc>
          <w:tcPr>
            <w:tcW w:type="dxa" w:w="4876"/>
            <w:shd w:fill="0D6F70"/>
            <w:vAlign w:val="center"/>
          </w:tcPr>
          <w:p>
            <w:r/>
            <w:r>
              <w:rPr>
                <w:rFonts w:ascii="Liberation Sans" w:hAnsi="Liberation Sans"/>
                <w:b/>
                <w:color w:val="FFFFFF"/>
                <w:sz w:val="17"/>
              </w:rPr>
              <w:t>Umsetzung</w:t>
            </w:r>
          </w:p>
        </w:tc>
      </w:tr>
      <w:tr>
        <w:tc>
          <w:tcPr>
            <w:tcW w:type="dxa" w:w="4876"/>
            <w:vAlign w:val="center"/>
            <w:shd w:fill="F3F7F7"/>
          </w:tcPr>
          <w:p>
            <w:r/>
            <w:r>
              <w:rPr>
                <w:rFonts w:ascii="Liberation Sans" w:hAnsi="Liberation Sans"/>
                <w:b/>
                <w:color w:val="142C35"/>
                <w:sz w:val="17"/>
              </w:rPr>
              <w:t>Validierter Blueprint</w:t>
            </w:r>
          </w:p>
        </w:tc>
        <w:tc>
          <w:tcPr>
            <w:tcW w:type="dxa" w:w="4876"/>
            <w:vAlign w:val="center"/>
          </w:tcPr>
          <w:p>
            <w:r/>
            <w:r>
              <w:rPr>
                <w:rFonts w:ascii="Liberation Sans" w:hAnsi="Liberation Sans"/>
                <w:b w:val="0"/>
                <w:color w:val="142C35"/>
                <w:sz w:val="17"/>
              </w:rPr>
              <w:t>config/channel-workflows/faktischsimpel.json</w:t>
            </w:r>
          </w:p>
        </w:tc>
      </w:tr>
      <w:tr>
        <w:tc>
          <w:tcPr>
            <w:tcW w:type="dxa" w:w="4876"/>
            <w:vAlign w:val="center"/>
            <w:shd w:fill="F3F7F7"/>
          </w:tcPr>
          <w:p>
            <w:r/>
            <w:r>
              <w:rPr>
                <w:rFonts w:ascii="Liberation Sans" w:hAnsi="Liberation Sans"/>
                <w:b/>
                <w:color w:val="142C35"/>
                <w:sz w:val="17"/>
              </w:rPr>
              <w:t>Core Policy</w:t>
            </w:r>
          </w:p>
        </w:tc>
        <w:tc>
          <w:tcPr>
            <w:tcW w:type="dxa" w:w="4876"/>
            <w:vAlign w:val="center"/>
          </w:tcPr>
          <w:p>
            <w:r/>
            <w:r>
              <w:rPr>
                <w:rFonts w:ascii="Liberation Sans" w:hAnsi="Liberation Sans"/>
                <w:b w:val="0"/>
                <w:color w:val="142C35"/>
                <w:sz w:val="17"/>
              </w:rPr>
              <w:t>channel_workflow.py prüft Prompt-Längen, Aufgaben, Stufen und Pflicht-Gates.</w:t>
            </w:r>
          </w:p>
        </w:tc>
      </w:tr>
      <w:tr>
        <w:tc>
          <w:tcPr>
            <w:tcW w:type="dxa" w:w="4876"/>
            <w:vAlign w:val="center"/>
            <w:shd w:fill="F3F7F7"/>
          </w:tcPr>
          <w:p>
            <w:r/>
            <w:r>
              <w:rPr>
                <w:rFonts w:ascii="Liberation Sans" w:hAnsi="Liberation Sans"/>
                <w:b/>
                <w:color w:val="142C35"/>
                <w:sz w:val="17"/>
              </w:rPr>
              <w:t>API-Grenze</w:t>
            </w:r>
          </w:p>
        </w:tc>
        <w:tc>
          <w:tcPr>
            <w:tcW w:type="dxa" w:w="4876"/>
            <w:vAlign w:val="center"/>
          </w:tcPr>
          <w:p>
            <w:r/>
            <w:r>
              <w:rPr>
                <w:rFonts w:ascii="Liberation Sans" w:hAnsi="Liberation Sans"/>
                <w:b w:val="0"/>
                <w:color w:val="142C35"/>
                <w:sz w:val="17"/>
              </w:rPr>
              <w:t>Jede Channel-Version wird beim Schreiben gegen den Workflow-Vertrag validiert.</w:t>
            </w:r>
          </w:p>
        </w:tc>
      </w:tr>
      <w:tr>
        <w:tc>
          <w:tcPr>
            <w:tcW w:type="dxa" w:w="4876"/>
            <w:vAlign w:val="center"/>
            <w:shd w:fill="F3F7F7"/>
          </w:tcPr>
          <w:p>
            <w:r/>
            <w:r>
              <w:rPr>
                <w:rFonts w:ascii="Liberation Sans" w:hAnsi="Liberation Sans"/>
                <w:b/>
                <w:color w:val="142C35"/>
                <w:sz w:val="17"/>
              </w:rPr>
              <w:t>Lineage-Auflösung</w:t>
            </w:r>
          </w:p>
        </w:tc>
        <w:tc>
          <w:tcPr>
            <w:tcW w:type="dxa" w:w="4876"/>
            <w:vAlign w:val="center"/>
          </w:tcPr>
          <w:p>
            <w:r/>
            <w:r>
              <w:rPr>
                <w:rFonts w:ascii="Liberation Sans" w:hAnsi="Liberation Sans"/>
                <w:b w:val="0"/>
                <w:color w:val="142C35"/>
                <w:sz w:val="17"/>
              </w:rPr>
              <w:t>Dossier → Opportunity → Subject → Channel lädt die richtige Kanalversion für Skript und Verifier.</w:t>
            </w:r>
          </w:p>
        </w:tc>
      </w:tr>
      <w:tr>
        <w:tc>
          <w:tcPr>
            <w:tcW w:type="dxa" w:w="4876"/>
            <w:vAlign w:val="center"/>
            <w:shd w:fill="F3F7F7"/>
          </w:tcPr>
          <w:p>
            <w:r/>
            <w:r>
              <w:rPr>
                <w:rFonts w:ascii="Liberation Sans" w:hAnsi="Liberation Sans"/>
                <w:b/>
                <w:color w:val="142C35"/>
                <w:sz w:val="17"/>
              </w:rPr>
              <w:t>Storyboard-Lineage</w:t>
            </w:r>
          </w:p>
        </w:tc>
        <w:tc>
          <w:tcPr>
            <w:tcW w:type="dxa" w:w="4876"/>
            <w:vAlign w:val="center"/>
          </w:tcPr>
          <w:p>
            <w:r/>
            <w:r>
              <w:rPr>
                <w:rFonts w:ascii="Liberation Sans" w:hAnsi="Liberation Sans"/>
                <w:b w:val="0"/>
                <w:color w:val="142C35"/>
                <w:sz w:val="17"/>
              </w:rPr>
              <w:t>Script → Dossier → Opportunity → Subject → Channel lädt denselben Kanalworkflow für Szenen.</w:t>
            </w:r>
          </w:p>
        </w:tc>
      </w:tr>
      <w:tr>
        <w:tc>
          <w:tcPr>
            <w:tcW w:type="dxa" w:w="4876"/>
            <w:vAlign w:val="center"/>
            <w:shd w:fill="F3F7F7"/>
          </w:tcPr>
          <w:p>
            <w:r/>
            <w:r>
              <w:rPr>
                <w:rFonts w:ascii="Liberation Sans" w:hAnsi="Liberation Sans"/>
                <w:b/>
                <w:color w:val="142C35"/>
                <w:sz w:val="17"/>
              </w:rPr>
              <w:t>AI-Protokolltrennung</w:t>
            </w:r>
          </w:p>
        </w:tc>
        <w:tc>
          <w:tcPr>
            <w:tcW w:type="dxa" w:w="4876"/>
            <w:vAlign w:val="center"/>
          </w:tcPr>
          <w:p>
            <w:r/>
            <w:r>
              <w:rPr>
                <w:rFonts w:ascii="Liberation Sans" w:hAnsi="Liberation Sans"/>
                <w:b w:val="0"/>
                <w:color w:val="142C35"/>
                <w:sz w:val="17"/>
              </w:rPr>
              <w:t>OpenAI-kompatible Clients nutzen http://ai.b1.germering:11438/v1; native Ollama-Clients nutzen http://ai.b1.germering:11434.</w:t>
            </w:r>
          </w:p>
        </w:tc>
      </w:tr>
      <w:tr>
        <w:tc>
          <w:tcPr>
            <w:tcW w:type="dxa" w:w="4876"/>
            <w:vAlign w:val="center"/>
            <w:shd w:fill="F3F7F7"/>
          </w:tcPr>
          <w:p>
            <w:r/>
            <w:r>
              <w:rPr>
                <w:rFonts w:ascii="Liberation Sans" w:hAnsi="Liberation Sans"/>
                <w:b/>
                <w:color w:val="142C35"/>
                <w:sz w:val="17"/>
              </w:rPr>
              <w:t>Aktive Modellroute</w:t>
            </w:r>
          </w:p>
        </w:tc>
        <w:tc>
          <w:tcPr>
            <w:tcW w:type="dxa" w:w="4876"/>
            <w:vAlign w:val="center"/>
          </w:tcPr>
          <w:p>
            <w:r/>
            <w:r>
              <w:rPr>
                <w:rFonts w:ascii="Liberation Sans" w:hAnsi="Liberation Sans"/>
                <w:b w:val="0"/>
                <w:color w:val="142C35"/>
                <w:sz w:val="17"/>
              </w:rPr>
              <w:t>Alle sieben Editorial- und Research-Aufgaben verwenden gemma4-e4b:64k auf der OpenAI-kompatiblen Primärroute und demselben Modell über die native Ollama-Fallbackroute.</w:t>
            </w:r>
          </w:p>
        </w:tc>
      </w:tr>
      <w:tr>
        <w:tc>
          <w:tcPr>
            <w:tcW w:type="dxa" w:w="4876"/>
            <w:vAlign w:val="center"/>
            <w:shd w:fill="F3F7F7"/>
          </w:tcPr>
          <w:p>
            <w:r/>
            <w:r>
              <w:rPr>
                <w:rFonts w:ascii="Liberation Sans" w:hAnsi="Liberation Sans"/>
                <w:b/>
                <w:color w:val="142C35"/>
                <w:sz w:val="17"/>
              </w:rPr>
              <w:t>UI</w:t>
            </w:r>
          </w:p>
        </w:tc>
        <w:tc>
          <w:tcPr>
            <w:tcW w:type="dxa" w:w="4876"/>
            <w:vAlign w:val="center"/>
          </w:tcPr>
          <w:p>
            <w:r/>
            <w:r>
              <w:rPr>
                <w:rFonts w:ascii="Liberation Sans" w:hAnsi="Liberation Sans"/>
                <w:b w:val="0"/>
                <w:color w:val="142C35"/>
                <w:sz w:val="17"/>
              </w:rPr>
              <w:t>Das Kanalprofil zeigt Stufen, Status, Writer-, Verifier- und Storyboard-Prompt.</w:t>
            </w:r>
          </w:p>
        </w:tc>
      </w:tr>
      <w:tr>
        <w:tc>
          <w:tcPr>
            <w:tcW w:type="dxa" w:w="4876"/>
            <w:vAlign w:val="center"/>
            <w:shd w:fill="F3F7F7"/>
          </w:tcPr>
          <w:p>
            <w:r/>
            <w:r>
              <w:rPr>
                <w:rFonts w:ascii="Liberation Sans" w:hAnsi="Liberation Sans"/>
                <w:b/>
                <w:color w:val="142C35"/>
                <w:sz w:val="17"/>
              </w:rPr>
              <w:t>Suchquellen-Gesundheit</w:t>
            </w:r>
          </w:p>
        </w:tc>
        <w:tc>
          <w:tcPr>
            <w:tcW w:type="dxa" w:w="4876"/>
            <w:vAlign w:val="center"/>
          </w:tcPr>
          <w:p>
            <w:r/>
            <w:r>
              <w:rPr>
                <w:rFonts w:ascii="Liberation Sans" w:hAnsi="Liberation Sans"/>
                <w:b w:val="0"/>
                <w:color w:val="142C35"/>
                <w:sz w:val="17"/>
              </w:rPr>
              <w:t>SearXNG-Ergebnisse, antwortende Engines, Ausfälle, Fallbacks und Relevanzfilter-Zähler bleiben im Workflow-Ergebnis sichtbar.</w:t>
            </w:r>
          </w:p>
        </w:tc>
      </w:tr>
      <w:tr>
        <w:tc>
          <w:tcPr>
            <w:tcW w:type="dxa" w:w="4876"/>
            <w:vAlign w:val="center"/>
            <w:shd w:fill="F3F7F7"/>
          </w:tcPr>
          <w:p>
            <w:r/>
            <w:r>
              <w:rPr>
                <w:rFonts w:ascii="Liberation Sans" w:hAnsi="Liberation Sans"/>
                <w:b/>
                <w:color w:val="142C35"/>
                <w:sz w:val="17"/>
              </w:rPr>
              <w:t>Laststeuerung</w:t>
            </w:r>
          </w:p>
        </w:tc>
        <w:tc>
          <w:tcPr>
            <w:tcW w:type="dxa" w:w="4876"/>
            <w:vAlign w:val="center"/>
          </w:tcPr>
          <w:p>
            <w:r/>
            <w:r>
              <w:rPr>
                <w:rFonts w:ascii="Liberation Sans" w:hAnsi="Liberation Sans"/>
                <w:b w:val="0"/>
                <w:color w:val="142C35"/>
                <w:sz w:val="17"/>
              </w:rPr>
              <w:t>Sieben Strategien laufen sequenziell mit Abstand und begrenztem exponentiellem Retry statt als gleichzeitiger Anfrageburst.</w:t>
            </w:r>
          </w:p>
        </w:tc>
      </w:tr>
      <w:tr>
        <w:tc>
          <w:tcPr>
            <w:tcW w:type="dxa" w:w="4876"/>
            <w:vAlign w:val="center"/>
            <w:shd w:fill="F3F7F7"/>
          </w:tcPr>
          <w:p>
            <w:r/>
            <w:r>
              <w:rPr>
                <w:rFonts w:ascii="Liberation Sans" w:hAnsi="Liberation Sans"/>
                <w:b/>
                <w:color w:val="142C35"/>
                <w:sz w:val="17"/>
              </w:rPr>
              <w:t>Engine-Pools</w:t>
            </w:r>
          </w:p>
        </w:tc>
        <w:tc>
          <w:tcPr>
            <w:tcW w:type="dxa" w:w="4876"/>
            <w:vAlign w:val="center"/>
          </w:tcPr>
          <w:p>
            <w:r/>
            <w:r>
              <w:rPr>
                <w:rFonts w:ascii="Liberation Sans" w:hAnsi="Liberation Sans"/>
                <w:b w:val="0"/>
                <w:color w:val="142C35"/>
                <w:sz w:val="17"/>
              </w:rPr>
              <w:t>Allgemeine Recherche nutzt Bing, Qwant News und Bing News; Primär- und Gegenbelegsuche nutzt Bing, ArXiv und PubMed.</w:t>
            </w:r>
          </w:p>
        </w:tc>
      </w:tr>
      <w:tr>
        <w:tc>
          <w:tcPr>
            <w:tcW w:type="dxa" w:w="4876"/>
            <w:vAlign w:val="center"/>
            <w:shd w:fill="F3F7F7"/>
          </w:tcPr>
          <w:p>
            <w:r/>
            <w:r>
              <w:rPr>
                <w:rFonts w:ascii="Liberation Sans" w:hAnsi="Liberation Sans"/>
                <w:b/>
                <w:color w:val="142C35"/>
                <w:sz w:val="17"/>
              </w:rPr>
              <w:t>Explainer-Relevanz</w:t>
            </w:r>
          </w:p>
        </w:tc>
        <w:tc>
          <w:tcPr>
            <w:tcW w:type="dxa" w:w="4876"/>
            <w:vAlign w:val="center"/>
          </w:tcPr>
          <w:p>
            <w:r/>
            <w:r>
              <w:rPr>
                <w:rFonts w:ascii="Liberation Sans" w:hAnsi="Liberation Sans"/>
                <w:b w:val="0"/>
                <w:color w:val="142C35"/>
                <w:sz w:val="17"/>
              </w:rPr>
              <w:t>Für evidence_first_explainer werden Plattformnavigation und Funde ohne Erklär-, Studien-, Forschungs-, Wirkungs- oder Zusammenhangssignal vor dem Clustering verworfen.</w:t>
            </w:r>
          </w:p>
        </w:tc>
      </w:tr>
      <w:tr>
        <w:tc>
          <w:tcPr>
            <w:tcW w:type="dxa" w:w="4876"/>
            <w:vAlign w:val="center"/>
            <w:shd w:fill="F3F7F7"/>
          </w:tcPr>
          <w:p>
            <w:r/>
            <w:r>
              <w:rPr>
                <w:rFonts w:ascii="Liberation Sans" w:hAnsi="Liberation Sans"/>
                <w:b/>
                <w:color w:val="142C35"/>
                <w:sz w:val="17"/>
              </w:rPr>
              <w:t>Explanation Readiness</w:t>
            </w:r>
          </w:p>
        </w:tc>
        <w:tc>
          <w:tcPr>
            <w:tcW w:type="dxa" w:w="4876"/>
            <w:vAlign w:val="center"/>
          </w:tcPr>
          <w:p>
            <w:r/>
            <w:r>
              <w:rPr>
                <w:rFonts w:ascii="Liberation Sans" w:hAnsi="Liberation Sans"/>
                <w:b w:val="0"/>
                <w:color w:val="142C35"/>
                <w:sz w:val="17"/>
              </w:rPr>
              <w:t>Ein generisches Core-Gate verlangt für dieses Profil 810–1.350 Wörter, mindestens 13 nutzbare Tatsachenclaims, sechs Erkläreinheiten, unabhängige und primäre Quellen sowie eine Gegenbelegsuche.</w:t>
            </w:r>
          </w:p>
        </w:tc>
      </w:tr>
      <w:tr>
        <w:tc>
          <w:tcPr>
            <w:tcW w:type="dxa" w:w="4876"/>
            <w:vAlign w:val="center"/>
            <w:shd w:fill="F3F7F7"/>
          </w:tcPr>
          <w:p>
            <w:r/>
            <w:r>
              <w:rPr>
                <w:rFonts w:ascii="Liberation Sans" w:hAnsi="Liberation Sans"/>
                <w:b/>
                <w:color w:val="142C35"/>
                <w:sz w:val="17"/>
              </w:rPr>
              <w:t>Skalierbare Evidenzübergabe</w:t>
            </w:r>
          </w:p>
        </w:tc>
        <w:tc>
          <w:tcPr>
            <w:tcW w:type="dxa" w:w="4876"/>
            <w:vAlign w:val="center"/>
          </w:tcPr>
          <w:p>
            <w:r/>
            <w:r>
              <w:rPr>
                <w:rFonts w:ascii="Liberation Sans" w:hAnsi="Liberation Sans"/>
                <w:b w:val="0"/>
                <w:color w:val="142C35"/>
                <w:sz w:val="17"/>
              </w:rPr>
              <w:t>Für KI-Synthese und Dossierbildung werden deterministisch die 24 relevantesten unabhängigen Quellen ausgewählt; umfangreiche Semantic Chunks werden nicht über Temporal transportiert.</w:t>
            </w:r>
          </w:p>
        </w:tc>
      </w:tr>
      <w:tr>
        <w:tc>
          <w:tcPr>
            <w:tcW w:type="dxa" w:w="4876"/>
            <w:vAlign w:val="center"/>
            <w:shd w:fill="F3F7F7"/>
          </w:tcPr>
          <w:p>
            <w:r/>
            <w:r>
              <w:rPr>
                <w:rFonts w:ascii="Liberation Sans" w:hAnsi="Liberation Sans"/>
                <w:b/>
                <w:color w:val="142C35"/>
                <w:sz w:val="17"/>
              </w:rPr>
              <w:t>Neuheitspriorisierung</w:t>
            </w:r>
          </w:p>
        </w:tc>
        <w:tc>
          <w:tcPr>
            <w:tcW w:type="dxa" w:w="4876"/>
            <w:vAlign w:val="center"/>
          </w:tcPr>
          <w:p>
            <w:r/>
            <w:r>
              <w:rPr>
                <w:rFonts w:ascii="Liberation Sans" w:hAnsi="Liberation Sans"/>
                <w:b w:val="0"/>
                <w:color w:val="142C35"/>
                <w:sz w:val="17"/>
              </w:rPr>
              <w:t>Folgerunden bieten der KI zuvor ungenutzte wissenschaftliche Werke zuerst an; bereits verwendete Werke bleiben nur als Fallback verfügbar.</w:t>
            </w:r>
          </w:p>
        </w:tc>
      </w:tr>
      <w:tr>
        <w:tc>
          <w:tcPr>
            <w:tcW w:type="dxa" w:w="4876"/>
            <w:vAlign w:val="center"/>
            <w:shd w:fill="F3F7F7"/>
          </w:tcPr>
          <w:p>
            <w:r/>
            <w:r>
              <w:rPr>
                <w:rFonts w:ascii="Liberation Sans" w:hAnsi="Liberation Sans"/>
                <w:b/>
                <w:color w:val="142C35"/>
                <w:sz w:val="17"/>
              </w:rPr>
              <w:t>Autonome Kandidatenfolge</w:t>
            </w:r>
          </w:p>
        </w:tc>
        <w:tc>
          <w:tcPr>
            <w:tcW w:type="dxa" w:w="4876"/>
            <w:vAlign w:val="center"/>
          </w:tcPr>
          <w:p>
            <w:r/>
            <w:r>
              <w:rPr>
                <w:rFonts w:ascii="Liberation Sans" w:hAnsi="Liberation Sans"/>
                <w:b w:val="0"/>
                <w:color w:val="142C35"/>
                <w:sz w:val="17"/>
              </w:rPr>
              <w:t>Bleibt ein freigegebenes Thema nach drei Runden unzureichend, akquiriert und untersucht der Workflow selbstständig den nächsten freigegebenen Kandidaten. Harte Review-Gates werden dabei nicht gelockert.</w:t>
            </w:r>
          </w:p>
        </w:tc>
      </w:tr>
      <w:tr>
        <w:tc>
          <w:tcPr>
            <w:tcW w:type="dxa" w:w="4876"/>
            <w:vAlign w:val="center"/>
            <w:shd w:fill="F3F7F7"/>
          </w:tcPr>
          <w:p>
            <w:r/>
            <w:r>
              <w:rPr>
                <w:rFonts w:ascii="Liberation Sans" w:hAnsi="Liberation Sans"/>
                <w:b/>
                <w:color w:val="142C35"/>
                <w:sz w:val="17"/>
              </w:rPr>
              <w:t>Skript-Gates</w:t>
            </w:r>
          </w:p>
        </w:tc>
        <w:tc>
          <w:tcPr>
            <w:tcW w:type="dxa" w:w="4876"/>
            <w:vAlign w:val="center"/>
          </w:tcPr>
          <w:p>
            <w:r/>
            <w:r>
              <w:rPr>
                <w:rFonts w:ascii="Liberation Sans" w:hAnsi="Liberation Sans"/>
                <w:b w:val="0"/>
                <w:color w:val="142C35"/>
                <w:sz w:val="17"/>
              </w:rPr>
              <w:t>810–1.350 Wörter, 360–600 Sekunden und mindestens 13 unterschiedliche Tatsachenclaims werden nach der KI-Ausgabe deterministisch erzwungen.</w:t>
            </w:r>
          </w:p>
        </w:tc>
      </w:tr>
      <w:tr>
        <w:tc>
          <w:tcPr>
            <w:tcW w:type="dxa" w:w="4876"/>
            <w:vAlign w:val="center"/>
            <w:shd w:fill="F3F7F7"/>
          </w:tcPr>
          <w:p>
            <w:r/>
            <w:r>
              <w:rPr>
                <w:rFonts w:ascii="Liberation Sans" w:hAnsi="Liberation Sans"/>
                <w:b/>
                <w:color w:val="142C35"/>
                <w:sz w:val="17"/>
              </w:rPr>
              <w:t>Storyboard-Gates</w:t>
            </w:r>
          </w:p>
        </w:tc>
        <w:tc>
          <w:tcPr>
            <w:tcW w:type="dxa" w:w="4876"/>
            <w:vAlign w:val="center"/>
          </w:tcPr>
          <w:p>
            <w:r/>
            <w:r>
              <w:rPr>
                <w:rFonts w:ascii="Liberation Sans" w:hAnsi="Liberation Sans"/>
                <w:b w:val="0"/>
                <w:color w:val="142C35"/>
                <w:sz w:val="17"/>
              </w:rPr>
              <w:t>Konkrete On-Screen-Cues, narration-gebundene Visuals, wechselnde Visualtypen und höchstens 15 % Übergangsszenen werden deterministisch geprüft.</w:t>
            </w:r>
          </w:p>
        </w:tc>
      </w:tr>
      <w:tr>
        <w:tc>
          <w:tcPr>
            <w:tcW w:type="dxa" w:w="4876"/>
            <w:vAlign w:val="center"/>
            <w:shd w:fill="F3F7F7"/>
          </w:tcPr>
          <w:p>
            <w:r/>
            <w:r>
              <w:rPr>
                <w:rFonts w:ascii="Liberation Sans" w:hAnsi="Liberation Sans"/>
                <w:b/>
                <w:color w:val="142C35"/>
                <w:sz w:val="17"/>
              </w:rPr>
              <w:t>Regeneration</w:t>
            </w:r>
          </w:p>
        </w:tc>
        <w:tc>
          <w:tcPr>
            <w:tcW w:type="dxa" w:w="4876"/>
            <w:vAlign w:val="center"/>
          </w:tcPr>
          <w:p>
            <w:r/>
            <w:r>
              <w:rPr>
                <w:rFonts w:ascii="Liberation Sans" w:hAnsi="Liberation Sans"/>
                <w:b w:val="0"/>
                <w:color w:val="142C35"/>
                <w:sz w:val="17"/>
              </w:rPr>
              <w:t>Ein zuvor vorhandener Feldzugriffsfehler wurde korrigiert; Regeneration erhält Kanalprompt plus konkrete Änderungsanweisung.</w:t>
            </w:r>
          </w:p>
        </w:tc>
      </w:tr>
      <w:tr>
        <w:tc>
          <w:tcPr>
            <w:tcW w:type="dxa" w:w="4876"/>
            <w:vAlign w:val="center"/>
            <w:shd w:fill="F3F7F7"/>
          </w:tcPr>
          <w:p>
            <w:r/>
            <w:r>
              <w:rPr>
                <w:rFonts w:ascii="Liberation Sans" w:hAnsi="Liberation Sans"/>
                <w:b/>
                <w:color w:val="142C35"/>
                <w:sz w:val="17"/>
              </w:rPr>
              <w:t>Reproduzierbarer Build</w:t>
            </w:r>
          </w:p>
        </w:tc>
        <w:tc>
          <w:tcPr>
            <w:tcW w:type="dxa" w:w="4876"/>
            <w:vAlign w:val="center"/>
          </w:tcPr>
          <w:p>
            <w:r/>
            <w:r>
              <w:rPr>
                <w:rFonts w:ascii="Liberation Sans" w:hAnsi="Liberation Sans"/>
                <w:b w:val="0"/>
                <w:color w:val="142C35"/>
                <w:sz w:val="17"/>
              </w:rPr>
              <w:t>Veraltete interne Paketnamen nach der TubeFactory-Umbenennung wurden korrigiert.</w:t>
            </w:r>
          </w:p>
        </w:tc>
      </w:tr>
    </w:tbl>
    <w:p/>
    <w:p>
      <w:r>
        <w:br w:type="page"/>
      </w:r>
    </w:p>
    <w:p>
      <w:pPr>
        <w:pStyle w:val="Heading2"/>
      </w:pPr>
      <w:r>
        <w:t>Validierungsergebnisse</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0D6F70"/>
            <w:vAlign w:val="center"/>
          </w:tcPr>
          <w:p>
            <w:r/>
            <w:r>
              <w:rPr>
                <w:rFonts w:ascii="Liberation Sans" w:hAnsi="Liberation Sans"/>
                <w:b/>
                <w:color w:val="FFFFFF"/>
                <w:sz w:val="17"/>
              </w:rPr>
              <w:t>Prüfung</w:t>
            </w:r>
          </w:p>
        </w:tc>
        <w:tc>
          <w:tcPr>
            <w:tcW w:type="dxa" w:w="4876"/>
            <w:shd w:fill="0D6F70"/>
            <w:vAlign w:val="center"/>
          </w:tcPr>
          <w:p>
            <w:r/>
            <w:r>
              <w:rPr>
                <w:rFonts w:ascii="Liberation Sans" w:hAnsi="Liberation Sans"/>
                <w:b/>
                <w:color w:val="FFFFFF"/>
                <w:sz w:val="17"/>
              </w:rPr>
              <w:t>Ergebnis</w:t>
            </w:r>
          </w:p>
        </w:tc>
      </w:tr>
      <w:tr>
        <w:tc>
          <w:tcPr>
            <w:tcW w:type="dxa" w:w="4876"/>
            <w:vAlign w:val="center"/>
            <w:shd w:fill="F3F7F7"/>
          </w:tcPr>
          <w:p>
            <w:r/>
            <w:r>
              <w:rPr>
                <w:rFonts w:ascii="Liberation Sans" w:hAnsi="Liberation Sans"/>
                <w:b/>
                <w:color w:val="142C35"/>
                <w:sz w:val="17"/>
              </w:rPr>
              <w:t>Core</w:t>
            </w:r>
          </w:p>
        </w:tc>
        <w:tc>
          <w:tcPr>
            <w:tcW w:type="dxa" w:w="4876"/>
            <w:vAlign w:val="center"/>
          </w:tcPr>
          <w:p>
            <w:r/>
            <w:r>
              <w:rPr>
                <w:rFonts w:ascii="Liberation Sans" w:hAnsi="Liberation Sans"/>
                <w:b w:val="0"/>
                <w:color w:val="142C35"/>
                <w:sz w:val="17"/>
              </w:rPr>
              <w:t>58 Tests bestanden; einschließlich generischer Explanation-Readiness-Policy</w:t>
            </w:r>
          </w:p>
        </w:tc>
      </w:tr>
      <w:tr>
        <w:tc>
          <w:tcPr>
            <w:tcW w:type="dxa" w:w="4876"/>
            <w:vAlign w:val="center"/>
            <w:shd w:fill="F3F7F7"/>
          </w:tcPr>
          <w:p>
            <w:r/>
            <w:r>
              <w:rPr>
                <w:rFonts w:ascii="Liberation Sans" w:hAnsi="Liberation Sans"/>
                <w:b/>
                <w:color w:val="142C35"/>
                <w:sz w:val="17"/>
              </w:rPr>
              <w:t>API</w:t>
            </w:r>
          </w:p>
        </w:tc>
        <w:tc>
          <w:tcPr>
            <w:tcW w:type="dxa" w:w="4876"/>
            <w:vAlign w:val="center"/>
          </w:tcPr>
          <w:p>
            <w:r/>
            <w:r>
              <w:rPr>
                <w:rFonts w:ascii="Liberation Sans" w:hAnsi="Liberation Sans"/>
                <w:b w:val="0"/>
                <w:color w:val="142C35"/>
                <w:sz w:val="17"/>
              </w:rPr>
              <w:t>112 Tests bestanden; einschließlich Versionierung, Readiness-Feldern und Skript-Sperre</w:t>
            </w:r>
          </w:p>
        </w:tc>
      </w:tr>
      <w:tr>
        <w:tc>
          <w:tcPr>
            <w:tcW w:type="dxa" w:w="4876"/>
            <w:vAlign w:val="center"/>
            <w:shd w:fill="F3F7F7"/>
          </w:tcPr>
          <w:p>
            <w:r/>
            <w:r>
              <w:rPr>
                <w:rFonts w:ascii="Liberation Sans" w:hAnsi="Liberation Sans"/>
                <w:b/>
                <w:color w:val="142C35"/>
                <w:sz w:val="17"/>
              </w:rPr>
              <w:t>Research Worker</w:t>
            </w:r>
          </w:p>
        </w:tc>
        <w:tc>
          <w:tcPr>
            <w:tcW w:type="dxa" w:w="4876"/>
            <w:vAlign w:val="center"/>
          </w:tcPr>
          <w:p>
            <w:r/>
            <w:r>
              <w:rPr>
                <w:rFonts w:ascii="Liberation Sans" w:hAnsi="Liberation Sans"/>
                <w:b w:val="0"/>
                <w:color w:val="142C35"/>
                <w:sz w:val="17"/>
              </w:rPr>
              <w:t>66 Tests bestanden; einschließlich kumulativem Claim-Bestand, stabilen Erkläreinheiten, Quellen-Alias-Deduplizierung und Kandidatenübergabe</w:t>
            </w:r>
          </w:p>
        </w:tc>
      </w:tr>
      <w:tr>
        <w:tc>
          <w:tcPr>
            <w:tcW w:type="dxa" w:w="4876"/>
            <w:vAlign w:val="center"/>
            <w:shd w:fill="F3F7F7"/>
          </w:tcPr>
          <w:p>
            <w:r/>
            <w:r>
              <w:rPr>
                <w:rFonts w:ascii="Liberation Sans" w:hAnsi="Liberation Sans"/>
                <w:b/>
                <w:color w:val="142C35"/>
                <w:sz w:val="17"/>
              </w:rPr>
              <w:t>Editorial Worker</w:t>
            </w:r>
          </w:p>
        </w:tc>
        <w:tc>
          <w:tcPr>
            <w:tcW w:type="dxa" w:w="4876"/>
            <w:vAlign w:val="center"/>
          </w:tcPr>
          <w:p>
            <w:r/>
            <w:r>
              <w:rPr>
                <w:rFonts w:ascii="Liberation Sans" w:hAnsi="Liberation Sans"/>
                <w:b w:val="0"/>
                <w:color w:val="142C35"/>
                <w:sz w:val="17"/>
              </w:rPr>
              <w:t>49 Tests bestanden; einschließlich stabiler Enrichment-Pläne, KI-Evidenzfeedback, Wiederholungssperre, priorisierter neuer Werke, begrenzter KI-Payloads, Activity-Heartbeat sowie Skript- und Storyboard-Hard-Gates</w:t>
            </w:r>
          </w:p>
        </w:tc>
      </w:tr>
      <w:tr>
        <w:tc>
          <w:tcPr>
            <w:tcW w:type="dxa" w:w="4876"/>
            <w:vAlign w:val="center"/>
            <w:shd w:fill="F3F7F7"/>
          </w:tcPr>
          <w:p>
            <w:r/>
            <w:r>
              <w:rPr>
                <w:rFonts w:ascii="Liberation Sans" w:hAnsi="Liberation Sans"/>
                <w:b/>
                <w:color w:val="142C35"/>
                <w:sz w:val="17"/>
              </w:rPr>
              <w:t>Web</w:t>
            </w:r>
          </w:p>
        </w:tc>
        <w:tc>
          <w:tcPr>
            <w:tcW w:type="dxa" w:w="4876"/>
            <w:vAlign w:val="center"/>
          </w:tcPr>
          <w:p>
            <w:r/>
            <w:r>
              <w:rPr>
                <w:rFonts w:ascii="Liberation Sans" w:hAnsi="Liberation Sans"/>
                <w:b w:val="0"/>
                <w:color w:val="142C35"/>
                <w:sz w:val="17"/>
              </w:rPr>
              <w:t>TypeScript-Test und produktiver Next.js-Build bestanden</w:t>
            </w:r>
          </w:p>
        </w:tc>
      </w:tr>
      <w:tr>
        <w:tc>
          <w:tcPr>
            <w:tcW w:type="dxa" w:w="4876"/>
            <w:vAlign w:val="center"/>
            <w:shd w:fill="F3F7F7"/>
          </w:tcPr>
          <w:p>
            <w:r/>
            <w:r>
              <w:rPr>
                <w:rFonts w:ascii="Liberation Sans" w:hAnsi="Liberation Sans"/>
                <w:b/>
                <w:color w:val="142C35"/>
                <w:sz w:val="17"/>
              </w:rPr>
              <w:t>Prompt-Grenzen</w:t>
            </w:r>
          </w:p>
        </w:tc>
        <w:tc>
          <w:tcPr>
            <w:tcW w:type="dxa" w:w="4876"/>
            <w:vAlign w:val="center"/>
          </w:tcPr>
          <w:p>
            <w:r/>
            <w:r>
              <w:rPr>
                <w:rFonts w:ascii="Liberation Sans" w:hAnsi="Liberation Sans"/>
                <w:b w:val="0"/>
                <w:color w:val="142C35"/>
                <w:sz w:val="17"/>
              </w:rPr>
              <w:t>Writer 2.389, Verifier 1.910, Storyboard 1.773 kompilierte Zeichen; alle unter 5.000</w:t>
            </w:r>
          </w:p>
        </w:tc>
      </w:tr>
      <w:tr>
        <w:tc>
          <w:tcPr>
            <w:tcW w:type="dxa" w:w="4876"/>
            <w:vAlign w:val="center"/>
            <w:shd w:fill="F3F7F7"/>
          </w:tcPr>
          <w:p>
            <w:r/>
            <w:r>
              <w:rPr>
                <w:rFonts w:ascii="Liberation Sans" w:hAnsi="Liberation Sans"/>
                <w:b/>
                <w:color w:val="142C35"/>
                <w:sz w:val="17"/>
              </w:rPr>
              <w:t>Pflicht-Gates</w:t>
            </w:r>
          </w:p>
        </w:tc>
        <w:tc>
          <w:tcPr>
            <w:tcW w:type="dxa" w:w="4876"/>
            <w:vAlign w:val="center"/>
          </w:tcPr>
          <w:p>
            <w:r/>
            <w:r>
              <w:rPr>
                <w:rFonts w:ascii="Liberation Sans" w:hAnsi="Liberation Sans"/>
                <w:b w:val="0"/>
                <w:color w:val="142C35"/>
                <w:sz w:val="17"/>
              </w:rPr>
              <w:t>6 von 6 vorhanden</w:t>
            </w:r>
          </w:p>
        </w:tc>
      </w:tr>
      <w:tr>
        <w:tc>
          <w:tcPr>
            <w:tcW w:type="dxa" w:w="4876"/>
            <w:vAlign w:val="center"/>
            <w:shd w:fill="F3F7F7"/>
          </w:tcPr>
          <w:p>
            <w:r/>
            <w:r>
              <w:rPr>
                <w:rFonts w:ascii="Liberation Sans" w:hAnsi="Liberation Sans"/>
                <w:b/>
                <w:color w:val="142C35"/>
                <w:sz w:val="17"/>
              </w:rPr>
              <w:t>Live-Datenbank</w:t>
            </w:r>
          </w:p>
        </w:tc>
        <w:tc>
          <w:tcPr>
            <w:tcW w:type="dxa" w:w="4876"/>
            <w:vAlign w:val="center"/>
          </w:tcPr>
          <w:p>
            <w:r/>
            <w:r>
              <w:rPr>
                <w:rFonts w:ascii="Liberation Sans" w:hAnsi="Liberation Sans"/>
                <w:b w:val="0"/>
                <w:color w:val="142C35"/>
                <w:sz w:val="17"/>
              </w:rPr>
              <w:t>Kanal v3 aktiv; Workflow 13 Stufen; Subject v3 aktiv; Cron und Zeitzone bestätigt</w:t>
            </w:r>
          </w:p>
        </w:tc>
      </w:tr>
      <w:tr>
        <w:tc>
          <w:tcPr>
            <w:tcW w:type="dxa" w:w="4876"/>
            <w:vAlign w:val="center"/>
            <w:shd w:fill="F3F7F7"/>
          </w:tcPr>
          <w:p>
            <w:r/>
            <w:r>
              <w:rPr>
                <w:rFonts w:ascii="Liberation Sans" w:hAnsi="Liberation Sans"/>
                <w:b/>
                <w:color w:val="142C35"/>
                <w:sz w:val="17"/>
              </w:rPr>
              <w:t>Live Discovery</w:t>
            </w:r>
          </w:p>
        </w:tc>
        <w:tc>
          <w:tcPr>
            <w:tcW w:type="dxa" w:w="4876"/>
            <w:vAlign w:val="center"/>
          </w:tcPr>
          <w:p>
            <w:r/>
            <w:r>
              <w:rPr>
                <w:rFonts w:ascii="Liberation Sans" w:hAnsi="Liberation Sans"/>
                <w:b w:val="0"/>
                <w:color w:val="142C35"/>
                <w:sz w:val="17"/>
              </w:rPr>
              <w:t>70 Rohresultate; 18 geeignet; 52 irrelevant; 16 dedupliziert; 11 neue Opportunities; 3 antwortende Engines</w:t>
            </w:r>
          </w:p>
        </w:tc>
      </w:tr>
      <w:tr>
        <w:tc>
          <w:tcPr>
            <w:tcW w:type="dxa" w:w="4876"/>
            <w:vAlign w:val="center"/>
            <w:shd w:fill="F3F7F7"/>
          </w:tcPr>
          <w:p>
            <w:r/>
            <w:r>
              <w:rPr>
                <w:rFonts w:ascii="Liberation Sans" w:hAnsi="Liberation Sans"/>
                <w:b/>
                <w:color w:val="142C35"/>
                <w:sz w:val="17"/>
              </w:rPr>
              <w:t>Live Dossier</w:t>
            </w:r>
          </w:p>
        </w:tc>
        <w:tc>
          <w:tcPr>
            <w:tcW w:type="dxa" w:w="4876"/>
            <w:vAlign w:val="center"/>
          </w:tcPr>
          <w:p>
            <w:r/>
            <w:r>
              <w:rPr>
                <w:rFonts w:ascii="Liberation Sans" w:hAnsi="Liberation Sans"/>
                <w:b w:val="0"/>
                <w:color w:val="142C35"/>
                <w:sz w:val="17"/>
              </w:rPr>
              <w:t>Lithium v11 explanation-ready: 14/13 nutzbare Claims, 7/6 Erkläreinheiten, 9 unabhängige und 6 Primärquellen, Gegenbelegsuche abgeschlossen</w:t>
            </w:r>
          </w:p>
        </w:tc>
      </w:tr>
      <w:tr>
        <w:tc>
          <w:tcPr>
            <w:tcW w:type="dxa" w:w="4876"/>
            <w:vAlign w:val="center"/>
            <w:shd w:fill="F3F7F7"/>
          </w:tcPr>
          <w:p>
            <w:r/>
            <w:r>
              <w:rPr>
                <w:rFonts w:ascii="Liberation Sans" w:hAnsi="Liberation Sans"/>
                <w:b/>
                <w:color w:val="142C35"/>
                <w:sz w:val="17"/>
              </w:rPr>
              <w:t>Runtime</w:t>
            </w:r>
          </w:p>
        </w:tc>
        <w:tc>
          <w:tcPr>
            <w:tcW w:type="dxa" w:w="4876"/>
            <w:vAlign w:val="center"/>
          </w:tcPr>
          <w:p>
            <w:r/>
            <w:r>
              <w:rPr>
                <w:rFonts w:ascii="Liberation Sans" w:hAnsi="Liberation Sans"/>
                <w:b w:val="0"/>
                <w:color w:val="142C35"/>
                <w:sz w:val="17"/>
              </w:rPr>
              <w:t>API, Web, Research Worker und Editorial Worker healthy nach Deploy</w:t>
            </w:r>
          </w:p>
        </w:tc>
      </w:tr>
    </w:tbl>
    <w:p/>
    <w:p>
      <w:r>
        <w:br w:type="page"/>
      </w:r>
    </w:p>
    <w:p>
      <w:pPr>
        <w:pStyle w:val="Heading1"/>
      </w:pPr>
      <w:r>
        <w:t>7. Explanation Readiness und autonome Optimierung</w:t>
      </w:r>
    </w:p>
    <w:p>
      <w:r>
        <w:t>Ein Dossier ist nicht mehr allein deshalb produktionsreif, weil wenige Claims formal belegt sind. Das neue Gate berechnet aus Zieldauer und Sprechtempo zunächst den benötigten Textumfang und daraus die minimale Zahl unterschiedlicher Fakten. Für FaktischSimpel ergibt das einen Korridor von 360–600 Sekunden beziehungsweise 810–1.350 Wörtern und mindestens 13 Tatsachenclaims.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0D6F70"/>
            <w:vAlign w:val="center"/>
          </w:tcPr>
          <w:p>
            <w:r/>
            <w:r>
              <w:rPr>
                <w:rFonts w:ascii="Liberation Sans" w:hAnsi="Liberation Sans"/>
                <w:b/>
                <w:color w:val="FFFFFF"/>
                <w:sz w:val="17"/>
              </w:rPr>
              <w:t>Gate</w:t>
            </w:r>
          </w:p>
        </w:tc>
        <w:tc>
          <w:tcPr>
            <w:tcW w:type="dxa" w:w="4876"/>
            <w:shd w:fill="0D6F70"/>
            <w:vAlign w:val="center"/>
          </w:tcPr>
          <w:p>
            <w:r/>
            <w:r>
              <w:rPr>
                <w:rFonts w:ascii="Liberation Sans" w:hAnsi="Liberation Sans"/>
                <w:b/>
                <w:color w:val="FFFFFF"/>
                <w:sz w:val="17"/>
              </w:rPr>
              <w:t>Erzwungenes Verhalten</w:t>
            </w:r>
          </w:p>
        </w:tc>
      </w:tr>
      <w:tr>
        <w:tc>
          <w:tcPr>
            <w:tcW w:type="dxa" w:w="4876"/>
            <w:vAlign w:val="center"/>
            <w:shd w:fill="F3F7F7"/>
          </w:tcPr>
          <w:p>
            <w:r/>
            <w:r>
              <w:rPr>
                <w:rFonts w:ascii="Liberation Sans" w:hAnsi="Liberation Sans"/>
                <w:b/>
                <w:color w:val="142C35"/>
                <w:sz w:val="17"/>
              </w:rPr>
              <w:t>Erklärplan</w:t>
            </w:r>
          </w:p>
        </w:tc>
        <w:tc>
          <w:tcPr>
            <w:tcW w:type="dxa" w:w="4876"/>
            <w:vAlign w:val="center"/>
          </w:tcPr>
          <w:p>
            <w:r/>
            <w:r>
              <w:rPr>
                <w:rFonts w:ascii="Liberation Sans" w:hAnsi="Liberation Sans"/>
                <w:b w:val="0"/>
                <w:color w:val="142C35"/>
                <w:sz w:val="17"/>
              </w:rPr>
              <w:t>Mindestens 6 wesentliche Einheiten: Grundlage, Mechanismus, Evidenz, Grenzen, Folgen und offene Fragen</w:t>
            </w:r>
          </w:p>
        </w:tc>
      </w:tr>
      <w:tr>
        <w:tc>
          <w:tcPr>
            <w:tcW w:type="dxa" w:w="4876"/>
            <w:vAlign w:val="center"/>
            <w:shd w:fill="F3F7F7"/>
          </w:tcPr>
          <w:p>
            <w:r/>
            <w:r>
              <w:rPr>
                <w:rFonts w:ascii="Liberation Sans" w:hAnsi="Liberation Sans"/>
                <w:b/>
                <w:color w:val="142C35"/>
                <w:sz w:val="17"/>
              </w:rPr>
              <w:t>Evidenz</w:t>
            </w:r>
          </w:p>
        </w:tc>
        <w:tc>
          <w:tcPr>
            <w:tcW w:type="dxa" w:w="4876"/>
            <w:vAlign w:val="center"/>
          </w:tcPr>
          <w:p>
            <w:r/>
            <w:r>
              <w:rPr>
                <w:rFonts w:ascii="Liberation Sans" w:hAnsi="Liberation Sans"/>
                <w:b w:val="0"/>
                <w:color w:val="142C35"/>
                <w:sz w:val="17"/>
              </w:rPr>
              <w:t>Mindestens 13 nutzbare atomare Claims bei 1,5 Claims je 100 Wörter</w:t>
            </w:r>
          </w:p>
        </w:tc>
      </w:tr>
      <w:tr>
        <w:tc>
          <w:tcPr>
            <w:tcW w:type="dxa" w:w="4876"/>
            <w:vAlign w:val="center"/>
            <w:shd w:fill="F3F7F7"/>
          </w:tcPr>
          <w:p>
            <w:r/>
            <w:r>
              <w:rPr>
                <w:rFonts w:ascii="Liberation Sans" w:hAnsi="Liberation Sans"/>
                <w:b/>
                <w:color w:val="142C35"/>
                <w:sz w:val="17"/>
              </w:rPr>
              <w:t>Quellen</w:t>
            </w:r>
          </w:p>
        </w:tc>
        <w:tc>
          <w:tcPr>
            <w:tcW w:type="dxa" w:w="4876"/>
            <w:vAlign w:val="center"/>
          </w:tcPr>
          <w:p>
            <w:r/>
            <w:r>
              <w:rPr>
                <w:rFonts w:ascii="Liberation Sans" w:hAnsi="Liberation Sans"/>
                <w:b w:val="0"/>
                <w:color w:val="142C35"/>
                <w:sz w:val="17"/>
              </w:rPr>
              <w:t>Mindestens 2 unabhängige Quellen, davon 1 Primärquelle; Gegenbelegsuche muss ausgeführt sein</w:t>
            </w:r>
          </w:p>
        </w:tc>
      </w:tr>
      <w:tr>
        <w:tc>
          <w:tcPr>
            <w:tcW w:type="dxa" w:w="4876"/>
            <w:vAlign w:val="center"/>
            <w:shd w:fill="F3F7F7"/>
          </w:tcPr>
          <w:p>
            <w:r/>
            <w:r>
              <w:rPr>
                <w:rFonts w:ascii="Liberation Sans" w:hAnsi="Liberation Sans"/>
                <w:b/>
                <w:color w:val="142C35"/>
                <w:sz w:val="17"/>
              </w:rPr>
              <w:t>Optimierung</w:t>
            </w:r>
          </w:p>
        </w:tc>
        <w:tc>
          <w:tcPr>
            <w:tcW w:type="dxa" w:w="4876"/>
            <w:vAlign w:val="center"/>
          </w:tcPr>
          <w:p>
            <w:r/>
            <w:r>
              <w:rPr>
                <w:rFonts w:ascii="Liberation Sans" w:hAnsi="Liberation Sans"/>
                <w:b w:val="0"/>
                <w:color w:val="142C35"/>
                <w:sz w:val="17"/>
              </w:rPr>
              <w:t>Bis zu 3 KI-geplante, lückenspezifische Such- und Syntheserunden über die LAN-KI</w:t>
            </w:r>
          </w:p>
        </w:tc>
      </w:tr>
      <w:tr>
        <w:tc>
          <w:tcPr>
            <w:tcW w:type="dxa" w:w="4876"/>
            <w:vAlign w:val="center"/>
            <w:shd w:fill="F3F7F7"/>
          </w:tcPr>
          <w:p>
            <w:r/>
            <w:r>
              <w:rPr>
                <w:rFonts w:ascii="Liberation Sans" w:hAnsi="Liberation Sans"/>
                <w:b/>
                <w:color w:val="142C35"/>
                <w:sz w:val="17"/>
              </w:rPr>
              <w:t>Claim-Bestand</w:t>
            </w:r>
          </w:p>
        </w:tc>
        <w:tc>
          <w:tcPr>
            <w:tcW w:type="dxa" w:w="4876"/>
            <w:vAlign w:val="center"/>
          </w:tcPr>
          <w:p>
            <w:r/>
            <w:r>
              <w:rPr>
                <w:rFonts w:ascii="Liberation Sans" w:hAnsi="Liberation Sans"/>
                <w:b w:val="0"/>
                <w:color w:val="142C35"/>
                <w:sz w:val="17"/>
              </w:rPr>
              <w:t>Neue atomare Claims werden über alle Runden kumuliert; nahe Paraphrasen werden zusammengeführt und ihre exakten Evidence-IDs vereinigt</w:t>
            </w:r>
          </w:p>
        </w:tc>
      </w:tr>
      <w:tr>
        <w:tc>
          <w:tcPr>
            <w:tcW w:type="dxa" w:w="4876"/>
            <w:vAlign w:val="center"/>
            <w:shd w:fill="F3F7F7"/>
          </w:tcPr>
          <w:p>
            <w:r/>
            <w:r>
              <w:rPr>
                <w:rFonts w:ascii="Liberation Sans" w:hAnsi="Liberation Sans"/>
                <w:b/>
                <w:color w:val="142C35"/>
                <w:sz w:val="17"/>
              </w:rPr>
              <w:t>Thesenrollen</w:t>
            </w:r>
          </w:p>
        </w:tc>
        <w:tc>
          <w:tcPr>
            <w:tcW w:type="dxa" w:w="4876"/>
            <w:vAlign w:val="center"/>
          </w:tcPr>
          <w:p>
            <w:r/>
            <w:r>
              <w:rPr>
                <w:rFonts w:ascii="Liberation Sans" w:hAnsi="Liberation Sans"/>
                <w:b w:val="0"/>
                <w:color w:val="142C35"/>
                <w:sz w:val="17"/>
              </w:rPr>
              <w:t>Maximal vier deterministisch geeignete Aussagen bleiben zentral; belastbare Definitionen, Mechanismen, Beispiele und Grenzen bleiben als unterstützende Claims erhalten</w:t>
            </w:r>
          </w:p>
        </w:tc>
      </w:tr>
      <w:tr>
        <w:tc>
          <w:tcPr>
            <w:tcW w:type="dxa" w:w="4876"/>
            <w:vAlign w:val="center"/>
            <w:shd w:fill="F3F7F7"/>
          </w:tcPr>
          <w:p>
            <w:r/>
            <w:r>
              <w:rPr>
                <w:rFonts w:ascii="Liberation Sans" w:hAnsi="Liberation Sans"/>
                <w:b/>
                <w:color w:val="142C35"/>
                <w:sz w:val="17"/>
              </w:rPr>
              <w:t>Rückkopplung</w:t>
            </w:r>
          </w:p>
        </w:tc>
        <w:tc>
          <w:tcPr>
            <w:tcW w:type="dxa" w:w="4876"/>
            <w:vAlign w:val="center"/>
          </w:tcPr>
          <w:p>
            <w:r/>
            <w:r>
              <w:rPr>
                <w:rFonts w:ascii="Liberation Sans" w:hAnsi="Liberation Sans"/>
                <w:b w:val="0"/>
                <w:color w:val="142C35"/>
                <w:sz w:val="17"/>
              </w:rPr>
              <w:t>Die LAN-KI prüft den Zwischenstand quellengebunden; ihre Lückenhinweise steuern die nächste Suche, können aber kein deterministisches Gate überstimmen</w:t>
            </w:r>
          </w:p>
        </w:tc>
      </w:tr>
      <w:tr>
        <w:tc>
          <w:tcPr>
            <w:tcW w:type="dxa" w:w="4876"/>
            <w:vAlign w:val="center"/>
            <w:shd w:fill="F3F7F7"/>
          </w:tcPr>
          <w:p>
            <w:r/>
            <w:r>
              <w:rPr>
                <w:rFonts w:ascii="Liberation Sans" w:hAnsi="Liberation Sans"/>
                <w:b/>
                <w:color w:val="142C35"/>
                <w:sz w:val="17"/>
              </w:rPr>
              <w:t>Abbruchschutz</w:t>
            </w:r>
          </w:p>
        </w:tc>
        <w:tc>
          <w:tcPr>
            <w:tcW w:type="dxa" w:w="4876"/>
            <w:vAlign w:val="center"/>
          </w:tcPr>
          <w:p>
            <w:r/>
            <w:r>
              <w:rPr>
                <w:rFonts w:ascii="Liberation Sans" w:hAnsi="Liberation Sans"/>
                <w:b w:val="0"/>
                <w:color w:val="142C35"/>
                <w:sz w:val="17"/>
              </w:rPr>
              <w:t>Meta-Claims über Dokumente, Quellenverfügbarkeit oder den Rechercheprozess zählen nicht als Fachbeleg</w:t>
            </w:r>
          </w:p>
        </w:tc>
      </w:tr>
      <w:tr>
        <w:tc>
          <w:tcPr>
            <w:tcW w:type="dxa" w:w="4876"/>
            <w:vAlign w:val="center"/>
            <w:shd w:fill="F3F7F7"/>
          </w:tcPr>
          <w:p>
            <w:r/>
            <w:r>
              <w:rPr>
                <w:rFonts w:ascii="Liberation Sans" w:hAnsi="Liberation Sans"/>
                <w:b/>
                <w:color w:val="142C35"/>
                <w:sz w:val="17"/>
              </w:rPr>
              <w:t>Kandidatenwechsel</w:t>
            </w:r>
          </w:p>
        </w:tc>
        <w:tc>
          <w:tcPr>
            <w:tcW w:type="dxa" w:w="4876"/>
            <w:vAlign w:val="center"/>
          </w:tcPr>
          <w:p>
            <w:r/>
            <w:r>
              <w:rPr>
                <w:rFonts w:ascii="Liberation Sans" w:hAnsi="Liberation Sans"/>
                <w:b w:val="0"/>
                <w:color w:val="142C35"/>
                <w:sz w:val="17"/>
              </w:rPr>
              <w:t>Bei fortbestehenden Lücken automatische Übergabe an den nächsten bereits menschlich freigegebenen Kandidaten, maximal zwei Wechsel pro Reihe</w:t>
            </w:r>
          </w:p>
        </w:tc>
      </w:tr>
    </w:tbl>
    <w:p/>
    <w:p>
      <w:pPr>
        <w:keepNext/>
        <w:jc w:val="center"/>
      </w:pPr>
      <w:r>
        <w:drawing>
          <wp:inline xmlns:a="http://schemas.openxmlformats.org/drawingml/2006/main" xmlns:pic="http://schemas.openxmlformats.org/drawingml/2006/picture">
            <wp:extent cx="5669280" cy="131191930"/>
            <wp:docPr id="7" name="Picture 7"/>
            <wp:cNvGraphicFramePr>
              <a:graphicFrameLocks noChangeAspect="1"/>
            </wp:cNvGraphicFramePr>
            <a:graphic>
              <a:graphicData uri="http://schemas.openxmlformats.org/drawingml/2006/picture">
                <pic:pic>
                  <pic:nvPicPr>
                    <pic:cNvPr id="0" name="10-explanation-readiness-legacy-gate.png"/>
                    <pic:cNvPicPr/>
                  </pic:nvPicPr>
                  <pic:blipFill>
                    <a:blip r:embed="rId17"/>
                    <a:stretch>
                      <a:fillRect/>
                    </a:stretch>
                  </pic:blipFill>
                  <pic:spPr>
                    <a:xfrm>
                      <a:off x="0" y="0"/>
                      <a:ext cx="5669280" cy="131191930"/>
                    </a:xfrm>
                    <a:prstGeom prst="rect"/>
                  </pic:spPr>
                </pic:pic>
              </a:graphicData>
            </a:graphic>
          </wp:inline>
        </w:drawing>
      </w:r>
    </w:p>
    <w:p>
      <w:pPr>
        <w:spacing w:before="60" w:after="160"/>
        <w:jc w:val="center"/>
      </w:pPr>
      <w:r>
        <w:rPr>
          <w:i/>
          <w:color w:val="5E6E74"/>
          <w:sz w:val="16"/>
        </w:rPr>
        <w:t>Abbildung 7 – Auch früher genehmigte Dossiers erscheinen als Needs evidence, wenn ihnen die neue vollständige Readiness-Auswertung fehlt.</w:t>
      </w:r>
    </w:p>
    <w:p>
      <w:pPr>
        <w:keepNext/>
        <w:jc w:val="center"/>
      </w:pPr>
      <w:r>
        <w:drawing>
          <wp:inline xmlns:a="http://schemas.openxmlformats.org/drawingml/2006/main" xmlns:pic="http://schemas.openxmlformats.org/drawingml/2006/picture">
            <wp:extent cx="5669280" cy="5662466"/>
            <wp:docPr id="8" name="Picture 8"/>
            <wp:cNvGraphicFramePr>
              <a:graphicFrameLocks noChangeAspect="1"/>
            </wp:cNvGraphicFramePr>
            <a:graphic>
              <a:graphicData uri="http://schemas.openxmlformats.org/drawingml/2006/picture">
                <pic:pic>
                  <pic:nvPicPr>
                    <pic:cNvPr id="0" name="11-explanation-readiness-policy-fields.png"/>
                    <pic:cNvPicPr/>
                  </pic:nvPicPr>
                  <pic:blipFill>
                    <a:blip r:embed="rId18"/>
                    <a:stretch>
                      <a:fillRect/>
                    </a:stretch>
                  </pic:blipFill>
                  <pic:spPr>
                    <a:xfrm>
                      <a:off x="0" y="0"/>
                      <a:ext cx="5669280" cy="5662466"/>
                    </a:xfrm>
                    <a:prstGeom prst="rect"/>
                  </pic:spPr>
                </pic:pic>
              </a:graphicData>
            </a:graphic>
          </wp:inline>
        </w:drawing>
      </w:r>
    </w:p>
    <w:p>
      <w:pPr>
        <w:spacing w:before="60" w:after="160"/>
        <w:jc w:val="center"/>
      </w:pPr>
      <w:r>
        <w:rPr>
          <w:i/>
          <w:color w:val="5E6E74"/>
          <w:sz w:val="16"/>
        </w:rPr>
        <w:t>Abbildung 8 – Dauer, Sprechtempo, maximale Evidenzrunden und Mindestzahl der Erkläreinheiten sind im Subject-Profil transparent konfigurierbar.</w:t>
      </w:r>
    </w:p>
    <w:p>
      <w:pPr>
        <w:keepNext/>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12-explanation-readiness-result.png"/>
                    <pic:cNvPicPr/>
                  </pic:nvPicPr>
                  <pic:blipFill>
                    <a:blip r:embed="rId19"/>
                    <a:stretch>
                      <a:fillRect/>
                    </a:stretch>
                  </pic:blipFill>
                  <pic:spPr>
                    <a:xfrm>
                      <a:off x="0" y="0"/>
                      <a:ext cx="5669280" cy="3188970"/>
                    </a:xfrm>
                    <a:prstGeom prst="rect"/>
                  </pic:spPr>
                </pic:pic>
              </a:graphicData>
            </a:graphic>
          </wp:inline>
        </w:drawing>
      </w:r>
    </w:p>
    <w:p>
      <w:pPr>
        <w:spacing w:before="60" w:after="160"/>
        <w:jc w:val="center"/>
      </w:pPr>
      <w:r>
        <w:rPr>
          <w:i/>
          <w:color w:val="5E6E74"/>
          <w:sz w:val="16"/>
        </w:rPr>
        <w:t>Abbildung 9 – Der reale Lithium-Test wurde nach drei LAN-KI-Runden korrekt blockiert: 4 von 13 Claims und fehlende wesentliche Erkläreinheiten reichen nicht für ein belastbares Video.</w:t>
      </w:r>
    </w:p>
    <w:p>
      <w:pPr>
        <w:keepNext/>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3-autonomous-candidate-result.png"/>
                    <pic:cNvPicPr/>
                  </pic:nvPicPr>
                  <pic:blipFill>
                    <a:blip r:embed="rId20"/>
                    <a:stretch>
                      <a:fillRect/>
                    </a:stretch>
                  </pic:blipFill>
                  <pic:spPr>
                    <a:xfrm>
                      <a:off x="0" y="0"/>
                      <a:ext cx="5669280" cy="3188970"/>
                    </a:xfrm>
                    <a:prstGeom prst="rect"/>
                  </pic:spPr>
                </pic:pic>
              </a:graphicData>
            </a:graphic>
          </wp:inline>
        </w:drawing>
      </w:r>
    </w:p>
    <w:p>
      <w:pPr>
        <w:spacing w:before="60" w:after="160"/>
        <w:jc w:val="center"/>
      </w:pPr>
      <w:r>
        <w:rPr>
          <w:i/>
          <w:color w:val="5E6E74"/>
          <w:sz w:val="16"/>
        </w:rPr>
        <w:t>Abbildung 10 – Nach dem autonomen Kandidatenwechsel akquirierte TubeFactory 22 Snapshots und deckte alle sechs Erkläreinheiten ab; mit 6 von 13 Claims blieb aber auch dieses Thema sicher vor der Skriptstufe blockiert.</w:t>
      </w:r>
    </w:p>
    <w:tbl>
      <w:tblPr>
        <w:tblW w:type="auto" w:w="0"/>
        <w:jc w:val="center"/>
        <w:tblLook w:firstColumn="1" w:firstRow="1" w:lastColumn="0" w:lastRow="0" w:noHBand="0" w:noVBand="1" w:val="04A0"/>
      </w:tblPr>
      <w:tblGrid>
        <w:gridCol w:w="9752"/>
      </w:tblGrid>
      <w:tr>
        <w:tc>
          <w:tcPr>
            <w:tcW w:type="dxa" w:w="9752"/>
            <w:shd w:fill="EAF4F4"/>
          </w:tcPr>
          <w:p>
            <w:pPr>
              <w:spacing w:after="40"/>
            </w:pPr>
            <w:r>
              <w:rPr>
                <w:b/>
                <w:color w:val="0D6F70"/>
              </w:rPr>
              <w:t xml:space="preserve">Korrigierter generischer Ansatz  </w:t>
            </w:r>
            <w:r>
              <w:t>Der Erklärplan wird zu Beginn einer Reihe einmal festgelegt und bleibt danach stabil. Jede Syntheserunde erhält den bisherigen Claim-Bestand, bearbeitet nur fehlende oder dünn belegte Einheiten und liefert zusätzliche atomare Aussagen. Bereits verwendete Evidence-IDs werden der Folgerunde nicht erneut angeboten. Quellen-Aliase werden über wissenschaftliche Werk-IDs zusammengeführt; zwei Auszüge desselben Werks zählen deshalb weiterhin nur als eine unabhängige Quelle. Schwächer belegte Details werden nicht mehr verworfen, sondern als nicht-zentrale Claims behalten, sofern mindestens ein exakter Direktbeleg vorhanden ist.</w:t>
            </w:r>
          </w:p>
        </w:tc>
      </w:tr>
    </w:tbl>
    <w:p>
      <w:pPr>
        <w:spacing w:after="0"/>
      </w:pPr>
    </w:p>
    <w:tbl>
      <w:tblPr>
        <w:tblW w:type="auto" w:w="0"/>
        <w:jc w:val="center"/>
        <w:tblLook w:firstColumn="1" w:firstRow="1" w:lastColumn="0" w:lastRow="0" w:noHBand="0" w:noVBand="1" w:val="04A0"/>
      </w:tblPr>
      <w:tblGrid>
        <w:gridCol w:w="9752"/>
      </w:tblGrid>
      <w:tr>
        <w:tc>
          <w:tcPr>
            <w:tcW w:type="dxa" w:w="9752"/>
            <w:shd w:fill="EAF4F4"/>
          </w:tcPr>
          <w:p>
            <w:pPr>
              <w:spacing w:after="40"/>
            </w:pPr>
            <w:r>
              <w:rPr>
                <w:b/>
                <w:color w:val="0D6F70"/>
              </w:rPr>
              <w:t xml:space="preserve">Warum das bessere Ergebnis zunächst ein Block ist  </w:t>
            </w:r>
            <w:r>
              <w:t>Das frühere kurze Skript sah formal vollständig aus, hatte aber nur drei fachliche Claims. Das neue System verweigert diese Scheinsicherheit, benennt die konkreten Lücken und setzt die Recherche beziehungsweise Kandidatenauswahl automatisch fort.</w:t>
            </w:r>
          </w:p>
        </w:tc>
      </w:tr>
    </w:tbl>
    <w:p>
      <w:pPr>
        <w:spacing w:after="0"/>
      </w:pPr>
    </w:p>
    <w:p>
      <w:r>
        <w:br w:type="page"/>
      </w:r>
    </w:p>
    <w:tbl>
      <w:tblPr>
        <w:tblW w:type="auto" w:w="0"/>
        <w:jc w:val="center"/>
        <w:tblLook w:firstColumn="1" w:firstRow="1" w:lastColumn="0" w:lastRow="0" w:noHBand="0" w:noVBand="1" w:val="04A0"/>
      </w:tblPr>
      <w:tblGrid>
        <w:gridCol w:w="9752"/>
      </w:tblGrid>
      <w:tr>
        <w:tc>
          <w:tcPr>
            <w:tcW w:type="dxa" w:w="9752"/>
            <w:shd w:fill="EAF4F4"/>
          </w:tcPr>
          <w:p>
            <w:pPr>
              <w:spacing w:after="40"/>
            </w:pPr>
            <w:r>
              <w:rPr>
                <w:b/>
                <w:color w:val="0D6F70"/>
              </w:rPr>
              <w:t xml:space="preserve">Finaler autonomer Live-Nachweis  </w:t>
            </w:r>
            <w:r>
              <w:t>Workflow live-research-dossier-corrected-claim-bank-feedback-v2-lithium-20260722a lief ohne manuelle Datenmanipulation bis DOSSIER_REVIEW. Dossier f67ac324-8ce5-4edc-bec8-dbd68aefd30f erreichte 14/13 nutzbare Claims, deckte alle sieben Erklärungseinheiten ab und belegte sie mit 9 unabhängigen sowie 6 Primärquellen. Die Gegenbelegsuche war abgeschlossen; das abschließende quellengebundene LAN-KI-Review bewertete 14 Claims und 9 Quellen ohne Abstention bei Konfidenz 1,0.</w:t>
            </w:r>
          </w:p>
        </w:tc>
      </w:tr>
    </w:tbl>
    <w:p>
      <w:pPr>
        <w:spacing w:after="0"/>
      </w:pPr>
    </w:p>
    <w:p>
      <w:pPr>
        <w:keepNext/>
        <w:jc w:val="center"/>
      </w:pPr>
      <w:r>
        <w:drawing>
          <wp:inline xmlns:a="http://schemas.openxmlformats.org/drawingml/2006/main" xmlns:pic="http://schemas.openxmlformats.org/drawingml/2006/picture">
            <wp:extent cx="5669280" cy="3679709"/>
            <wp:docPr id="11" name="Picture 11"/>
            <wp:cNvGraphicFramePr>
              <a:graphicFrameLocks noChangeAspect="1"/>
            </wp:cNvGraphicFramePr>
            <a:graphic>
              <a:graphicData uri="http://schemas.openxmlformats.org/drawingml/2006/picture">
                <pic:pic>
                  <pic:nvPicPr>
                    <pic:cNvPr id="0" name="14-corrected-claim-bank-result.png"/>
                    <pic:cNvPicPr/>
                  </pic:nvPicPr>
                  <pic:blipFill>
                    <a:blip r:embed="rId21"/>
                    <a:stretch>
                      <a:fillRect/>
                    </a:stretch>
                  </pic:blipFill>
                  <pic:spPr>
                    <a:xfrm>
                      <a:off x="0" y="0"/>
                      <a:ext cx="5669280" cy="3679709"/>
                    </a:xfrm>
                    <a:prstGeom prst="rect"/>
                  </pic:spPr>
                </pic:pic>
              </a:graphicData>
            </a:graphic>
          </wp:inline>
        </w:drawing>
      </w:r>
    </w:p>
    <w:p>
      <w:pPr>
        <w:spacing w:before="60" w:after="160"/>
        <w:jc w:val="center"/>
      </w:pPr>
      <w:r>
        <w:rPr>
          <w:i/>
          <w:color w:val="5E6E74"/>
          <w:sz w:val="16"/>
        </w:rPr>
        <w:t>Abbildung 11 – Der vollständig korrigierte Lithium-Lauf ist explanation-ready: 14/13 Claims, sieben abgedeckte Erkläreinheiten, neun unabhängige und sechs Primärquellen sowie abgeschlossene Gegenbelegsuche.</w:t>
      </w:r>
    </w:p>
    <w:p>
      <w:r>
        <w:br w:type="page"/>
      </w:r>
    </w:p>
    <w:p>
      <w:pPr>
        <w:pStyle w:val="Heading1"/>
      </w:pPr>
      <w:r>
        <w:t>8. Erhaltener Baseline-Lauf vor dem Readiness-Gate</w:t>
      </w:r>
    </w:p>
    <w:p>
      <w:r>
        <w:t>Für die neue Reihe wurden die älteren FaktischSimpel-Findings recoverable archiviert. Das System entdeckte anschließend selbstständig ein neues Thema zur Lithiumgewinnung aus geothermischen Systemen. Die menschlichen Prüfschritte wurden für diesen Test bewusst übernommen; Skript- und Storyboardtexte wurden nicht manuell manipuliert.</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0D6F70"/>
            <w:vAlign w:val="center"/>
          </w:tcPr>
          <w:p>
            <w:r/>
            <w:r>
              <w:rPr>
                <w:rFonts w:ascii="Liberation Sans" w:hAnsi="Liberation Sans"/>
                <w:b/>
                <w:color w:val="FFFFFF"/>
                <w:sz w:val="17"/>
              </w:rPr>
              <w:t>Artefakt</w:t>
            </w:r>
          </w:p>
        </w:tc>
        <w:tc>
          <w:tcPr>
            <w:tcW w:type="dxa" w:w="4876"/>
            <w:shd w:fill="0D6F70"/>
            <w:vAlign w:val="center"/>
          </w:tcPr>
          <w:p>
            <w:r/>
            <w:r>
              <w:rPr>
                <w:rFonts w:ascii="Liberation Sans" w:hAnsi="Liberation Sans"/>
                <w:b/>
                <w:color w:val="FFFFFF"/>
                <w:sz w:val="17"/>
              </w:rPr>
              <w:t>Live-Ergebnis</w:t>
            </w:r>
          </w:p>
        </w:tc>
      </w:tr>
      <w:tr>
        <w:tc>
          <w:tcPr>
            <w:tcW w:type="dxa" w:w="4876"/>
            <w:vAlign w:val="center"/>
            <w:shd w:fill="F3F7F7"/>
          </w:tcPr>
          <w:p>
            <w:r/>
            <w:r>
              <w:rPr>
                <w:rFonts w:ascii="Liberation Sans" w:hAnsi="Liberation Sans"/>
                <w:b/>
                <w:color w:val="142C35"/>
                <w:sz w:val="17"/>
              </w:rPr>
              <w:t>Ausgewähltes Thema</w:t>
            </w:r>
          </w:p>
        </w:tc>
        <w:tc>
          <w:tcPr>
            <w:tcW w:type="dxa" w:w="4876"/>
            <w:vAlign w:val="center"/>
          </w:tcPr>
          <w:p>
            <w:r/>
            <w:r>
              <w:rPr>
                <w:rFonts w:ascii="Liberation Sans" w:hAnsi="Liberation Sans"/>
                <w:b w:val="0"/>
                <w:color w:val="142C35"/>
                <w:sz w:val="17"/>
              </w:rPr>
              <w:t>Herausforderungen und Chancen für die Lithiumgewinnung aus geothermischen Systemen in Deutschland</w:t>
            </w:r>
          </w:p>
        </w:tc>
      </w:tr>
      <w:tr>
        <w:tc>
          <w:tcPr>
            <w:tcW w:type="dxa" w:w="4876"/>
            <w:vAlign w:val="center"/>
            <w:shd w:fill="F3F7F7"/>
          </w:tcPr>
          <w:p>
            <w:r/>
            <w:r>
              <w:rPr>
                <w:rFonts w:ascii="Liberation Sans" w:hAnsi="Liberation Sans"/>
                <w:b/>
                <w:color w:val="142C35"/>
                <w:sz w:val="17"/>
              </w:rPr>
              <w:t>Evidenzdossier</w:t>
            </w:r>
          </w:p>
        </w:tc>
        <w:tc>
          <w:tcPr>
            <w:tcW w:type="dxa" w:w="4876"/>
            <w:vAlign w:val="center"/>
          </w:tcPr>
          <w:p>
            <w:r/>
            <w:r>
              <w:rPr>
                <w:rFonts w:ascii="Liberation Sans" w:hAnsi="Liberation Sans"/>
                <w:b w:val="0"/>
                <w:color w:val="142C35"/>
                <w:sz w:val="17"/>
              </w:rPr>
              <w:t>Historische Version 2; 3 atomare Claims; nach neuer Policy nicht mehr explanation-ready</w:t>
            </w:r>
          </w:p>
        </w:tc>
      </w:tr>
      <w:tr>
        <w:tc>
          <w:tcPr>
            <w:tcW w:type="dxa" w:w="4876"/>
            <w:vAlign w:val="center"/>
            <w:shd w:fill="F3F7F7"/>
          </w:tcPr>
          <w:p>
            <w:r/>
            <w:r>
              <w:rPr>
                <w:rFonts w:ascii="Liberation Sans" w:hAnsi="Liberation Sans"/>
                <w:b/>
                <w:color w:val="142C35"/>
                <w:sz w:val="17"/>
              </w:rPr>
              <w:t>Skript</w:t>
            </w:r>
          </w:p>
        </w:tc>
        <w:tc>
          <w:tcPr>
            <w:tcW w:type="dxa" w:w="4876"/>
            <w:vAlign w:val="center"/>
          </w:tcPr>
          <w:p>
            <w:r/>
            <w:r>
              <w:rPr>
                <w:rFonts w:ascii="Liberation Sans" w:hAnsi="Liberation Sans"/>
                <w:b w:val="0"/>
                <w:color w:val="142C35"/>
                <w:sz w:val="17"/>
              </w:rPr>
              <w:t>Version 31 freigegeben; 8 Segmente; 410 Wörter; 182,2 Sekunden; 100 % Central-Claim-Coverage; 0 Fehler und 0 Warnungen</w:t>
            </w:r>
          </w:p>
        </w:tc>
      </w:tr>
      <w:tr>
        <w:tc>
          <w:tcPr>
            <w:tcW w:type="dxa" w:w="4876"/>
            <w:vAlign w:val="center"/>
            <w:shd w:fill="F3F7F7"/>
          </w:tcPr>
          <w:p>
            <w:r/>
            <w:r>
              <w:rPr>
                <w:rFonts w:ascii="Liberation Sans" w:hAnsi="Liberation Sans"/>
                <w:b/>
                <w:color w:val="142C35"/>
                <w:sz w:val="17"/>
              </w:rPr>
              <w:t>Skript-Hash</w:t>
            </w:r>
          </w:p>
        </w:tc>
        <w:tc>
          <w:tcPr>
            <w:tcW w:type="dxa" w:w="4876"/>
            <w:vAlign w:val="center"/>
          </w:tcPr>
          <w:p>
            <w:r/>
            <w:r>
              <w:rPr>
                <w:rFonts w:ascii="Liberation Sans" w:hAnsi="Liberation Sans"/>
                <w:b w:val="0"/>
                <w:color w:val="142C35"/>
                <w:sz w:val="17"/>
              </w:rPr>
              <w:t>7f5e454c6330968b0cf6882306c88785dd56b9ce752d955e49dd1d17ee66846b</w:t>
            </w:r>
          </w:p>
        </w:tc>
      </w:tr>
      <w:tr>
        <w:tc>
          <w:tcPr>
            <w:tcW w:type="dxa" w:w="4876"/>
            <w:vAlign w:val="center"/>
            <w:shd w:fill="F3F7F7"/>
          </w:tcPr>
          <w:p>
            <w:r/>
            <w:r>
              <w:rPr>
                <w:rFonts w:ascii="Liberation Sans" w:hAnsi="Liberation Sans"/>
                <w:b/>
                <w:color w:val="142C35"/>
                <w:sz w:val="17"/>
              </w:rPr>
              <w:t>Storyboard</w:t>
            </w:r>
          </w:p>
        </w:tc>
        <w:tc>
          <w:tcPr>
            <w:tcW w:type="dxa" w:w="4876"/>
            <w:vAlign w:val="center"/>
          </w:tcPr>
          <w:p>
            <w:r/>
            <w:r>
              <w:rPr>
                <w:rFonts w:ascii="Liberation Sans" w:hAnsi="Liberation Sans"/>
                <w:b w:val="0"/>
                <w:color w:val="142C35"/>
                <w:sz w:val="17"/>
              </w:rPr>
              <w:t>Version 8 freigegeben; 8 Szenen; 182,2 Sekunden; 7 visuelle Rollen mit Claim- und Quellenbindung</w:t>
            </w:r>
          </w:p>
        </w:tc>
      </w:tr>
      <w:tr>
        <w:tc>
          <w:tcPr>
            <w:tcW w:type="dxa" w:w="4876"/>
            <w:vAlign w:val="center"/>
            <w:shd w:fill="F3F7F7"/>
          </w:tcPr>
          <w:p>
            <w:r/>
            <w:r>
              <w:rPr>
                <w:rFonts w:ascii="Liberation Sans" w:hAnsi="Liberation Sans"/>
                <w:b/>
                <w:color w:val="142C35"/>
                <w:sz w:val="17"/>
              </w:rPr>
              <w:t>Storyboard-Hash</w:t>
            </w:r>
          </w:p>
        </w:tc>
        <w:tc>
          <w:tcPr>
            <w:tcW w:type="dxa" w:w="4876"/>
            <w:vAlign w:val="center"/>
          </w:tcPr>
          <w:p>
            <w:r/>
            <w:r>
              <w:rPr>
                <w:rFonts w:ascii="Liberation Sans" w:hAnsi="Liberation Sans"/>
                <w:b w:val="0"/>
                <w:color w:val="142C35"/>
                <w:sz w:val="17"/>
              </w:rPr>
              <w:t>1a54a75c75303e2d058ec2a29ec65800d4551f9d1549ee158c59bab3ba14bb84</w:t>
            </w:r>
          </w:p>
        </w:tc>
      </w:tr>
    </w:tbl>
    <w:p/>
    <w:p>
      <w:pPr>
        <w:keepNext/>
        <w:jc w:val="center"/>
      </w:pPr>
      <w:r>
        <w:drawing>
          <wp:inline xmlns:a="http://schemas.openxmlformats.org/drawingml/2006/main" xmlns:pic="http://schemas.openxmlformats.org/drawingml/2006/picture">
            <wp:extent cx="5669280" cy="1615149"/>
            <wp:docPr id="12" name="Picture 12"/>
            <wp:cNvGraphicFramePr>
              <a:graphicFrameLocks noChangeAspect="1"/>
            </wp:cNvGraphicFramePr>
            <a:graphic>
              <a:graphicData uri="http://schemas.openxmlformats.org/drawingml/2006/picture">
                <pic:pic>
                  <pic:nvPicPr>
                    <pic:cNvPr id="0" name="08-approved-script-storyboard-hashes.png"/>
                    <pic:cNvPicPr/>
                  </pic:nvPicPr>
                  <pic:blipFill>
                    <a:blip r:embed="rId22"/>
                    <a:stretch>
                      <a:fillRect/>
                    </a:stretch>
                  </pic:blipFill>
                  <pic:spPr>
                    <a:xfrm>
                      <a:off x="0" y="0"/>
                      <a:ext cx="5669280" cy="1615149"/>
                    </a:xfrm>
                    <a:prstGeom prst="rect"/>
                  </pic:spPr>
                </pic:pic>
              </a:graphicData>
            </a:graphic>
          </wp:inline>
        </w:drawing>
      </w:r>
    </w:p>
    <w:p>
      <w:pPr>
        <w:spacing w:before="60" w:after="160"/>
        <w:jc w:val="center"/>
      </w:pPr>
      <w:r>
        <w:rPr>
          <w:i/>
          <w:color w:val="5E6E74"/>
          <w:sz w:val="16"/>
        </w:rPr>
        <w:t>Abbildung 12 – Die erhaltenen unveränderlichen Baseline-Versionen mit Abdeckung, Szenenzahl und Hash-Präfixen.</w:t>
      </w:r>
    </w:p>
    <w:p>
      <w:pPr>
        <w:pStyle w:val="Heading2"/>
      </w:pPr>
      <w:r>
        <w:t>Automatisch behobene Qualitätsprobleme</w:t>
      </w:r>
    </w:p>
    <w:p>
      <w:pPr>
        <w:pStyle w:val="ListBullet"/>
      </w:pPr>
      <w:r>
        <w:t>HTTP-Antworten lokaler Modelle werden jetzt bis zum tatsächlichen Stream-Ende gelesen; ein einzelner Teil-Read kann valides JSON nicht mehr abschneiden.</w:t>
      </w:r>
    </w:p>
    <w:p>
      <w:pPr>
        <w:pStyle w:val="ListBullet"/>
      </w:pPr>
      <w:r>
        <w:t>Writer-Ausgaben werden segmentweise erzeugt, von zwei AI-Prüfungen bewertet und in höchstens zwei begrenzten Korrekturpässen automatisch überarbeitet.</w:t>
      </w:r>
    </w:p>
    <w:p>
      <w:pPr>
        <w:pStyle w:val="ListBullet"/>
      </w:pPr>
      <w:r>
        <w:t>Deterministische Gates blockieren weiterhin unbelegte Aussagen, unzulässige Quellenlücken und wiederholte Faktenblöcke, auch wenn ein Modell widersprüchliche Bewertungsfelder liefert.</w:t>
      </w:r>
    </w:p>
    <w:p>
      <w:pPr>
        <w:pStyle w:val="ListBullet"/>
      </w:pPr>
      <w:r>
        <w:t>Wo kein geprüfter Gegenclaim existiert, erzeugt das System eine klar nicht-faktische Gegenbeleg- und Unsicherheitsstruktur statt eine Behauptung zu erfinden.</w:t>
      </w:r>
    </w:p>
    <w:p>
      <w:pPr>
        <w:pStyle w:val="ListBullet"/>
      </w:pPr>
      <w:r>
        <w:t>Storyboards erhalten eine automatische visuelle Diversitätsplanung sowie source-bound Visual-Briefs; semantisch valide Alternativen werden lokal in den unveränderlichen SceneSpec-Vertrag eingebettet.</w:t>
      </w:r>
    </w:p>
    <w:p>
      <w:pPr>
        <w:pStyle w:val="ListBullet"/>
      </w:pPr>
      <w:r>
        <w:t>Ein veralteter zweiter Editorial Worker wurde gestoppt, damit nur der aktuelle TubeFactory-Worker die Temporal-Queue verarbeitet.</w:t>
      </w:r>
    </w:p>
    <w:p>
      <w:pPr>
        <w:keepNext/>
        <w:jc w:val="center"/>
      </w:pPr>
      <w:r>
        <w:drawing>
          <wp:inline xmlns:a="http://schemas.openxmlformats.org/drawingml/2006/main" xmlns:pic="http://schemas.openxmlformats.org/drawingml/2006/picture">
            <wp:extent cx="3337560" cy="8522584"/>
            <wp:docPr id="13" name="Picture 13"/>
            <wp:cNvGraphicFramePr>
              <a:graphicFrameLocks noChangeAspect="1"/>
            </wp:cNvGraphicFramePr>
            <a:graphic>
              <a:graphicData uri="http://schemas.openxmlformats.org/drawingml/2006/picture">
                <pic:pic>
                  <pic:nvPicPr>
                    <pic:cNvPr id="0" name="09-approved-script-v31.png"/>
                    <pic:cNvPicPr/>
                  </pic:nvPicPr>
                  <pic:blipFill>
                    <a:blip r:embed="rId23"/>
                    <a:stretch>
                      <a:fillRect/>
                    </a:stretch>
                  </pic:blipFill>
                  <pic:spPr>
                    <a:xfrm>
                      <a:off x="0" y="0"/>
                      <a:ext cx="3337560" cy="8522584"/>
                    </a:xfrm>
                    <a:prstGeom prst="rect"/>
                  </pic:spPr>
                </pic:pic>
              </a:graphicData>
            </a:graphic>
          </wp:inline>
        </w:drawing>
      </w:r>
    </w:p>
    <w:p>
      <w:pPr>
        <w:spacing w:before="60" w:after="160"/>
        <w:jc w:val="center"/>
      </w:pPr>
      <w:r>
        <w:rPr>
          <w:i/>
          <w:color w:val="5E6E74"/>
          <w:sz w:val="16"/>
        </w:rPr>
        <w:t>Abbildung 13 – Das erhaltene Baseline-Skript v31 mit unabhängiger Prüfung, exaktem Hash und segmentweiser Evidenzzuordnung.</w:t>
      </w:r>
    </w:p>
    <w:p>
      <w:r>
        <w:br w:type="page"/>
      </w:r>
    </w:p>
    <w:p>
      <w:pPr>
        <w:keepNext/>
        <w:jc w:val="center"/>
      </w:pPr>
      <w:r>
        <w:drawing>
          <wp:inline xmlns:a="http://schemas.openxmlformats.org/drawingml/2006/main" xmlns:pic="http://schemas.openxmlformats.org/drawingml/2006/picture">
            <wp:extent cx="5486400" cy="7893912"/>
            <wp:docPr id="14" name="Picture 14"/>
            <wp:cNvGraphicFramePr>
              <a:graphicFrameLocks noChangeAspect="1"/>
            </wp:cNvGraphicFramePr>
            <a:graphic>
              <a:graphicData uri="http://schemas.openxmlformats.org/drawingml/2006/picture">
                <pic:pic>
                  <pic:nvPicPr>
                    <pic:cNvPr id="0" name="07-approved-storyboard-v8.png"/>
                    <pic:cNvPicPr/>
                  </pic:nvPicPr>
                  <pic:blipFill>
                    <a:blip r:embed="rId24"/>
                    <a:stretch>
                      <a:fillRect/>
                    </a:stretch>
                  </pic:blipFill>
                  <pic:spPr>
                    <a:xfrm>
                      <a:off x="0" y="0"/>
                      <a:ext cx="5486400" cy="7893912"/>
                    </a:xfrm>
                    <a:prstGeom prst="rect"/>
                  </pic:spPr>
                </pic:pic>
              </a:graphicData>
            </a:graphic>
          </wp:inline>
        </w:drawing>
      </w:r>
    </w:p>
    <w:p>
      <w:pPr>
        <w:spacing w:before="60" w:after="160"/>
        <w:jc w:val="center"/>
      </w:pPr>
      <w:r>
        <w:rPr>
          <w:i/>
          <w:color w:val="5E6E74"/>
          <w:sz w:val="16"/>
        </w:rPr>
        <w:t>Abbildung 14 – Das erhaltene Baseline-Storyboard v8: acht zeitlich abgestimmte Szenen mit unterschiedlichen Visualtypen und expliziten Claim-Bindungen.</w:t>
      </w:r>
    </w:p>
    <w:tbl>
      <w:tblPr>
        <w:tblW w:type="auto" w:w="0"/>
        <w:jc w:val="center"/>
        <w:tblLook w:firstColumn="1" w:firstRow="1" w:lastColumn="0" w:lastRow="0" w:noHBand="0" w:noVBand="1" w:val="04A0"/>
      </w:tblPr>
      <w:tblGrid>
        <w:gridCol w:w="9752"/>
      </w:tblGrid>
      <w:tr>
        <w:tc>
          <w:tcPr>
            <w:tcW w:type="dxa" w:w="9752"/>
            <w:shd w:fill="EAF4F4"/>
          </w:tcPr>
          <w:p>
            <w:pPr>
              <w:spacing w:after="40"/>
            </w:pPr>
            <w:r>
              <w:rPr>
                <w:b/>
                <w:color w:val="0D6F70"/>
              </w:rPr>
              <w:t xml:space="preserve">Einordnung der Baseline  </w:t>
            </w:r>
            <w:r>
              <w:t>Die unveränderlichen Artefakte bleiben als Audit-Baseline erhalten. Mit 410 Wörtern, 182 Sekunden und nur drei fachlichen Claims würden sie die neue 6–10-Minuten- und Explanation-Readiness-Policy nicht mehr passieren.</w:t>
            </w:r>
          </w:p>
        </w:tc>
      </w:tr>
    </w:tbl>
    <w:p>
      <w:pPr>
        <w:spacing w:after="0"/>
      </w:pPr>
    </w:p>
    <w:p>
      <w:r>
        <w:br w:type="page"/>
      </w:r>
    </w:p>
    <w:p>
      <w:pPr>
        <w:pStyle w:val="Heading1"/>
      </w:pPr>
      <w:r>
        <w:t>9. Grenzen und verantwortlicher Einsatz</w:t>
      </w:r>
    </w:p>
    <w:p>
      <w:pPr>
        <w:pStyle w:val="ListBullet"/>
      </w:pPr>
      <w:r>
        <w:t>Das Themenradar liefert Kandidaten, keine redaktionelle Wahrheit. Ein quellenbedingt leerer Lauf wird als Fehler sichtbar; ein nachweislich gesunder Leer-Lauf darf weiterhin keine künstlichen Themen erzeugen.</w:t>
      </w:r>
    </w:p>
    <w:p>
      <w:pPr>
        <w:pStyle w:val="ListBullet"/>
      </w:pPr>
      <w:r>
        <w:t>Ein schwaches Dossier wird nicht durch Prompt-Rhetorik kaschiert: Es löst gezielte Evidenzrunden, einen autonomen Kandidatenwechsel oder einen sichtbaren Wartezustand aus.</w:t>
      </w:r>
    </w:p>
    <w:p>
      <w:pPr>
        <w:pStyle w:val="ListBullet"/>
      </w:pPr>
      <w:r>
        <w:t>Gesundheit, Finanzen und Politik bleiben im supervised-Profil und benötigen besondere Sorgfalt.</w:t>
      </w:r>
    </w:p>
    <w:p>
      <w:pPr>
        <w:pStyle w:val="ListBullet"/>
      </w:pPr>
      <w:r>
        <w:t>Analogien dienen nur dem Verständnis und niemals als Beleg.</w:t>
      </w:r>
    </w:p>
    <w:p>
      <w:pPr>
        <w:pStyle w:val="ListBullet"/>
      </w:pPr>
      <w:r>
        <w:t>AI-generierte Visuals realer Ereignisse dürfen nicht fotorealistisch als dokumentarischer Beweis erscheinen und müssen als synthetisch gekennzeichnet werden.</w:t>
      </w:r>
    </w:p>
    <w:p>
      <w:pPr>
        <w:pStyle w:val="ListBullet"/>
      </w:pPr>
      <w:r>
        <w:t>Vor jeder Veröffentlichung müssen exakte Skript-, Storyboard-, Render- und Metadatenversionen nachvollziehbar sein.</w:t>
      </w:r>
    </w:p>
    <w:p>
      <w:pPr>
        <w:pStyle w:val="Heading2"/>
      </w:pPr>
      <w:r>
        <w:t>Routine-Checkliste</w:t>
      </w:r>
    </w:p>
    <w:p>
      <w:pPr>
        <w:pStyle w:val="ListBullet"/>
      </w:pPr>
      <w:r>
        <w:t>Workflow activity auf Needs attention prüfen.</w:t>
      </w:r>
    </w:p>
    <w:p>
      <w:pPr>
        <w:pStyle w:val="ListBullet"/>
      </w:pPr>
      <w:r>
        <w:t>Themenradar-Karte auf schedule active kontrollieren.</w:t>
      </w:r>
    </w:p>
    <w:p>
      <w:pPr>
        <w:pStyle w:val="ListBullet"/>
      </w:pPr>
      <w:r>
        <w:t>Neue Findings nach Nutzen, Evidenzpotenzial, Neuheit und Risiko vergleichen.</w:t>
      </w:r>
    </w:p>
    <w:p>
      <w:pPr>
        <w:pStyle w:val="ListBullet"/>
      </w:pPr>
      <w:r>
        <w:t>Bei der Dossierprüfung Primärquelle, Unabhängigkeit, Gegenbelege und offene Fragen explizit kontrollieren.</w:t>
      </w:r>
    </w:p>
    <w:p>
      <w:pPr>
        <w:pStyle w:val="ListBullet"/>
      </w:pPr>
      <w:r>
        <w:t>Explanation Readiness muss ready anzeigen; Needs evidence sperrt Skriptgenerierung unabhängig von früheren Freigaben.</w:t>
      </w:r>
    </w:p>
    <w:p>
      <w:pPr>
        <w:pStyle w:val="ListBullet"/>
      </w:pPr>
      <w:r>
        <w:t>Nach jeder Regeneration die neue exakte Version erneut prüfen; frühere Freigaben gelten nicht automatisch weiter.</w:t>
      </w:r>
    </w:p>
    <w:p>
      <w:pPr>
        <w:pStyle w:val="ListBullet"/>
      </w:pPr>
      <w:r>
        <w:t>Privaten Upload vollständig ansehen, bevor die Veröffentlichung separat autorisiert wird.</w:t>
      </w:r>
    </w:p>
    <w:p>
      <w:r>
        <w:br w:type="page"/>
      </w:r>
    </w:p>
    <w:p>
      <w:pPr>
        <w:pStyle w:val="Heading1"/>
      </w:pPr>
      <w:r>
        <w:t>Anhang A – Exakte AI-Prompts</w:t>
      </w:r>
    </w:p>
    <w:p>
      <w:r>
        <w:t>Die folgenden Prompts sind die kanalbezogenen Ergänzungen. Zur Laufzeit werden ihnen die unveränderlichen globalen Sicherheits-, Evidenz- und JSON-Verträge vorangestellt.</w:t>
      </w:r>
    </w:p>
    <w:p>
      <w:pPr>
        <w:pStyle w:val="Heading2"/>
      </w:pPr>
      <w:r>
        <w:t>A.1 Script Writer</w:t>
      </w:r>
    </w:p>
    <w:tbl>
      <w:tblPr>
        <w:tblW w:type="auto" w:w="0"/>
        <w:jc w:val="center"/>
        <w:tblLook w:firstColumn="1" w:firstRow="1" w:lastColumn="0" w:lastRow="0" w:noHBand="0" w:noVBand="1" w:val="04A0"/>
      </w:tblPr>
      <w:tblGrid>
        <w:gridCol w:w="9752"/>
      </w:tblGrid>
      <w:tr>
        <w:tc>
          <w:tcPr>
            <w:tcW w:type="dxa" w:w="9752"/>
            <w:shd w:fill="F3F7F8"/>
          </w:tcPr>
          <w:p>
            <w:pPr>
              <w:spacing w:after="0" w:line="240" w:lineRule="auto"/>
            </w:pPr>
            <w:r>
              <w:rPr>
                <w:rFonts w:ascii="Liberation Mono" w:hAnsi="Liberation Mono"/>
                <w:color w:val="142C35"/>
                <w:sz w:val="15"/>
              </w:rPr>
              <w:t>Schreibe ein deutsches Erklärvideo für eine interessierte Allgemeinheit ohne vorausgesetztes Fachwissen. Sprich die Zuschauerin oder den Zuschauer respektvoll mit Du an. Beginne mit einer konkreten Frage oder Alltagssituation und liefere früh eine mentale Landkarte: Was erklären wir, welche Schritte folgen und warum ist das relevant? Baue das Verständnis danach in kleinen, logisch abhängigen Schritten auf. Führe jeden unvermeidbaren Fachbegriff vor seiner ersten Nutzung in einem einfachen Satz ein. Verwende kurze, natürliche Sätze und höchstens einen neuen Kerngedanken pro Satz. Eine Analogie darf Verständnis schaffen, muss aber als Analogie erkennbar bleiben und darf nie als Beleg dienen.</w:t>
              <w:br/>
              <w:br/>
              <w:t>Die vollständige Ausgabe braucht mindestens acht Segmente und diese Funktionen: hook, thesis, context, evidence, counterevidence, uncertainty, conclusion und call_to_action. Nutze zusätzliche context- oder evidence-Segmente, wenn ein Zwischenschritt sonst übersprungen würde. Erkläre Ursache und Korrelation niemals als dasselbe. Kennzeichne klar: (1) was durch die freigegebenen Belege gesichert ist, (2) welche Deutungen oder fachlichen Einschätzungen voneinander abweichen und warum, und (3) welche Fragen mit den vorliegenden Quellen offenbleiben. Formuliere Unsicherheit präzise statt mit vagen Floskeln. Vermeide Sensationssprache, falsche Ausgewogenheit, absolute Aussagen ohne passenden Beleg und unnötige Fachsprache.</w:t>
              <w:br/>
              <w:br/>
              <w:t>Nutze ausschließlich freigegebene Claims und ihre exakten Evidence-IDs. Jede Tatsachenbehauptung muss mit einer Annotation über den exakt identischen Narrationstext verknüpft sein; Start- und Endposition müssen stimmen. Zitate müssen exakt bleiben. Der Schluss fasst nicht nur zusammen, sondern gibt ein belastbares Einordnungsmodell. Der Call-to-Action lädt zum Prüfen der verlinkten Primärquellen oder zu einer sachlichen Anschlussfrage ein; keine leere Like-und-Abo-Formel. Zielumfang: ungefähr 6 bis 10 Minuten, sofern das Dossier keinen engeren Rahmen verlangt.</w:t>
            </w:r>
          </w:p>
        </w:tc>
      </w:tr>
    </w:tbl>
    <w:p/>
    <w:p>
      <w:pPr>
        <w:pStyle w:val="Heading2"/>
      </w:pPr>
      <w:r>
        <w:t>A.2 Independent Verifier</w:t>
      </w:r>
    </w:p>
    <w:tbl>
      <w:tblPr>
        <w:tblW w:type="auto" w:w="0"/>
        <w:jc w:val="center"/>
        <w:tblLook w:firstColumn="1" w:firstRow="1" w:lastColumn="0" w:lastRow="0" w:noHBand="0" w:noVBand="1" w:val="04A0"/>
      </w:tblPr>
      <w:tblGrid>
        <w:gridCol w:w="9752"/>
      </w:tblGrid>
      <w:tr>
        <w:tc>
          <w:tcPr>
            <w:tcW w:type="dxa" w:w="9752"/>
            <w:shd w:fill="F3F7F8"/>
          </w:tcPr>
          <w:p>
            <w:pPr>
              <w:spacing w:after="0" w:line="240" w:lineRule="auto"/>
            </w:pPr>
            <w:r>
              <w:rPr>
                <w:rFonts w:ascii="Liberation Mono" w:hAnsi="Liberation Mono"/>
                <w:color w:val="142C35"/>
                <w:sz w:val="15"/>
              </w:rPr>
              <w:t>Prüfe den Entwurf unabhängig als strenger Fakten- und Verständlichkeitsredakteur für FaktischSimpel. Akzeptiere keine Aussage allein deshalb, weil sie plausibel klingt. Melde als error: Tatsachen ohne gültige Claim- und Evidence-Verknüpfung, Überdehnung eines Belegs, Verwechslung von Korrelation und Ursache, erfundene Details, eine als Beweis verwendete Analogie, verschleierte Unsicherheit, ausgelassene zentrale Gegenbelege oder eine falsche Darstellung von Konsens. Melde außerdem als error, wenn die Pflichtfunktionen hook, thesis, context, evidence, counterevidence, uncertainty, conclusion und call_to_action fehlen oder die Erklärschritte logisch springen.</w:t>
              <w:br/>
              <w:br/>
              <w:t>Prüfe die Verständlichkeit konkret: Fachbegriffe müssen vor Nutzung erklärt sein; ein Satz soll höchstens einen neuen Kerngedanken tragen; die Zuschauer sollen jederzeit wissen, welcher Schritt gerade erklärt wird. Unterschiedliche Einschätzungen sind nur dann als solche zu präsentieren, wenn das Dossier sie belegt. Offene Fragen dürfen nicht rhetorisch geschlossen werden. Prüfe, ob wörtliche Zitate exakt, Annotationstexte identisch mit der Narration und alle Offsets plausibel sind. Warnungen sind für Stilverbesserungen reserviert; Beleg-, Struktur- und Sicherheitsprobleme sind errors. Setze valid nur dann auf true, wenn keine error-Meldung verbleibt und die deterministische Claim-Abdeckung vollständig ist. Führe in jeder Meldung Segment, problematische Aussage und eine konkrete Korrekturrichtung an, ohne selbst neue Fakten einzuführen.</w:t>
            </w:r>
          </w:p>
        </w:tc>
      </w:tr>
    </w:tbl>
    <w:p/>
    <w:p>
      <w:pPr>
        <w:pStyle w:val="Heading2"/>
      </w:pPr>
      <w:r>
        <w:t>A.3 Storyboard</w:t>
      </w:r>
    </w:p>
    <w:tbl>
      <w:tblPr>
        <w:tblW w:type="auto" w:w="0"/>
        <w:jc w:val="center"/>
        <w:tblLook w:firstColumn="1" w:firstRow="1" w:lastColumn="0" w:lastRow="0" w:noHBand="0" w:noVBand="1" w:val="04A0"/>
      </w:tblPr>
      <w:tblGrid>
        <w:gridCol w:w="9752"/>
      </w:tblGrid>
      <w:tr>
        <w:tc>
          <w:tcPr>
            <w:tcW w:type="dxa" w:w="9752"/>
            <w:shd w:fill="F3F7F8"/>
          </w:tcPr>
          <w:p>
            <w:pPr>
              <w:spacing w:after="0" w:line="240" w:lineRule="auto"/>
            </w:pPr>
            <w:r>
              <w:rPr>
                <w:rFonts w:ascii="Liberation Mono" w:hAnsi="Liberation Mono"/>
                <w:color w:val="142C35"/>
                <w:sz w:val="15"/>
              </w:rPr>
              <w:t>Entwickle ein ruhiges, anschauliches Storyboard für FaktischSimpel. Jede Szene muss genau den zugeordneten Narrationsschritt verständlicher machen; dekorative Bilder ohne Erklärfunktion sind zu vermeiden. Bevorzuge klare Diagramme, beschriftete Abläufe, Vergleiche, Zeitleisten, einfache Karten, maßstäbliche Größenvergleiche, Quellen-Screenshots und sparsame Hervorhebungen. Verwende Charts nur mit Achsen, Einheit, Zeitraum und sichtbarer Quellenzuordnung. On-Screen-Text soll pro Einblendung kurz sein, in der Regel höchstens sechs Wörter, und die Narration ergänzen statt wiederholen.</w:t>
              <w:br/>
              <w:br/>
              <w:t>Gesichertes, unterschiedliche Einschätzungen und offene Fragen brauchen visuell unterscheidbare, aber nicht wertende Muster. Nutze für Belege eine zurückhaltende Quellenzeile; zeige Primärquellen bevorzugt. Verwende keine fotorealistische KI-Rekonstruktion realer Ereignisse oder Personen. Generierte abstrakte Illustrationen müssen synthetic_media_flag=true tragen und dürfen keine Evidenz vortäuschen. Halte Markenstil und Übergänge konsistent: heller neutraler Hintergrund, dunkles Grün, gedecktes Gold als Akzent, keine hektischen Zooms oder Clickbait-Symbole. Jede Szene benötigt konkrete accessibility_notes; Farbe allein darf nie Information transportieren. Verknüpfe ausschließlich die im Segment erlaubten Claim-, Source- und Narration-IDs und gib nur das geforderte JSON zurück.</w:t>
            </w:r>
          </w:p>
        </w:tc>
      </w:tr>
    </w:tbl>
    <w:p/>
    <w:sectPr w:rsidR="00FC693F" w:rsidRPr="0006063C" w:rsidSect="00034616">
      <w:headerReference w:type="default" r:id="rId9"/>
      <w:footerReference w:type="default" r:id="rId10"/>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E74"/>
        <w:sz w:val="16"/>
      </w:rPr>
      <w:t xml:space="preserve">TubeFactory – FaktischSimpel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b/>
        <w:color w:val="0D6F70"/>
        <w:sz w:val="16"/>
      </w:rPr>
      <w:t>FAKTISCHSIMPEL  /  AUTOMATISIERTER ERKLÄRVIDEO-WORKFLOW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42C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42C35"/>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D6F7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2D5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42C3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E6E74"/>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FaktischSimpel Automatisierungsworkflow</dc:title>
  <dc:subject>TubeFactory channel-scoped evidence-first explainer workflow</dc:subject>
  <dc:creator>TubeFactory operations</dc:creator>
  <cp:keywords>FaktischSimpel, TubeFactory, Erklärvideo, Evidenz, AI prompts, Workflow</cp:keywords>
  <dc:description>generated by python-docx</dc:description>
  <cp:lastModifiedBy/>
  <cp:revision>1</cp:revision>
  <dcterms:created xsi:type="dcterms:W3CDTF">2013-12-23T23:15:00Z</dcterms:created>
  <dcterms:modified xsi:type="dcterms:W3CDTF">2013-12-23T23:15:00Z</dcterms:modified>
  <cp:category/>
</cp:coreProperties>
</file>