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6C1FC">
      <w:pPr>
        <w:spacing w:before="2240" w:after="360"/>
        <w:jc w:val="center"/>
      </w:pPr>
      <w:r>
        <w:rPr>
          <w:rFonts w:ascii="Calibri" w:hAnsi="Calibri" w:eastAsia="微软雅黑"/>
          <w:b/>
          <w:color w:val="7A5A00"/>
          <w:sz w:val="22"/>
        </w:rPr>
        <w:t>采购前行业调研</w:t>
      </w:r>
    </w:p>
    <w:p w14:paraId="35FA6B24">
      <w:pPr>
        <w:spacing w:after="240"/>
        <w:jc w:val="center"/>
      </w:pPr>
      <w:r>
        <w:rPr>
          <w:rFonts w:ascii="Calibri" w:hAnsi="Calibri" w:eastAsia="微软雅黑"/>
          <w:b/>
          <w:color w:val="203748"/>
          <w:sz w:val="56"/>
        </w:rPr>
        <w:t>电商客诉舆情退赔</w:t>
      </w:r>
      <w:r>
        <w:rPr>
          <w:rFonts w:ascii="Calibri" w:hAnsi="Calibri" w:eastAsia="微软雅黑"/>
          <w:b/>
          <w:color w:val="203748"/>
          <w:sz w:val="56"/>
        </w:rPr>
        <w:br w:type="textWrapping"/>
      </w:r>
      <w:r>
        <w:rPr>
          <w:rFonts w:ascii="Calibri" w:hAnsi="Calibri" w:eastAsia="微软雅黑"/>
          <w:b/>
          <w:color w:val="203748"/>
          <w:sz w:val="56"/>
        </w:rPr>
        <w:t>决策系统竞品调研报告</w:t>
      </w:r>
    </w:p>
    <w:p w14:paraId="18BA4633">
      <w:pPr>
        <w:spacing w:after="840"/>
        <w:jc w:val="center"/>
      </w:pPr>
      <w:r>
        <w:rPr>
          <w:rFonts w:ascii="Calibri" w:hAnsi="Calibri" w:eastAsia="微软雅黑"/>
          <w:color w:val="5B6573"/>
          <w:sz w:val="26"/>
        </w:rPr>
        <w:t>退款欺诈与滥用风控、售后自动化、舆情感知的市场格局与采购建议</w:t>
      </w:r>
    </w:p>
    <w:p w14:paraId="5FEBEAD2">
      <w:pPr>
        <w:spacing w:after="160"/>
        <w:jc w:val="center"/>
      </w:pPr>
      <w:r>
        <w:rPr>
          <w:rFonts w:ascii="Calibri" w:hAnsi="Calibri" w:eastAsia="微软雅黑"/>
          <w:i/>
          <w:color w:val="5B6573"/>
          <w:sz w:val="21"/>
        </w:rPr>
        <w:t>适用场景：项目立项前的商业与采购调研</w:t>
      </w:r>
    </w:p>
    <w:p w14:paraId="1D1AF3C7">
      <w:pPr>
        <w:spacing w:after="360"/>
        <w:jc w:val="center"/>
      </w:pPr>
      <w:r>
        <w:rPr>
          <w:rFonts w:ascii="Calibri" w:hAnsi="Calibri" w:eastAsia="微软雅黑"/>
          <w:color w:val="5B6573"/>
          <w:sz w:val="21"/>
        </w:rPr>
        <w:t>资料截止：2026 年 9 月 1 日｜版本：公开资料初筛版</w:t>
      </w:r>
    </w:p>
    <w:p w14:paraId="387E068C">
      <w:pPr>
        <w:spacing w:after="0"/>
        <w:jc w:val="center"/>
      </w:pPr>
      <w:r>
        <w:rPr>
          <w:rFonts w:ascii="Calibri" w:hAnsi="Calibri" w:eastAsia="微软雅黑"/>
          <w:color w:val="5B6573"/>
          <w:sz w:val="18"/>
        </w:rPr>
        <w:t>重要说明：本报告仅基于公开官网与公开产品资料梳理；未公开的功能、价格、中文本地化、数据处理方式与交付能力均标注为“需 PoC/RFI 验证”，不构成采购承诺。</w:t>
      </w:r>
    </w:p>
    <w:p w14:paraId="15B1623F">
      <w:r>
        <w:br w:type="page"/>
      </w:r>
    </w:p>
    <w:p w14:paraId="53B0F7B8">
      <w:pPr>
        <w:pStyle w:val="3"/>
      </w:pPr>
      <w:r>
        <w:rPr>
          <w:rFonts w:ascii="Calibri" w:hAnsi="Calibri" w:eastAsia="微软雅黑"/>
        </w:rPr>
        <w:t>执行摘要</w:t>
      </w:r>
    </w:p>
    <w:tbl>
      <w:tblPr>
        <w:tblStyle w:val="32"/>
        <w:tblW w:w="9360" w:type="dxa"/>
        <w:tblInd w:w="120" w:type="dxa"/>
        <w:tblBorders>
          <w:top w:val="single" w:color="D9E0E8" w:sz="4" w:space="0"/>
          <w:left w:val="single" w:color="D9E0E8" w:sz="4" w:space="0"/>
          <w:bottom w:val="single" w:color="D9E0E8" w:sz="4" w:space="0"/>
          <w:right w:val="single" w:color="D9E0E8" w:sz="4" w:space="0"/>
          <w:insideH w:val="single" w:color="D9E0E8" w:sz="4" w:space="0"/>
          <w:insideV w:val="single" w:color="D9E0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A3DDAB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50E1">
            <w:pPr>
              <w:pStyle w:val="166"/>
            </w:pPr>
            <w:r>
              <w:rPr>
                <w:rFonts w:ascii="Calibri" w:hAnsi="Calibri" w:eastAsia="微软雅黑"/>
                <w:b/>
                <w:color w:val="203748"/>
              </w:rPr>
              <w:t xml:space="preserve">结论  </w:t>
            </w:r>
            <w:r>
              <w:rPr>
                <w:rFonts w:ascii="Calibri" w:hAnsi="Calibri" w:eastAsia="微软雅黑"/>
              </w:rPr>
              <w:t>目标系统并非单一成熟品类，而是“退款/退赔决策编排层”。海外反欺诈平台在账户、支付、拒付与策略滥用识别上重叠最高；国内厂商以业务风控、内容安全和舆情监测等组件型能力为主。采购应避免把任一单品等同于完整方案。</w:t>
            </w:r>
          </w:p>
        </w:tc>
      </w:tr>
    </w:tbl>
    <w:p w14:paraId="70A6B421">
      <w:r>
        <w:rPr>
          <w:rFonts w:ascii="Calibri" w:hAnsi="Calibri" w:eastAsia="微软雅黑"/>
          <w:b/>
          <w:color w:val="203748"/>
        </w:rPr>
        <w:t>建议的采购路径：</w:t>
      </w:r>
      <w:r>
        <w:rPr>
          <w:rFonts w:ascii="Calibri" w:hAnsi="Calibri" w:eastAsia="微软雅黑"/>
        </w:rPr>
        <w:t>优先采用“自建审批与决策编排核心 + 采购可插拔风控/舆情能力”的组合式方案。这样既保留订单金额、证据、人工审批、幂等与审计闭环，也能在后续更换模型或供应商时降低迁移成本。</w:t>
      </w:r>
    </w:p>
    <w:p w14:paraId="76138ADA">
      <w:r>
        <w:rPr>
          <w:rFonts w:ascii="Calibri" w:hAnsi="Calibri" w:eastAsia="微软雅黑"/>
          <w:b/>
          <w:color w:val="203748"/>
        </w:rPr>
        <w:t>最接近的海外标杆：</w:t>
      </w:r>
      <w:r>
        <w:rPr>
          <w:rFonts w:ascii="Calibri" w:hAnsi="Calibri" w:eastAsia="微软雅黑"/>
        </w:rPr>
        <w:t>Forter、Riskified、Signifyd、Sift 和 ClearSale。它们重点解决电商欺诈、拒付、账户攻击或策略滥用，其中退款滥用通常属于“policy abuse”或“post-purchase abuse”能力，而非包含 OCR、舆情和人工审批状态机的完整售后工作台。</w:t>
      </w:r>
    </w:p>
    <w:p w14:paraId="5D125047">
      <w:r>
        <w:rPr>
          <w:rFonts w:ascii="Calibri" w:hAnsi="Calibri" w:eastAsia="微软雅黑"/>
          <w:b/>
          <w:color w:val="203748"/>
        </w:rPr>
        <w:t>中国市场的关键候选：</w:t>
      </w:r>
      <w:r>
        <w:rPr>
          <w:rFonts w:ascii="Calibri" w:hAnsi="Calibri" w:eastAsia="微软雅黑"/>
        </w:rPr>
        <w:t>数美、同盾、百融可作为风控能力候选；蚁坊、识微可作为舆情感知候选；聚水潭、旺店通可作为订单与售后流程集成参照。中国平台的内建售后能力很强，但一般不对外提供可独立采购的全链路风控产品。</w:t>
      </w:r>
    </w:p>
    <w:p w14:paraId="20F37AA6">
      <w:r>
        <w:rPr>
          <w:rFonts w:ascii="Calibri" w:hAnsi="Calibri" w:eastAsia="微软雅黑"/>
          <w:b/>
          <w:color w:val="203748"/>
        </w:rPr>
        <w:t>项目的可辩护差异：</w:t>
      </w:r>
      <w:r>
        <w:rPr>
          <w:rFonts w:ascii="Calibri" w:hAnsi="Calibri" w:eastAsia="微软雅黑"/>
        </w:rPr>
        <w:t>以订单、退款描述、凭证图片/OCR、风险信号与舆情信号为输入，由确定性红线和可解释规则控制自动退赔，并在不确定情形进入可恢复的人工审批闭环。公开资料中未能确认单一厂商同时覆盖这一完整链路。</w:t>
      </w:r>
    </w:p>
    <w:p w14:paraId="008478DF">
      <w:r>
        <w:rPr>
          <w:rFonts w:ascii="Calibri" w:hAnsi="Calibri" w:eastAsia="微软雅黑"/>
          <w:b/>
          <w:color w:val="203748"/>
        </w:rPr>
        <w:t>采购红线：</w:t>
      </w:r>
      <w:r>
        <w:rPr>
          <w:rFonts w:ascii="Calibri" w:hAnsi="Calibri" w:eastAsia="微软雅黑"/>
        </w:rPr>
        <w:t>自动退赔不能被外部风控评分直接触发；金额阈值、硬性证据规则、审批权限、幂等控制与最终支付动作必须保留在本系统的确定性控制面。</w:t>
      </w:r>
    </w:p>
    <w:p w14:paraId="04D67CDF">
      <w:r>
        <w:br w:type="page"/>
      </w:r>
    </w:p>
    <w:p w14:paraId="364D764F">
      <w:pPr>
        <w:pStyle w:val="3"/>
      </w:pPr>
      <w:r>
        <w:rPr>
          <w:rFonts w:ascii="Calibri" w:hAnsi="Calibri" w:eastAsia="微软雅黑"/>
        </w:rPr>
        <w:t>调研边界与市场定义</w:t>
      </w:r>
    </w:p>
    <w:p w14:paraId="14FEB2E3">
      <w:r>
        <w:rPr>
          <w:rFonts w:ascii="Calibri" w:hAnsi="Calibri" w:eastAsia="微软雅黑"/>
          <w:b/>
          <w:color w:val="203748"/>
        </w:rPr>
        <w:t>目标问题：</w:t>
      </w:r>
      <w:r>
        <w:rPr>
          <w:rFonts w:ascii="Calibri" w:hAnsi="Calibri" w:eastAsia="微软雅黑"/>
        </w:rPr>
        <w:t>当电商平台在促销、质量事故、物流异常或公共事件中出现集中退款时，在降低人工审核负担的同时，识别刷单、虚假凭证、恶意退款和策略套利，并让每次决定可复核、可追溯。</w:t>
      </w:r>
    </w:p>
    <w:p w14:paraId="3929E469">
      <w:r>
        <w:rPr>
          <w:rFonts w:ascii="Calibri" w:hAnsi="Calibri" w:eastAsia="微软雅黑"/>
          <w:b/>
          <w:color w:val="203748"/>
        </w:rPr>
        <w:t>纳入规则：</w:t>
      </w:r>
      <w:r>
        <w:rPr>
          <w:rFonts w:ascii="Calibri" w:hAnsi="Calibri" w:eastAsia="微软雅黑"/>
        </w:rPr>
        <w:t>优先纳入公开资料显示与电商欺诈、退款/退货滥用、售后流程、内容风控或舆情监测有关的产品；同时纳入支付风控和 ERP/OMS 等相邻产品，避免误把“局部能力”写成“直接竞品”。</w:t>
      </w:r>
    </w:p>
    <w:p w14:paraId="61E449AD">
      <w:r>
        <w:rPr>
          <w:rFonts w:ascii="Calibri" w:hAnsi="Calibri" w:eastAsia="微软雅黑"/>
          <w:b/>
          <w:color w:val="203748"/>
        </w:rPr>
        <w:t>不纳入规则：</w:t>
      </w:r>
      <w:r>
        <w:rPr>
          <w:rFonts w:ascii="Calibri" w:hAnsi="Calibri" w:eastAsia="微软雅黑"/>
        </w:rPr>
        <w:t>不把平台内部能力、咨询服务、纯客服工单工具或泛用大模型当作可直接替换方案。它们可以是能力标杆或集成对象，但不应进入同一采购评分表。</w:t>
      </w:r>
    </w:p>
    <w:p w14:paraId="3AF23E0E">
      <w:pPr>
        <w:pStyle w:val="165"/>
        <w:spacing w:before="80" w:after="80"/>
      </w:pPr>
      <w:r>
        <w:rPr>
          <w:rFonts w:ascii="Calibri" w:hAnsi="Calibri" w:eastAsia="微软雅黑"/>
        </w:rPr>
        <w:t>分类口径：直接竞品＝可对退款欺诈/策略滥用做决策或保护；组件型竞品＝只覆盖风控、舆情、售后或支付的一段能力；生态基准＝平台内建能力或订单系统。</w:t>
      </w:r>
    </w:p>
    <w:tbl>
      <w:tblPr>
        <w:tblStyle w:val="33"/>
        <w:tblW w:w="9360" w:type="dxa"/>
        <w:tblInd w:w="120" w:type="dxa"/>
        <w:tblBorders>
          <w:top w:val="single" w:color="D9E0E8" w:sz="4" w:space="0"/>
          <w:left w:val="single" w:color="D9E0E8" w:sz="4" w:space="0"/>
          <w:bottom w:val="single" w:color="D9E0E8" w:sz="4" w:space="0"/>
          <w:right w:val="single" w:color="D9E0E8" w:sz="4" w:space="0"/>
          <w:insideH w:val="single" w:color="D9E0E8" w:sz="4" w:space="0"/>
          <w:insideV w:val="single" w:color="D9E0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350"/>
        <w:gridCol w:w="2750"/>
        <w:gridCol w:w="2760"/>
      </w:tblGrid>
      <w:tr w14:paraId="17D17CBD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BFB9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层级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A582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采购对象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3B14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解决的问题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E664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与目标系统的关系</w:t>
            </w:r>
          </w:p>
        </w:tc>
      </w:tr>
      <w:tr w14:paraId="75C15FDB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E2D6795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直接竞品</w:t>
            </w:r>
          </w:p>
        </w:tc>
        <w:tc>
          <w:tcPr>
            <w:tcW w:w="2350" w:type="dxa"/>
          </w:tcPr>
          <w:p w14:paraId="441F1664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Forter、Riskified、Signifyd、Sift、ClearSale</w:t>
            </w:r>
          </w:p>
        </w:tc>
        <w:tc>
          <w:tcPr>
            <w:tcW w:w="2750" w:type="dxa"/>
          </w:tcPr>
          <w:p w14:paraId="5A804259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欺诈、拒付、账户攻击、策略滥用</w:t>
            </w:r>
          </w:p>
        </w:tc>
        <w:tc>
          <w:tcPr>
            <w:tcW w:w="2760" w:type="dxa"/>
          </w:tcPr>
          <w:p w14:paraId="61958808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风险决策能力重叠最高；需补售后编排与中国本地化</w:t>
            </w:r>
          </w:p>
        </w:tc>
      </w:tr>
      <w:tr w14:paraId="6E3772A9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2A7C79B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组件型竞品</w:t>
            </w:r>
          </w:p>
        </w:tc>
        <w:tc>
          <w:tcPr>
            <w:tcW w:w="2350" w:type="dxa"/>
          </w:tcPr>
          <w:p w14:paraId="3206CF2E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数美、同盾、百融、Stripe Radar、Adyen</w:t>
            </w:r>
          </w:p>
        </w:tc>
        <w:tc>
          <w:tcPr>
            <w:tcW w:w="2750" w:type="dxa"/>
          </w:tcPr>
          <w:p w14:paraId="6C9371B6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业务/支付风控与策略规则</w:t>
            </w:r>
          </w:p>
        </w:tc>
        <w:tc>
          <w:tcPr>
            <w:tcW w:w="2760" w:type="dxa"/>
          </w:tcPr>
          <w:p w14:paraId="276BDBA9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可替换或增强风险评分能力</w:t>
            </w:r>
          </w:p>
        </w:tc>
      </w:tr>
      <w:tr w14:paraId="499C9BA2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13B257B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感知与流程</w:t>
            </w:r>
          </w:p>
        </w:tc>
        <w:tc>
          <w:tcPr>
            <w:tcW w:w="2350" w:type="dxa"/>
          </w:tcPr>
          <w:p w14:paraId="2FB0A282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蚁坊、识微、聚水潭、旺店通、Loop/Narvar</w:t>
            </w:r>
          </w:p>
        </w:tc>
        <w:tc>
          <w:tcPr>
            <w:tcW w:w="2750" w:type="dxa"/>
          </w:tcPr>
          <w:p w14:paraId="052A574F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舆情、订单、售后与退货体验</w:t>
            </w:r>
          </w:p>
        </w:tc>
        <w:tc>
          <w:tcPr>
            <w:tcW w:w="2760" w:type="dxa"/>
          </w:tcPr>
          <w:p w14:paraId="28389351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补足输入和流程，不替代最终决策</w:t>
            </w:r>
          </w:p>
        </w:tc>
      </w:tr>
      <w:tr w14:paraId="3680C0F3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34B0B8E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生态基准</w:t>
            </w:r>
          </w:p>
        </w:tc>
        <w:tc>
          <w:tcPr>
            <w:tcW w:w="2350" w:type="dxa"/>
          </w:tcPr>
          <w:p w14:paraId="26BBC42F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淘宝/天猫、京东、拼多多等平台能力</w:t>
            </w:r>
          </w:p>
        </w:tc>
        <w:tc>
          <w:tcPr>
            <w:tcW w:w="2750" w:type="dxa"/>
          </w:tcPr>
          <w:p w14:paraId="5AAD6BAC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平台内售后与治理</w:t>
            </w:r>
          </w:p>
        </w:tc>
        <w:tc>
          <w:tcPr>
            <w:tcW w:w="2760" w:type="dxa"/>
          </w:tcPr>
          <w:p w14:paraId="67D3E91E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体验、规则与效率基准；通常不可独立采购</w:t>
            </w:r>
          </w:p>
        </w:tc>
      </w:tr>
    </w:tbl>
    <w:p w14:paraId="76323544">
      <w:r>
        <w:br w:type="page"/>
      </w:r>
      <w:bookmarkStart w:id="0" w:name="_GoBack"/>
      <w:bookmarkEnd w:id="0"/>
    </w:p>
    <w:p w14:paraId="08109B36">
      <w:pPr>
        <w:pStyle w:val="3"/>
      </w:pPr>
      <w:r>
        <w:rPr>
          <w:rFonts w:ascii="Calibri" w:hAnsi="Calibri" w:eastAsia="微软雅黑"/>
        </w:rPr>
        <w:t>竞品全景与初筛矩阵</w:t>
      </w:r>
    </w:p>
    <w:p w14:paraId="2482CFBB">
      <w:pPr>
        <w:pStyle w:val="165"/>
        <w:spacing w:before="80" w:after="80"/>
      </w:pPr>
      <w:r>
        <w:rPr>
          <w:rFonts w:ascii="Calibri" w:hAnsi="Calibri" w:eastAsia="微软雅黑"/>
        </w:rPr>
        <w:t>说明：“高/中/低”表示与目标系统的公开能力重叠程度，并非厂商实力排名；“需验证”表示官网公开资料不足以确认。</w:t>
      </w:r>
    </w:p>
    <w:tbl>
      <w:tblPr>
        <w:tblStyle w:val="33"/>
        <w:tblW w:w="9360" w:type="dxa"/>
        <w:tblInd w:w="120" w:type="dxa"/>
        <w:tblBorders>
          <w:top w:val="single" w:color="D9E0E8" w:sz="4" w:space="0"/>
          <w:left w:val="single" w:color="D9E0E8" w:sz="4" w:space="0"/>
          <w:bottom w:val="single" w:color="D9E0E8" w:sz="4" w:space="0"/>
          <w:right w:val="single" w:color="D9E0E8" w:sz="4" w:space="0"/>
          <w:insideH w:val="single" w:color="D9E0E8" w:sz="4" w:space="0"/>
          <w:insideV w:val="single" w:color="D9E0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500"/>
        <w:gridCol w:w="2200"/>
        <w:gridCol w:w="700"/>
        <w:gridCol w:w="2910"/>
      </w:tblGrid>
      <w:tr w14:paraId="32669416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2047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厂商/产品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8684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国家或主要市场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C8F1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定位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D813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重叠度</w:t>
            </w:r>
          </w:p>
        </w:tc>
        <w:tc>
          <w:tcPr>
            <w:tcW w:w="2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7CCA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初筛结论</w:t>
            </w:r>
          </w:p>
        </w:tc>
      </w:tr>
      <w:tr w14:paraId="4480E180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6233FEDC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Forter</w:t>
            </w:r>
          </w:p>
        </w:tc>
        <w:tc>
          <w:tcPr>
            <w:tcW w:w="1500" w:type="dxa"/>
          </w:tcPr>
          <w:p w14:paraId="3A69E18D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以色列起源/全球</w:t>
            </w:r>
          </w:p>
        </w:tc>
        <w:tc>
          <w:tcPr>
            <w:tcW w:w="2200" w:type="dxa"/>
          </w:tcPr>
          <w:p w14:paraId="20B4BC71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数字商业信任与欺诈防护</w:t>
            </w:r>
          </w:p>
        </w:tc>
        <w:tc>
          <w:tcPr>
            <w:tcW w:w="700" w:type="dxa"/>
          </w:tcPr>
          <w:p w14:paraId="21F2EE41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w="2910" w:type="dxa"/>
          </w:tcPr>
          <w:p w14:paraId="01342659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海外能力标杆；重点验证退款策略滥用与中国部署</w:t>
            </w:r>
          </w:p>
        </w:tc>
      </w:tr>
      <w:tr w14:paraId="6ED6BE1E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71F00E2E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Riskified</w:t>
            </w:r>
          </w:p>
        </w:tc>
        <w:tc>
          <w:tcPr>
            <w:tcW w:w="1500" w:type="dxa"/>
          </w:tcPr>
          <w:p w14:paraId="5FFC46EE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以色列起源/全球</w:t>
            </w:r>
          </w:p>
        </w:tc>
        <w:tc>
          <w:tcPr>
            <w:tcW w:w="2200" w:type="dxa"/>
          </w:tcPr>
          <w:p w14:paraId="3E602113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电商风险、拒付与策略保护</w:t>
            </w:r>
          </w:p>
        </w:tc>
        <w:tc>
          <w:tcPr>
            <w:tcW w:w="700" w:type="dxa"/>
          </w:tcPr>
          <w:p w14:paraId="402DD63D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w="2910" w:type="dxa"/>
          </w:tcPr>
          <w:p w14:paraId="77BBF934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海外能力标杆；重点验证售后与证据链覆盖</w:t>
            </w:r>
          </w:p>
        </w:tc>
      </w:tr>
      <w:tr w14:paraId="6DAF1169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789CF9E7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Signifyd</w:t>
            </w:r>
          </w:p>
        </w:tc>
        <w:tc>
          <w:tcPr>
            <w:tcW w:w="1500" w:type="dxa"/>
          </w:tcPr>
          <w:p w14:paraId="62111527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美国</w:t>
            </w:r>
          </w:p>
        </w:tc>
        <w:tc>
          <w:tcPr>
            <w:tcW w:w="2200" w:type="dxa"/>
          </w:tcPr>
          <w:p w14:paraId="3D0C7294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Commerce Protection</w:t>
            </w:r>
          </w:p>
        </w:tc>
        <w:tc>
          <w:tcPr>
            <w:tcW w:w="700" w:type="dxa"/>
          </w:tcPr>
          <w:p w14:paraId="3043464A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w="2910" w:type="dxa"/>
          </w:tcPr>
          <w:p w14:paraId="6D1C8D92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适合比较拒付保障与滥用防护模式</w:t>
            </w:r>
          </w:p>
        </w:tc>
      </w:tr>
      <w:tr w14:paraId="1DFC31EB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71D1BB21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Sift</w:t>
            </w:r>
          </w:p>
        </w:tc>
        <w:tc>
          <w:tcPr>
            <w:tcW w:w="1500" w:type="dxa"/>
          </w:tcPr>
          <w:p w14:paraId="69D67AF9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美国</w:t>
            </w:r>
          </w:p>
        </w:tc>
        <w:tc>
          <w:tcPr>
            <w:tcW w:w="2200" w:type="dxa"/>
          </w:tcPr>
          <w:p w14:paraId="4670BBE9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Fraud Prevention Platform</w:t>
            </w:r>
          </w:p>
        </w:tc>
        <w:tc>
          <w:tcPr>
            <w:tcW w:w="700" w:type="dxa"/>
          </w:tcPr>
          <w:p w14:paraId="6DADF2B9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w="2910" w:type="dxa"/>
          </w:tcPr>
          <w:p w14:paraId="54BEE137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适合比较账户、支付与滥用识别</w:t>
            </w:r>
          </w:p>
        </w:tc>
      </w:tr>
      <w:tr w14:paraId="5BA7C863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144F9766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ClearSale</w:t>
            </w:r>
          </w:p>
        </w:tc>
        <w:tc>
          <w:tcPr>
            <w:tcW w:w="1500" w:type="dxa"/>
          </w:tcPr>
          <w:p w14:paraId="3C978030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巴西/全球</w:t>
            </w:r>
          </w:p>
        </w:tc>
        <w:tc>
          <w:tcPr>
            <w:tcW w:w="2200" w:type="dxa"/>
          </w:tcPr>
          <w:p w14:paraId="40E154ED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反欺诈与拒付保护</w:t>
            </w:r>
          </w:p>
        </w:tc>
        <w:tc>
          <w:tcPr>
            <w:tcW w:w="700" w:type="dxa"/>
          </w:tcPr>
          <w:p w14:paraId="0B2B6103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中高</w:t>
            </w:r>
          </w:p>
        </w:tc>
        <w:tc>
          <w:tcPr>
            <w:tcW w:w="2910" w:type="dxa"/>
          </w:tcPr>
          <w:p w14:paraId="42B462C6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适合比较人工审核与拒付保护运营</w:t>
            </w:r>
          </w:p>
        </w:tc>
      </w:tr>
      <w:tr w14:paraId="380163AC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4E6F3DC4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数美科技</w:t>
            </w:r>
          </w:p>
        </w:tc>
        <w:tc>
          <w:tcPr>
            <w:tcW w:w="1500" w:type="dxa"/>
          </w:tcPr>
          <w:p w14:paraId="23992CBC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中国</w:t>
            </w:r>
          </w:p>
        </w:tc>
        <w:tc>
          <w:tcPr>
            <w:tcW w:w="2200" w:type="dxa"/>
          </w:tcPr>
          <w:p w14:paraId="313A27F0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内容安全与智能业务风控</w:t>
            </w:r>
          </w:p>
        </w:tc>
        <w:tc>
          <w:tcPr>
            <w:tcW w:w="700" w:type="dxa"/>
          </w:tcPr>
          <w:p w14:paraId="6F30A5F8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中高</w:t>
            </w:r>
          </w:p>
        </w:tc>
        <w:tc>
          <w:tcPr>
            <w:tcW w:w="2910" w:type="dxa"/>
          </w:tcPr>
          <w:p w14:paraId="199922D1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国内风险与内容能力候选；退款专用流程需验证</w:t>
            </w:r>
          </w:p>
        </w:tc>
      </w:tr>
      <w:tr w14:paraId="17478952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56315D29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同盾</w:t>
            </w:r>
          </w:p>
        </w:tc>
        <w:tc>
          <w:tcPr>
            <w:tcW w:w="1500" w:type="dxa"/>
          </w:tcPr>
          <w:p w14:paraId="57A7D27E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中国</w:t>
            </w:r>
          </w:p>
        </w:tc>
        <w:tc>
          <w:tcPr>
            <w:tcW w:w="2200" w:type="dxa"/>
          </w:tcPr>
          <w:p w14:paraId="5EE3A563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智能分析、欺诈风险预测与决策</w:t>
            </w:r>
          </w:p>
        </w:tc>
        <w:tc>
          <w:tcPr>
            <w:tcW w:w="700" w:type="dxa"/>
          </w:tcPr>
          <w:p w14:paraId="7CF2C1AF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中高</w:t>
            </w:r>
          </w:p>
        </w:tc>
        <w:tc>
          <w:tcPr>
            <w:tcW w:w="2910" w:type="dxa"/>
          </w:tcPr>
          <w:p w14:paraId="044E18DC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国内风险决策候选；证据和舆情能力需验证</w:t>
            </w:r>
          </w:p>
        </w:tc>
      </w:tr>
      <w:tr w14:paraId="1AE96F4B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333AB5F9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百融智能</w:t>
            </w:r>
          </w:p>
        </w:tc>
        <w:tc>
          <w:tcPr>
            <w:tcW w:w="1500" w:type="dxa"/>
          </w:tcPr>
          <w:p w14:paraId="45B692E5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中国</w:t>
            </w:r>
          </w:p>
        </w:tc>
        <w:tc>
          <w:tcPr>
            <w:tcW w:w="2200" w:type="dxa"/>
          </w:tcPr>
          <w:p w14:paraId="4B05689B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数据智能与风险决策</w:t>
            </w:r>
          </w:p>
        </w:tc>
        <w:tc>
          <w:tcPr>
            <w:tcW w:w="700" w:type="dxa"/>
          </w:tcPr>
          <w:p w14:paraId="62AE5970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中</w:t>
            </w:r>
          </w:p>
        </w:tc>
        <w:tc>
          <w:tcPr>
            <w:tcW w:w="2910" w:type="dxa"/>
          </w:tcPr>
          <w:p w14:paraId="267714C1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国内数据/风控候选；电商退款场景需验证</w:t>
            </w:r>
          </w:p>
        </w:tc>
      </w:tr>
      <w:tr w14:paraId="03BCB22C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3D533B1E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蚁坊软件</w:t>
            </w:r>
          </w:p>
        </w:tc>
        <w:tc>
          <w:tcPr>
            <w:tcW w:w="1500" w:type="dxa"/>
          </w:tcPr>
          <w:p w14:paraId="72D2FCE0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中国</w:t>
            </w:r>
          </w:p>
        </w:tc>
        <w:tc>
          <w:tcPr>
            <w:tcW w:w="2200" w:type="dxa"/>
          </w:tcPr>
          <w:p w14:paraId="6F417FC2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全网舆情监测与分析</w:t>
            </w:r>
          </w:p>
        </w:tc>
        <w:tc>
          <w:tcPr>
            <w:tcW w:w="700" w:type="dxa"/>
          </w:tcPr>
          <w:p w14:paraId="671D5963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中</w:t>
            </w:r>
          </w:p>
        </w:tc>
        <w:tc>
          <w:tcPr>
            <w:tcW w:w="2910" w:type="dxa"/>
          </w:tcPr>
          <w:p w14:paraId="015DC62E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舆情感知组件候选，不替代交易风控</w:t>
            </w:r>
          </w:p>
        </w:tc>
      </w:tr>
      <w:tr w14:paraId="7B6F7639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3D8AF666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识微科技</w:t>
            </w:r>
          </w:p>
        </w:tc>
        <w:tc>
          <w:tcPr>
            <w:tcW w:w="1500" w:type="dxa"/>
          </w:tcPr>
          <w:p w14:paraId="477162F4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中国</w:t>
            </w:r>
          </w:p>
        </w:tc>
        <w:tc>
          <w:tcPr>
            <w:tcW w:w="2200" w:type="dxa"/>
          </w:tcPr>
          <w:p w14:paraId="3AE828E6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舆情监测与预警</w:t>
            </w:r>
          </w:p>
        </w:tc>
        <w:tc>
          <w:tcPr>
            <w:tcW w:w="700" w:type="dxa"/>
          </w:tcPr>
          <w:p w14:paraId="77BDF7B4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中</w:t>
            </w:r>
          </w:p>
        </w:tc>
        <w:tc>
          <w:tcPr>
            <w:tcW w:w="2910" w:type="dxa"/>
          </w:tcPr>
          <w:p w14:paraId="306FD99E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舆情感知组件候选，不替代交易风控</w:t>
            </w:r>
          </w:p>
        </w:tc>
      </w:tr>
      <w:tr w14:paraId="255784D2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0" w:type="dxa"/>
          </w:tcPr>
          <w:p w14:paraId="5D64D186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聚水潭/旺店通</w:t>
            </w:r>
          </w:p>
        </w:tc>
        <w:tc>
          <w:tcPr>
            <w:tcW w:w="1500" w:type="dxa"/>
          </w:tcPr>
          <w:p w14:paraId="73536873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中国</w:t>
            </w:r>
          </w:p>
        </w:tc>
        <w:tc>
          <w:tcPr>
            <w:tcW w:w="2200" w:type="dxa"/>
          </w:tcPr>
          <w:p w14:paraId="35A9C7D9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电商 ERP、订单与售后流程</w:t>
            </w:r>
          </w:p>
        </w:tc>
        <w:tc>
          <w:tcPr>
            <w:tcW w:w="700" w:type="dxa"/>
          </w:tcPr>
          <w:p w14:paraId="7A7DEB71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低</w:t>
            </w:r>
          </w:p>
        </w:tc>
        <w:tc>
          <w:tcPr>
            <w:tcW w:w="2910" w:type="dxa"/>
          </w:tcPr>
          <w:p w14:paraId="0350CDA7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订单/售后集成参照，不是反欺诈产品</w:t>
            </w:r>
          </w:p>
        </w:tc>
      </w:tr>
    </w:tbl>
    <w:p w14:paraId="7A2D5AFE">
      <w:pPr>
        <w:pStyle w:val="165"/>
        <w:spacing w:before="80" w:after="80"/>
      </w:pPr>
      <w:r>
        <w:rPr>
          <w:rFonts w:ascii="Calibri" w:hAnsi="Calibri" w:eastAsia="微软雅黑"/>
        </w:rPr>
        <w:t>采购提示：海外产品的“退款滥用”能力常以 policy abuse、promotion abuse、returns abuse 或 post-purchase abuse 命名；RFI 时必须要求厂商按本项目案例演示，而不能只接受支付拒付指标。</w:t>
      </w:r>
    </w:p>
    <w:p w14:paraId="5B58707D">
      <w:r>
        <w:br w:type="page"/>
      </w:r>
    </w:p>
    <w:p w14:paraId="12D196EA">
      <w:pPr>
        <w:pStyle w:val="3"/>
      </w:pPr>
      <w:r>
        <w:rPr>
          <w:rFonts w:ascii="Calibri" w:hAnsi="Calibri" w:eastAsia="微软雅黑"/>
        </w:rPr>
        <w:t>海外直接竞品：能力标杆</w:t>
      </w:r>
    </w:p>
    <w:p w14:paraId="232E57E8">
      <w:pPr>
        <w:pStyle w:val="4"/>
      </w:pPr>
      <w:r>
        <w:rPr>
          <w:rFonts w:ascii="Calibri" w:hAnsi="Calibri" w:eastAsia="微软雅黑"/>
        </w:rPr>
        <w:t>Forter（以色列起源/全球）</w:t>
      </w:r>
    </w:p>
    <w:p w14:paraId="7DA70875">
      <w:r>
        <w:rPr>
          <w:rFonts w:ascii="Calibri" w:hAnsi="Calibri" w:eastAsia="微软雅黑"/>
          <w:b/>
          <w:color w:val="203748"/>
        </w:rPr>
        <w:t>公开定位：</w:t>
      </w:r>
      <w:r>
        <w:rPr>
          <w:rFonts w:ascii="Calibri" w:hAnsi="Calibri" w:eastAsia="微软雅黑"/>
        </w:rPr>
        <w:t>官网将产品定位为数字商业场景的信任与智能决策平台，面向欺诈、账户与交易风险。</w:t>
      </w:r>
    </w:p>
    <w:p w14:paraId="775B3E42">
      <w:r>
        <w:rPr>
          <w:rFonts w:ascii="Calibri" w:hAnsi="Calibri" w:eastAsia="微软雅黑"/>
          <w:b/>
          <w:color w:val="1F3A5F"/>
        </w:rPr>
        <w:t>与本项目的交集：</w:t>
      </w:r>
      <w:r>
        <w:rPr>
          <w:rFonts w:ascii="Calibri" w:hAnsi="Calibri" w:eastAsia="微软雅黑"/>
        </w:rPr>
        <w:t>可对比身份/行为信号汇聚、实时决策、策略滥用防护和商家运营模型。</w:t>
      </w:r>
    </w:p>
    <w:p w14:paraId="37CBE0A3">
      <w:r>
        <w:rPr>
          <w:rFonts w:ascii="Calibri" w:hAnsi="Calibri" w:eastAsia="微软雅黑"/>
          <w:b/>
          <w:color w:val="7A5A00"/>
        </w:rPr>
        <w:t>采购判断：</w:t>
      </w:r>
      <w:r>
        <w:rPr>
          <w:rFonts w:ascii="Calibri" w:hAnsi="Calibri" w:eastAsia="微软雅黑"/>
        </w:rPr>
        <w:t>公开首页不足以证明其覆盖中文 OCR、公开舆情或中国电商退款审批；要求演示退款滥用、售后证据与回退逻辑。</w:t>
      </w:r>
    </w:p>
    <w:p w14:paraId="5D725B95">
      <w:pPr>
        <w:pStyle w:val="4"/>
      </w:pPr>
      <w:r>
        <w:rPr>
          <w:rFonts w:ascii="Calibri" w:hAnsi="Calibri" w:eastAsia="微软雅黑"/>
        </w:rPr>
        <w:t>Riskified（以色列起源/全球）</w:t>
      </w:r>
    </w:p>
    <w:p w14:paraId="1CA8EAD5">
      <w:r>
        <w:rPr>
          <w:rFonts w:ascii="Calibri" w:hAnsi="Calibri" w:eastAsia="微软雅黑"/>
          <w:b/>
          <w:color w:val="203748"/>
        </w:rPr>
        <w:t>公开定位：</w:t>
      </w:r>
      <w:r>
        <w:rPr>
          <w:rFonts w:ascii="Calibri" w:hAnsi="Calibri" w:eastAsia="微软雅黑"/>
        </w:rPr>
        <w:t>以电商风险管理、拒付保护、账户安全和策略保护为主要公开方向。</w:t>
      </w:r>
    </w:p>
    <w:p w14:paraId="61CA3A20">
      <w:r>
        <w:rPr>
          <w:rFonts w:ascii="Calibri" w:hAnsi="Calibri" w:eastAsia="微软雅黑"/>
          <w:b/>
          <w:color w:val="1F3A5F"/>
        </w:rPr>
        <w:t>与本项目的交集：</w:t>
      </w:r>
      <w:r>
        <w:rPr>
          <w:rFonts w:ascii="Calibri" w:hAnsi="Calibri" w:eastAsia="微软雅黑"/>
        </w:rPr>
        <w:t>可对比“商家承担损失”与“平台给出风险判断”两类商业模式，以及退货/退款政策滥用检测思路。</w:t>
      </w:r>
    </w:p>
    <w:p w14:paraId="7B1EC88D">
      <w:r>
        <w:rPr>
          <w:rFonts w:ascii="Calibri" w:hAnsi="Calibri" w:eastAsia="微软雅黑"/>
          <w:b/>
          <w:color w:val="7A5A00"/>
        </w:rPr>
        <w:t>采购判断：</w:t>
      </w:r>
      <w:r>
        <w:rPr>
          <w:rFonts w:ascii="Calibri" w:hAnsi="Calibri" w:eastAsia="微软雅黑"/>
        </w:rPr>
        <w:t>其官网受到访问保护，功能边界需通过销售资料和 PoC 二次核验；不可仅据市场口碑认定全部适配。</w:t>
      </w:r>
    </w:p>
    <w:p w14:paraId="39B2904F">
      <w:pPr>
        <w:pStyle w:val="4"/>
      </w:pPr>
      <w:r>
        <w:rPr>
          <w:rFonts w:ascii="Calibri" w:hAnsi="Calibri" w:eastAsia="微软雅黑"/>
        </w:rPr>
        <w:t>Signifyd（美国）</w:t>
      </w:r>
    </w:p>
    <w:p w14:paraId="1484A9C7">
      <w:r>
        <w:rPr>
          <w:rFonts w:ascii="Calibri" w:hAnsi="Calibri" w:eastAsia="微软雅黑"/>
          <w:b/>
          <w:color w:val="203748"/>
        </w:rPr>
        <w:t>公开定位：</w:t>
      </w:r>
      <w:r>
        <w:rPr>
          <w:rFonts w:ascii="Calibri" w:hAnsi="Calibri" w:eastAsia="微软雅黑"/>
        </w:rPr>
        <w:t>以 Commerce Protection 为主张，围绕订单欺诈、拒付和滥用风险提供商业保护。</w:t>
      </w:r>
    </w:p>
    <w:p w14:paraId="721D88F9">
      <w:r>
        <w:rPr>
          <w:rFonts w:ascii="Calibri" w:hAnsi="Calibri" w:eastAsia="微软雅黑"/>
          <w:b/>
          <w:color w:val="1F3A5F"/>
        </w:rPr>
        <w:t>与本项目的交集：</w:t>
      </w:r>
      <w:r>
        <w:rPr>
          <w:rFonts w:ascii="Calibri" w:hAnsi="Calibri" w:eastAsia="微软雅黑"/>
        </w:rPr>
        <w:t>适合研究订单级风险决策、拒付保障和审批队列运营。</w:t>
      </w:r>
    </w:p>
    <w:p w14:paraId="2573F8CF">
      <w:r>
        <w:rPr>
          <w:rFonts w:ascii="Calibri" w:hAnsi="Calibri" w:eastAsia="微软雅黑"/>
          <w:b/>
          <w:color w:val="7A5A00"/>
        </w:rPr>
        <w:t>采购判断：</w:t>
      </w:r>
      <w:r>
        <w:rPr>
          <w:rFonts w:ascii="Calibri" w:hAnsi="Calibri" w:eastAsia="微软雅黑"/>
        </w:rPr>
        <w:t>需验证是否能将订单描述、图片、OCR 等作为特征输入，及中国数据处理与合规安排。</w:t>
      </w:r>
    </w:p>
    <w:p w14:paraId="0E3DF192">
      <w:pPr>
        <w:pStyle w:val="4"/>
      </w:pPr>
      <w:r>
        <w:rPr>
          <w:rFonts w:ascii="Calibri" w:hAnsi="Calibri" w:eastAsia="微软雅黑"/>
        </w:rPr>
        <w:t>Sift（美国）</w:t>
      </w:r>
    </w:p>
    <w:p w14:paraId="29FC5B86">
      <w:r>
        <w:rPr>
          <w:rFonts w:ascii="Calibri" w:hAnsi="Calibri" w:eastAsia="微软雅黑"/>
          <w:b/>
          <w:color w:val="203748"/>
        </w:rPr>
        <w:t>公开定位：</w:t>
      </w:r>
      <w:r>
        <w:rPr>
          <w:rFonts w:ascii="Calibri" w:hAnsi="Calibri" w:eastAsia="微软雅黑"/>
        </w:rPr>
        <w:t>官网定位为 Fraud Prevention Platform，覆盖支付欺诈、账户防护和滥用识别。</w:t>
      </w:r>
    </w:p>
    <w:p w14:paraId="36720D88">
      <w:r>
        <w:rPr>
          <w:rFonts w:ascii="Calibri" w:hAnsi="Calibri" w:eastAsia="微软雅黑"/>
          <w:b/>
          <w:color w:val="1F3A5F"/>
        </w:rPr>
        <w:t>与本项目的交集：</w:t>
      </w:r>
      <w:r>
        <w:rPr>
          <w:rFonts w:ascii="Calibri" w:hAnsi="Calibri" w:eastAsia="微软雅黑"/>
        </w:rPr>
        <w:t>适合比较跨账号、设备、行为关联和实时评分能力。</w:t>
      </w:r>
    </w:p>
    <w:p w14:paraId="6B63A524">
      <w:r>
        <w:rPr>
          <w:rFonts w:ascii="Calibri" w:hAnsi="Calibri" w:eastAsia="微软雅黑"/>
          <w:b/>
          <w:color w:val="7A5A00"/>
        </w:rPr>
        <w:t>采购判断：</w:t>
      </w:r>
      <w:r>
        <w:rPr>
          <w:rFonts w:ascii="Calibri" w:hAnsi="Calibri" w:eastAsia="微软雅黑"/>
        </w:rPr>
        <w:t>并非售后工作流产品；需通过 API 能力判断能否嵌入本系统而非替换系统。</w:t>
      </w:r>
    </w:p>
    <w:p w14:paraId="5F4FAF21">
      <w:pPr>
        <w:pStyle w:val="4"/>
      </w:pPr>
      <w:r>
        <w:rPr>
          <w:rFonts w:ascii="Calibri" w:hAnsi="Calibri" w:eastAsia="微软雅黑"/>
        </w:rPr>
        <w:t>ClearSale（巴西/全球）</w:t>
      </w:r>
    </w:p>
    <w:p w14:paraId="50D38B4F">
      <w:r>
        <w:rPr>
          <w:rFonts w:ascii="Calibri" w:hAnsi="Calibri" w:eastAsia="微软雅黑"/>
          <w:b/>
          <w:color w:val="203748"/>
        </w:rPr>
        <w:t>公开定位：</w:t>
      </w:r>
      <w:r>
        <w:rPr>
          <w:rFonts w:ascii="Calibri" w:hAnsi="Calibri" w:eastAsia="微软雅黑"/>
        </w:rPr>
        <w:t>公开资料强调电商欺诈预防与拒付保护。</w:t>
      </w:r>
    </w:p>
    <w:p w14:paraId="25FF0856">
      <w:r>
        <w:rPr>
          <w:rFonts w:ascii="Calibri" w:hAnsi="Calibri" w:eastAsia="微软雅黑"/>
          <w:b/>
          <w:color w:val="1F3A5F"/>
        </w:rPr>
        <w:t>与本项目的交集：</w:t>
      </w:r>
      <w:r>
        <w:rPr>
          <w:rFonts w:ascii="Calibri" w:hAnsi="Calibri" w:eastAsia="微软雅黑"/>
        </w:rPr>
        <w:t>适合比较“自动判定 + 人工审核”的运营分工。</w:t>
      </w:r>
    </w:p>
    <w:p w14:paraId="018FF6AE">
      <w:r>
        <w:rPr>
          <w:rFonts w:ascii="Calibri" w:hAnsi="Calibri" w:eastAsia="微软雅黑"/>
          <w:b/>
          <w:color w:val="7A5A00"/>
        </w:rPr>
        <w:t>采购判断：</w:t>
      </w:r>
      <w:r>
        <w:rPr>
          <w:rFonts w:ascii="Calibri" w:hAnsi="Calibri" w:eastAsia="微软雅黑"/>
        </w:rPr>
        <w:t>需验证中国市场交付、语言和证据图片处理能力。</w:t>
      </w:r>
    </w:p>
    <w:p w14:paraId="78BD12D7">
      <w:r>
        <w:br w:type="page"/>
      </w:r>
    </w:p>
    <w:p w14:paraId="4E6CED02">
      <w:pPr>
        <w:pStyle w:val="3"/>
      </w:pPr>
      <w:r>
        <w:rPr>
          <w:rFonts w:ascii="Calibri" w:hAnsi="Calibri" w:eastAsia="微软雅黑"/>
        </w:rPr>
        <w:t>国内与相邻能力候选</w:t>
      </w:r>
    </w:p>
    <w:p w14:paraId="60E5A590">
      <w:pPr>
        <w:pStyle w:val="4"/>
      </w:pPr>
      <w:r>
        <w:rPr>
          <w:rFonts w:ascii="Calibri" w:hAnsi="Calibri" w:eastAsia="微软雅黑"/>
        </w:rPr>
        <w:t>数美科技（中国）</w:t>
      </w:r>
    </w:p>
    <w:p w14:paraId="1264B2C1">
      <w:r>
        <w:rPr>
          <w:rFonts w:ascii="Calibri" w:hAnsi="Calibri" w:eastAsia="微软雅黑"/>
          <w:b/>
          <w:color w:val="203748"/>
        </w:rPr>
        <w:t>公开定位：</w:t>
      </w:r>
      <w:r>
        <w:rPr>
          <w:rFonts w:ascii="Calibri" w:hAnsi="Calibri" w:eastAsia="微软雅黑"/>
        </w:rPr>
        <w:t>官网公开定位为内容安全与智能业务风控。</w:t>
      </w:r>
    </w:p>
    <w:p w14:paraId="45446160">
      <w:r>
        <w:rPr>
          <w:rFonts w:ascii="Calibri" w:hAnsi="Calibri" w:eastAsia="微软雅黑"/>
          <w:b/>
          <w:color w:val="1F3A5F"/>
        </w:rPr>
        <w:t>与本项目的交集：</w:t>
      </w:r>
      <w:r>
        <w:rPr>
          <w:rFonts w:ascii="Calibri" w:hAnsi="Calibri" w:eastAsia="微软雅黑"/>
        </w:rPr>
        <w:t>其“内容 + 业务风险”双线能力，与退款描述、图片审核、恶意行为识别的输入结构最相近。</w:t>
      </w:r>
    </w:p>
    <w:p w14:paraId="7DD8F180">
      <w:r>
        <w:rPr>
          <w:rFonts w:ascii="Calibri" w:hAnsi="Calibri" w:eastAsia="微软雅黑"/>
          <w:b/>
          <w:color w:val="7A5A00"/>
        </w:rPr>
        <w:t>采购判断：</w:t>
      </w:r>
      <w:r>
        <w:rPr>
          <w:rFonts w:ascii="Calibri" w:hAnsi="Calibri" w:eastAsia="微软雅黑"/>
        </w:rPr>
        <w:t>必须确认是否提供退款/售后欺诈模型、图像凭证一致性、可解释输出、私有化或数据驻留与审计接口。</w:t>
      </w:r>
    </w:p>
    <w:p w14:paraId="3EB79FD0">
      <w:pPr>
        <w:pStyle w:val="4"/>
      </w:pPr>
      <w:r>
        <w:rPr>
          <w:rFonts w:ascii="Calibri" w:hAnsi="Calibri" w:eastAsia="微软雅黑"/>
        </w:rPr>
        <w:t>同盾（中国）</w:t>
      </w:r>
    </w:p>
    <w:p w14:paraId="0F7414E1">
      <w:r>
        <w:rPr>
          <w:rFonts w:ascii="Calibri" w:hAnsi="Calibri" w:eastAsia="微软雅黑"/>
          <w:b/>
          <w:color w:val="203748"/>
        </w:rPr>
        <w:t>公开定位：</w:t>
      </w:r>
      <w:r>
        <w:rPr>
          <w:rFonts w:ascii="Calibri" w:hAnsi="Calibri" w:eastAsia="微软雅黑"/>
        </w:rPr>
        <w:t>官网公开描述聚焦智能分析与决策，以及欺诈风险预测。</w:t>
      </w:r>
    </w:p>
    <w:p w14:paraId="5FF3CF9B">
      <w:r>
        <w:rPr>
          <w:rFonts w:ascii="Calibri" w:hAnsi="Calibri" w:eastAsia="微软雅黑"/>
          <w:b/>
          <w:color w:val="1F3A5F"/>
        </w:rPr>
        <w:t>与本项目的交集：</w:t>
      </w:r>
      <w:r>
        <w:rPr>
          <w:rFonts w:ascii="Calibri" w:hAnsi="Calibri" w:eastAsia="微软雅黑"/>
        </w:rPr>
        <w:t>适合补充身份、设备、行为和关联网络风险信号，并作为规则/模型评分的外部输入。</w:t>
      </w:r>
    </w:p>
    <w:p w14:paraId="5289A914">
      <w:r>
        <w:rPr>
          <w:rFonts w:ascii="Calibri" w:hAnsi="Calibri" w:eastAsia="微软雅黑"/>
          <w:b/>
          <w:color w:val="7A5A00"/>
        </w:rPr>
        <w:t>采购判断：</w:t>
      </w:r>
      <w:r>
        <w:rPr>
          <w:rFonts w:ascii="Calibri" w:hAnsi="Calibri" w:eastAsia="微软雅黑"/>
        </w:rPr>
        <w:t>公开资料不能确认其具备舆情与凭证 OCR 的全链路能力；更适合作为风险引擎候选。</w:t>
      </w:r>
    </w:p>
    <w:p w14:paraId="7217CB35">
      <w:pPr>
        <w:pStyle w:val="4"/>
      </w:pPr>
      <w:r>
        <w:rPr>
          <w:rFonts w:ascii="Calibri" w:hAnsi="Calibri" w:eastAsia="微软雅黑"/>
        </w:rPr>
        <w:t>百融智能（中国）</w:t>
      </w:r>
    </w:p>
    <w:p w14:paraId="4E5F86FE">
      <w:r>
        <w:rPr>
          <w:rFonts w:ascii="Calibri" w:hAnsi="Calibri" w:eastAsia="微软雅黑"/>
          <w:b/>
          <w:color w:val="203748"/>
        </w:rPr>
        <w:t>公开定位：</w:t>
      </w:r>
      <w:r>
        <w:rPr>
          <w:rFonts w:ascii="Calibri" w:hAnsi="Calibri" w:eastAsia="微软雅黑"/>
        </w:rPr>
        <w:t>官网公开定位为数据智能服务。</w:t>
      </w:r>
    </w:p>
    <w:p w14:paraId="68A2EA3F">
      <w:r>
        <w:rPr>
          <w:rFonts w:ascii="Calibri" w:hAnsi="Calibri" w:eastAsia="微软雅黑"/>
          <w:b/>
          <w:color w:val="1F3A5F"/>
        </w:rPr>
        <w:t>与本项目的交集：</w:t>
      </w:r>
      <w:r>
        <w:rPr>
          <w:rFonts w:ascii="Calibri" w:hAnsi="Calibri" w:eastAsia="微软雅黑"/>
        </w:rPr>
        <w:t>可作为风险数据与决策能力的中国候选之一，适合在高风险用户、异常行为和数据覆盖维度做 RFI 对比。</w:t>
      </w:r>
    </w:p>
    <w:p w14:paraId="66EA838E">
      <w:r>
        <w:rPr>
          <w:rFonts w:ascii="Calibri" w:hAnsi="Calibri" w:eastAsia="微软雅黑"/>
          <w:b/>
          <w:color w:val="7A5A00"/>
        </w:rPr>
        <w:t>采购判断：</w:t>
      </w:r>
      <w:r>
        <w:rPr>
          <w:rFonts w:ascii="Calibri" w:hAnsi="Calibri" w:eastAsia="微软雅黑"/>
        </w:rPr>
        <w:t>必须谨慎验证电商退款专用场景、数据来源合法性、可解释性、保留期及个人信息处理边界。</w:t>
      </w:r>
    </w:p>
    <w:p w14:paraId="47080660">
      <w:pPr>
        <w:pStyle w:val="4"/>
      </w:pPr>
      <w:r>
        <w:rPr>
          <w:rFonts w:ascii="Calibri" w:hAnsi="Calibri" w:eastAsia="微软雅黑"/>
        </w:rPr>
        <w:t>蚁坊软件与识微科技（中国）</w:t>
      </w:r>
    </w:p>
    <w:p w14:paraId="7AF0A42E">
      <w:r>
        <w:rPr>
          <w:rFonts w:ascii="Calibri" w:hAnsi="Calibri" w:eastAsia="微软雅黑"/>
          <w:b/>
          <w:color w:val="203748"/>
        </w:rPr>
        <w:t>公开定位：</w:t>
      </w:r>
      <w:r>
        <w:rPr>
          <w:rFonts w:ascii="Calibri" w:hAnsi="Calibri" w:eastAsia="微软雅黑"/>
        </w:rPr>
        <w:t>两者公开定位均涵盖全网舆情监测、分析、预警或响应。</w:t>
      </w:r>
    </w:p>
    <w:p w14:paraId="59E8ED54">
      <w:r>
        <w:rPr>
          <w:rFonts w:ascii="Calibri" w:hAnsi="Calibri" w:eastAsia="微软雅黑"/>
          <w:b/>
          <w:color w:val="1F3A5F"/>
        </w:rPr>
        <w:t>与本项目的交集：</w:t>
      </w:r>
      <w:r>
        <w:rPr>
          <w:rFonts w:ascii="Calibri" w:hAnsi="Calibri" w:eastAsia="微软雅黑"/>
        </w:rPr>
        <w:t>可为集中客诉、商品质量事故、热点扩散等提供宏观风险信号，帮助动态收紧或放宽人工审核队列。</w:t>
      </w:r>
    </w:p>
    <w:p w14:paraId="0A06C41F">
      <w:r>
        <w:rPr>
          <w:rFonts w:ascii="Calibri" w:hAnsi="Calibri" w:eastAsia="微软雅黑"/>
          <w:b/>
          <w:color w:val="7A5A00"/>
        </w:rPr>
        <w:t>采购判断：</w:t>
      </w:r>
      <w:r>
        <w:rPr>
          <w:rFonts w:ascii="Calibri" w:hAnsi="Calibri" w:eastAsia="微软雅黑"/>
        </w:rPr>
        <w:t>舆情不能单独判定单笔退款真假；应只作为群体性风险与运营优先级输入。</w:t>
      </w:r>
    </w:p>
    <w:p w14:paraId="3F22665D">
      <w:pPr>
        <w:pStyle w:val="4"/>
      </w:pPr>
      <w:r>
        <w:rPr>
          <w:rFonts w:ascii="Calibri" w:hAnsi="Calibri" w:eastAsia="微软雅黑"/>
        </w:rPr>
        <w:t>聚水潭与旺店通（中国）</w:t>
      </w:r>
    </w:p>
    <w:p w14:paraId="38A4F341">
      <w:r>
        <w:rPr>
          <w:rFonts w:ascii="Calibri" w:hAnsi="Calibri" w:eastAsia="微软雅黑"/>
          <w:b/>
          <w:color w:val="203748"/>
        </w:rPr>
        <w:t>公开定位：</w:t>
      </w:r>
      <w:r>
        <w:rPr>
          <w:rFonts w:ascii="Calibri" w:hAnsi="Calibri" w:eastAsia="微软雅黑"/>
        </w:rPr>
        <w:t>公开市场定位为电商 ERP/OMS、订单与售后流程管理。</w:t>
      </w:r>
    </w:p>
    <w:p w14:paraId="2C7BAD64">
      <w:r>
        <w:rPr>
          <w:rFonts w:ascii="Calibri" w:hAnsi="Calibri" w:eastAsia="微软雅黑"/>
          <w:b/>
          <w:color w:val="1F3A5F"/>
        </w:rPr>
        <w:t>与本项目的交集：</w:t>
      </w:r>
      <w:r>
        <w:rPr>
          <w:rFonts w:ascii="Calibri" w:hAnsi="Calibri" w:eastAsia="微软雅黑"/>
        </w:rPr>
        <w:t>可作为订单状态、物流、履约和售后工单的数据来源及集成参照。</w:t>
      </w:r>
    </w:p>
    <w:p w14:paraId="65822B39">
      <w:r>
        <w:rPr>
          <w:rFonts w:ascii="Calibri" w:hAnsi="Calibri" w:eastAsia="微软雅黑"/>
          <w:b/>
          <w:color w:val="7A5A00"/>
        </w:rPr>
        <w:t>采购判断：</w:t>
      </w:r>
      <w:r>
        <w:rPr>
          <w:rFonts w:ascii="Calibri" w:hAnsi="Calibri" w:eastAsia="微软雅黑"/>
        </w:rPr>
        <w:t>它们不是反欺诈替代品；应评估 API、事件回调、渠道覆盖和数据一致性。</w:t>
      </w:r>
    </w:p>
    <w:p w14:paraId="47068F90">
      <w:r>
        <w:br w:type="page"/>
      </w:r>
    </w:p>
    <w:p w14:paraId="221E9AB5">
      <w:pPr>
        <w:pStyle w:val="3"/>
      </w:pPr>
      <w:r>
        <w:rPr>
          <w:rFonts w:ascii="Calibri" w:hAnsi="Calibri" w:eastAsia="微软雅黑"/>
        </w:rPr>
        <w:t>能力对标：目标系统的不可替代部分</w:t>
      </w:r>
    </w:p>
    <w:p w14:paraId="59A6EB0C">
      <w:r>
        <w:rPr>
          <w:rFonts w:ascii="Calibri" w:hAnsi="Calibri" w:eastAsia="微软雅黑"/>
          <w:b/>
          <w:color w:val="203748"/>
        </w:rPr>
        <w:t>订单与金额：</w:t>
      </w:r>
      <w:r>
        <w:rPr>
          <w:rFonts w:ascii="Calibri" w:hAnsi="Calibri" w:eastAsia="微软雅黑"/>
        </w:rPr>
        <w:t>成熟风控平台普遍擅长交易级风险，但本项目需要把金额、履约阶段、退款频率、优惠活动和品类规则放进可审计的同一决策上下文。</w:t>
      </w:r>
    </w:p>
    <w:p w14:paraId="5458CC2D">
      <w:r>
        <w:rPr>
          <w:rFonts w:ascii="Calibri" w:hAnsi="Calibri" w:eastAsia="微软雅黑"/>
          <w:b/>
          <w:color w:val="203748"/>
        </w:rPr>
        <w:t>证据与多模态：</w:t>
      </w:r>
      <w:r>
        <w:rPr>
          <w:rFonts w:ascii="Calibri" w:hAnsi="Calibri" w:eastAsia="微软雅黑"/>
        </w:rPr>
        <w:t>用户描述、破损照片、快递单、聊天截图都是不可信输入。OCR 置信度、图文一致性、篡改迹象和缺失材料应当触发确定性降级，而不是由语言模型单独“判断真实”。</w:t>
      </w:r>
    </w:p>
    <w:p w14:paraId="4456B101">
      <w:r>
        <w:rPr>
          <w:rFonts w:ascii="Calibri" w:hAnsi="Calibri" w:eastAsia="微软雅黑"/>
          <w:b/>
          <w:color w:val="203748"/>
        </w:rPr>
        <w:t>舆情感知：</w:t>
      </w:r>
      <w:r>
        <w:rPr>
          <w:rFonts w:ascii="Calibri" w:hAnsi="Calibri" w:eastAsia="微软雅黑"/>
        </w:rPr>
        <w:t>舆情系统擅长发现群体性事件；它能解释“为什么某批订单应优先人工审核”，却不能替代订单级欺诈证明。最佳实践是把舆情等级作为阈值、队列优先级或审核资源的调节信号。</w:t>
      </w:r>
    </w:p>
    <w:p w14:paraId="0B1DE2D3">
      <w:r>
        <w:rPr>
          <w:rFonts w:ascii="Calibri" w:hAnsi="Calibri" w:eastAsia="微软雅黑"/>
          <w:b/>
          <w:color w:val="203748"/>
        </w:rPr>
        <w:t>人工审批与状态恢复：</w:t>
      </w:r>
      <w:r>
        <w:rPr>
          <w:rFonts w:ascii="Calibri" w:hAnsi="Calibri" w:eastAsia="微软雅黑"/>
        </w:rPr>
        <w:t>采购的风控评分必须进入受控工作流：暂停、分配、审批、拒绝、恢复和审计。自动退赔与实际支付接口应分离，避免把系统状态写成真实资金动作。</w:t>
      </w:r>
    </w:p>
    <w:p w14:paraId="366A496A">
      <w:r>
        <w:rPr>
          <w:rFonts w:ascii="Calibri" w:hAnsi="Calibri" w:eastAsia="微软雅黑"/>
          <w:b/>
          <w:color w:val="203748"/>
        </w:rPr>
        <w:t>可解释与可复核：</w:t>
      </w:r>
      <w:r>
        <w:rPr>
          <w:rFonts w:ascii="Calibri" w:hAnsi="Calibri" w:eastAsia="微软雅黑"/>
        </w:rPr>
        <w:t>每次决定至少保留：命中的硬规则、外部评分与版本、OCR 置信度、舆情信号、审批人和时间线。评分供应商无法提供可解释字段时，不应拥有自动放行权。</w:t>
      </w:r>
    </w:p>
    <w:tbl>
      <w:tblPr>
        <w:tblStyle w:val="32"/>
        <w:tblW w:w="9360" w:type="dxa"/>
        <w:tblInd w:w="120" w:type="dxa"/>
        <w:tblBorders>
          <w:top w:val="single" w:color="D9E0E8" w:sz="4" w:space="0"/>
          <w:left w:val="single" w:color="D9E0E8" w:sz="4" w:space="0"/>
          <w:bottom w:val="single" w:color="D9E0E8" w:sz="4" w:space="0"/>
          <w:right w:val="single" w:color="D9E0E8" w:sz="4" w:space="0"/>
          <w:insideH w:val="single" w:color="D9E0E8" w:sz="4" w:space="0"/>
          <w:insideV w:val="single" w:color="D9E0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698F160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3D84">
            <w:pPr>
              <w:pStyle w:val="166"/>
            </w:pPr>
            <w:r>
              <w:rPr>
                <w:rFonts w:ascii="Calibri" w:hAnsi="Calibri" w:eastAsia="微软雅黑"/>
                <w:b/>
                <w:color w:val="203748"/>
              </w:rPr>
              <w:t xml:space="preserve">因此  </w:t>
            </w:r>
            <w:r>
              <w:rPr>
                <w:rFonts w:ascii="Calibri" w:hAnsi="Calibri" w:eastAsia="微软雅黑"/>
              </w:rPr>
              <w:t>最稳妥的定位不是“替代风控厂商”，而是作为电商退款场景的决策编排与审计控制面：向下集成风险、OCR、舆情和订单系统，向上提供自动处理与人工复核。</w:t>
            </w:r>
          </w:p>
        </w:tc>
      </w:tr>
    </w:tbl>
    <w:p w14:paraId="23D97BFC">
      <w:r>
        <w:br w:type="page"/>
      </w:r>
    </w:p>
    <w:p w14:paraId="4EF93E31">
      <w:pPr>
        <w:pStyle w:val="3"/>
      </w:pPr>
      <w:r>
        <w:rPr>
          <w:rFonts w:ascii="Calibri" w:hAnsi="Calibri" w:eastAsia="微软雅黑"/>
        </w:rPr>
        <w:t>采购选型建议</w:t>
      </w:r>
    </w:p>
    <w:p w14:paraId="0543FE98">
      <w:r>
        <w:rPr>
          <w:rFonts w:ascii="Calibri" w:hAnsi="Calibri" w:eastAsia="微软雅黑"/>
          <w:b/>
          <w:color w:val="203748"/>
        </w:rPr>
        <w:t>方案 A：单一海外平台：</w:t>
      </w:r>
      <w:r>
        <w:rPr>
          <w:rFonts w:ascii="Calibri" w:hAnsi="Calibri" w:eastAsia="微软雅黑"/>
        </w:rPr>
        <w:t>适用于跨境电商、支付欺诈和拒付损失是主要问题、且可接受数据跨境与海外交付的组织。优点是模型和运营成熟；缺点是中文证据、国内舆情、国产平台集成和本地合规常需二次开发。</w:t>
      </w:r>
    </w:p>
    <w:p w14:paraId="58AAD2F6">
      <w:r>
        <w:rPr>
          <w:rFonts w:ascii="Calibri" w:hAnsi="Calibri" w:eastAsia="微软雅黑"/>
          <w:b/>
          <w:color w:val="203748"/>
        </w:rPr>
        <w:t>方案 B：国内风控 + 舆情组件 + 自建编排层（推荐）：</w:t>
      </w:r>
      <w:r>
        <w:rPr>
          <w:rFonts w:ascii="Calibri" w:hAnsi="Calibri" w:eastAsia="微软雅黑"/>
        </w:rPr>
        <w:t>适用于以中国电商渠道为主、需要把退款审核嵌入既有后台的组织。风险引擎、舆情与 OCR 均可替换；核心业务规则、审批、幂等和审计留在本系统。</w:t>
      </w:r>
    </w:p>
    <w:p w14:paraId="793768F4">
      <w:r>
        <w:rPr>
          <w:rFonts w:ascii="Calibri" w:hAnsi="Calibri" w:eastAsia="微软雅黑"/>
          <w:b/>
          <w:color w:val="203748"/>
        </w:rPr>
        <w:t>方案 C：完全自建：</w:t>
      </w:r>
      <w:r>
        <w:rPr>
          <w:rFonts w:ascii="Calibri" w:hAnsi="Calibri" w:eastAsia="微软雅黑"/>
        </w:rPr>
        <w:t>适用于数据规模大、反作弊特征差异显著、且已有算法/运营团队的组织。优点是控制力最强；缺点是冷启动数据、模型维护和对抗升级成本高，不建议在 MVP 阶段承担全部责任。</w:t>
      </w:r>
    </w:p>
    <w:tbl>
      <w:tblPr>
        <w:tblStyle w:val="33"/>
        <w:tblW w:w="9360" w:type="dxa"/>
        <w:tblInd w:w="120" w:type="dxa"/>
        <w:tblBorders>
          <w:top w:val="single" w:color="D9E0E8" w:sz="4" w:space="0"/>
          <w:left w:val="single" w:color="D9E0E8" w:sz="4" w:space="0"/>
          <w:bottom w:val="single" w:color="D9E0E8" w:sz="4" w:space="0"/>
          <w:right w:val="single" w:color="D9E0E8" w:sz="4" w:space="0"/>
          <w:insideH w:val="single" w:color="D9E0E8" w:sz="4" w:space="0"/>
          <w:insideV w:val="single" w:color="D9E0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520"/>
        <w:gridCol w:w="2520"/>
        <w:gridCol w:w="2520"/>
      </w:tblGrid>
      <w:tr w14:paraId="1D173265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02F9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评价维度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C284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A 单一海外平台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75F8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B 组合式方案（推荐）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F11C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C 完全自建</w:t>
            </w:r>
          </w:p>
        </w:tc>
      </w:tr>
      <w:tr w14:paraId="50DF952D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0F7E781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上线速度</w:t>
            </w:r>
          </w:p>
        </w:tc>
        <w:tc>
          <w:tcPr>
            <w:tcW w:w="2520" w:type="dxa"/>
          </w:tcPr>
          <w:p w14:paraId="6A8CEDF4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快</w:t>
            </w:r>
          </w:p>
        </w:tc>
        <w:tc>
          <w:tcPr>
            <w:tcW w:w="2520" w:type="dxa"/>
          </w:tcPr>
          <w:p w14:paraId="61977A54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中</w:t>
            </w:r>
          </w:p>
        </w:tc>
        <w:tc>
          <w:tcPr>
            <w:tcW w:w="2520" w:type="dxa"/>
          </w:tcPr>
          <w:p w14:paraId="5E9A4922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慢</w:t>
            </w:r>
          </w:p>
        </w:tc>
      </w:tr>
      <w:tr w14:paraId="1B0A5AF0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B953189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中国电商与中文证据适配</w:t>
            </w:r>
          </w:p>
        </w:tc>
        <w:tc>
          <w:tcPr>
            <w:tcW w:w="2520" w:type="dxa"/>
          </w:tcPr>
          <w:p w14:paraId="31502253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需验证</w:t>
            </w:r>
          </w:p>
        </w:tc>
        <w:tc>
          <w:tcPr>
            <w:tcW w:w="2520" w:type="dxa"/>
          </w:tcPr>
          <w:p w14:paraId="13D892C0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较强</w:t>
            </w:r>
          </w:p>
        </w:tc>
        <w:tc>
          <w:tcPr>
            <w:tcW w:w="2520" w:type="dxa"/>
          </w:tcPr>
          <w:p w14:paraId="6EBFFBBC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可定制</w:t>
            </w:r>
          </w:p>
        </w:tc>
      </w:tr>
      <w:tr w14:paraId="20888A64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662B746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退款工作流控制力</w:t>
            </w:r>
          </w:p>
        </w:tc>
        <w:tc>
          <w:tcPr>
            <w:tcW w:w="2520" w:type="dxa"/>
          </w:tcPr>
          <w:p w14:paraId="304910B2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中</w:t>
            </w:r>
          </w:p>
        </w:tc>
        <w:tc>
          <w:tcPr>
            <w:tcW w:w="2520" w:type="dxa"/>
          </w:tcPr>
          <w:p w14:paraId="64E58C4A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w="2520" w:type="dxa"/>
          </w:tcPr>
          <w:p w14:paraId="2DAC3753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</w:tr>
      <w:tr w14:paraId="0513F1CB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1FEB692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供应商锁定风险</w:t>
            </w:r>
          </w:p>
        </w:tc>
        <w:tc>
          <w:tcPr>
            <w:tcW w:w="2520" w:type="dxa"/>
          </w:tcPr>
          <w:p w14:paraId="2D862503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高</w:t>
            </w:r>
          </w:p>
        </w:tc>
        <w:tc>
          <w:tcPr>
            <w:tcW w:w="2520" w:type="dxa"/>
          </w:tcPr>
          <w:p w14:paraId="380E3066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中</w:t>
            </w:r>
          </w:p>
        </w:tc>
        <w:tc>
          <w:tcPr>
            <w:tcW w:w="2520" w:type="dxa"/>
          </w:tcPr>
          <w:p w14:paraId="06F8B225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低</w:t>
            </w:r>
          </w:p>
        </w:tc>
      </w:tr>
      <w:tr w14:paraId="3F79399F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514A80A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模型/运营成本</w:t>
            </w:r>
          </w:p>
        </w:tc>
        <w:tc>
          <w:tcPr>
            <w:tcW w:w="2520" w:type="dxa"/>
          </w:tcPr>
          <w:p w14:paraId="4BE89374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订阅与服务费</w:t>
            </w:r>
          </w:p>
        </w:tc>
        <w:tc>
          <w:tcPr>
            <w:tcW w:w="2520" w:type="dxa"/>
          </w:tcPr>
          <w:p w14:paraId="37301A35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集成与多供应商管理</w:t>
            </w:r>
          </w:p>
        </w:tc>
        <w:tc>
          <w:tcPr>
            <w:tcW w:w="2520" w:type="dxa"/>
          </w:tcPr>
          <w:p w14:paraId="6D35B407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长期研发与运营</w:t>
            </w:r>
          </w:p>
        </w:tc>
      </w:tr>
      <w:tr w14:paraId="1595F7F6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0B218D8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建议</w:t>
            </w:r>
          </w:p>
        </w:tc>
        <w:tc>
          <w:tcPr>
            <w:tcW w:w="2520" w:type="dxa"/>
          </w:tcPr>
          <w:p w14:paraId="719F0733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作为标杆或跨境候选</w:t>
            </w:r>
          </w:p>
        </w:tc>
        <w:tc>
          <w:tcPr>
            <w:tcW w:w="2520" w:type="dxa"/>
          </w:tcPr>
          <w:p w14:paraId="141F7F6A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优先进入 RFI/PoC</w:t>
            </w:r>
          </w:p>
        </w:tc>
        <w:tc>
          <w:tcPr>
            <w:tcW w:w="2520" w:type="dxa"/>
          </w:tcPr>
          <w:p w14:paraId="6D7C7A08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仅作为中长期路线</w:t>
            </w:r>
          </w:p>
        </w:tc>
      </w:tr>
    </w:tbl>
    <w:p w14:paraId="3471AA34">
      <w:r>
        <w:br w:type="page"/>
      </w:r>
    </w:p>
    <w:p w14:paraId="3F6BB371">
      <w:pPr>
        <w:pStyle w:val="3"/>
      </w:pPr>
      <w:r>
        <w:rPr>
          <w:rFonts w:ascii="Calibri" w:hAnsi="Calibri" w:eastAsia="微软雅黑"/>
        </w:rPr>
        <w:t>RFI（需求信息征集）问题清单</w:t>
      </w:r>
    </w:p>
    <w:p w14:paraId="2E18B764">
      <w:pPr>
        <w:pStyle w:val="165"/>
        <w:spacing w:before="80" w:after="80"/>
      </w:pPr>
      <w:r>
        <w:rPr>
          <w:rFonts w:ascii="Calibri" w:hAnsi="Calibri" w:eastAsia="微软雅黑"/>
        </w:rPr>
        <w:t>以下问题用于把“宣传能力”转成可验证的采购条款。建议要求厂商逐项标明：标准能力、配置能力、二开能力或不支持。</w:t>
      </w:r>
    </w:p>
    <w:tbl>
      <w:tblPr>
        <w:tblStyle w:val="33"/>
        <w:tblW w:w="9360" w:type="dxa"/>
        <w:tblInd w:w="120" w:type="dxa"/>
        <w:tblBorders>
          <w:top w:val="single" w:color="D9E0E8" w:sz="4" w:space="0"/>
          <w:left w:val="single" w:color="D9E0E8" w:sz="4" w:space="0"/>
          <w:bottom w:val="single" w:color="D9E0E8" w:sz="4" w:space="0"/>
          <w:right w:val="single" w:color="D9E0E8" w:sz="4" w:space="0"/>
          <w:insideH w:val="single" w:color="D9E0E8" w:sz="4" w:space="0"/>
          <w:insideV w:val="single" w:color="D9E0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5000"/>
        <w:gridCol w:w="2910"/>
      </w:tblGrid>
      <w:tr w14:paraId="177DB2D0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45D60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主题</w:t>
            </w:r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59D7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必须回答的问题</w:t>
            </w:r>
          </w:p>
        </w:tc>
        <w:tc>
          <w:tcPr>
            <w:tcW w:w="2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A673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验收证据</w:t>
            </w:r>
          </w:p>
        </w:tc>
      </w:tr>
      <w:tr w14:paraId="182D84B4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 w14:paraId="57D8BE46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退款/退货滥用</w:t>
            </w:r>
          </w:p>
        </w:tc>
        <w:tc>
          <w:tcPr>
            <w:tcW w:w="5000" w:type="dxa"/>
          </w:tcPr>
          <w:p w14:paraId="20CD6EF7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能否区分真实售后、策略套利、恶意退款、团伙刷单？是否已有电商退款案例？</w:t>
            </w:r>
          </w:p>
        </w:tc>
        <w:tc>
          <w:tcPr>
            <w:tcW w:w="2910" w:type="dxa"/>
          </w:tcPr>
          <w:p w14:paraId="4C406F75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按给定工单样本演示命中原因与复核路径</w:t>
            </w:r>
          </w:p>
        </w:tc>
      </w:tr>
      <w:tr w14:paraId="4E7CD342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 w14:paraId="03E27E6E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多模态证据</w:t>
            </w:r>
          </w:p>
        </w:tc>
        <w:tc>
          <w:tcPr>
            <w:tcW w:w="5000" w:type="dxa"/>
          </w:tcPr>
          <w:p w14:paraId="6A86DC3E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是否支持文本、图片、OCR 结构化字段和图文一致性？模型失败如何降级？</w:t>
            </w:r>
          </w:p>
        </w:tc>
        <w:tc>
          <w:tcPr>
            <w:tcW w:w="2910" w:type="dxa"/>
          </w:tcPr>
          <w:p w14:paraId="70F60868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错误/低置信度样本的输出与回退日志</w:t>
            </w:r>
          </w:p>
        </w:tc>
      </w:tr>
      <w:tr w14:paraId="3A88C671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 w14:paraId="3E53D9FC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规则与解释</w:t>
            </w:r>
          </w:p>
        </w:tc>
        <w:tc>
          <w:tcPr>
            <w:tcW w:w="5000" w:type="dxa"/>
          </w:tcPr>
          <w:p w14:paraId="5B9BA853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是否支持金额、履约、频率、黑白名单等确定性红线？每次评分能否返回原因码、特征摘要和模型版本？</w:t>
            </w:r>
          </w:p>
        </w:tc>
        <w:tc>
          <w:tcPr>
            <w:tcW w:w="2910" w:type="dxa"/>
          </w:tcPr>
          <w:p w14:paraId="04287EC5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接口响应、规则版本与审计记录</w:t>
            </w:r>
          </w:p>
        </w:tc>
      </w:tr>
      <w:tr w14:paraId="712F783D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 w14:paraId="25D7E8AA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人工审核</w:t>
            </w:r>
          </w:p>
        </w:tc>
        <w:tc>
          <w:tcPr>
            <w:tcW w:w="5000" w:type="dxa"/>
          </w:tcPr>
          <w:p w14:paraId="2D3F7915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是否支持队列、优先级、复核反馈、双人审批和审计？</w:t>
            </w:r>
          </w:p>
        </w:tc>
        <w:tc>
          <w:tcPr>
            <w:tcW w:w="2910" w:type="dxa"/>
          </w:tcPr>
          <w:p w14:paraId="5F5EA70E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端到端审批演示与权限模型说明</w:t>
            </w:r>
          </w:p>
        </w:tc>
      </w:tr>
      <w:tr w14:paraId="7673E383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 w14:paraId="4826D260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中国合规</w:t>
            </w:r>
          </w:p>
        </w:tc>
        <w:tc>
          <w:tcPr>
            <w:tcW w:w="5000" w:type="dxa"/>
          </w:tcPr>
          <w:p w14:paraId="772A3FBA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数据处理地点、子处理商、留存/删除、脱敏、跨境路径和安全认证为何？</w:t>
            </w:r>
          </w:p>
        </w:tc>
        <w:tc>
          <w:tcPr>
            <w:tcW w:w="2910" w:type="dxa"/>
          </w:tcPr>
          <w:p w14:paraId="5727F8F7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数据处理协议、架构图、合规清单</w:t>
            </w:r>
          </w:p>
        </w:tc>
      </w:tr>
      <w:tr w14:paraId="1243FC37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 w14:paraId="40D624CA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集成与可靠性</w:t>
            </w:r>
          </w:p>
        </w:tc>
        <w:tc>
          <w:tcPr>
            <w:tcW w:w="5000" w:type="dxa"/>
          </w:tcPr>
          <w:p w14:paraId="5AEA2F6D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是否有 REST/Webhook、幂等键、超时策略、限流、SLA 和故障回退？</w:t>
            </w:r>
          </w:p>
        </w:tc>
        <w:tc>
          <w:tcPr>
            <w:tcW w:w="2910" w:type="dxa"/>
          </w:tcPr>
          <w:p w14:paraId="2F42168A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API 文档、压测数据、故障演练记录</w:t>
            </w:r>
          </w:p>
        </w:tc>
      </w:tr>
      <w:tr w14:paraId="3AE5859D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 w14:paraId="6E50E459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商业模式</w:t>
            </w:r>
          </w:p>
        </w:tc>
        <w:tc>
          <w:tcPr>
            <w:tcW w:w="5000" w:type="dxa"/>
          </w:tcPr>
          <w:p w14:paraId="06AE72BE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按订单、按评分、按保障金额还是按年订阅计费？误判、拒付和服务边界如何定义？</w:t>
            </w:r>
          </w:p>
        </w:tc>
        <w:tc>
          <w:tcPr>
            <w:tcW w:w="2910" w:type="dxa"/>
          </w:tcPr>
          <w:p w14:paraId="43A83637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报价单、容量阶梯、退出与数据导出条款</w:t>
            </w:r>
          </w:p>
        </w:tc>
      </w:tr>
    </w:tbl>
    <w:p w14:paraId="59B03C48">
      <w:r>
        <w:br w:type="page"/>
      </w:r>
    </w:p>
    <w:p w14:paraId="4AAE0806">
      <w:pPr>
        <w:pStyle w:val="3"/>
      </w:pPr>
      <w:r>
        <w:rPr>
          <w:rFonts w:ascii="Calibri" w:hAnsi="Calibri" w:eastAsia="微软雅黑"/>
        </w:rPr>
        <w:t>PoC（概念验证）设计</w:t>
      </w:r>
    </w:p>
    <w:p w14:paraId="78776D3F">
      <w:r>
        <w:rPr>
          <w:rFonts w:ascii="Calibri" w:hAnsi="Calibri" w:eastAsia="微软雅黑"/>
          <w:b/>
          <w:color w:val="203748"/>
        </w:rPr>
        <w:t>样本设计：</w:t>
      </w:r>
      <w:r>
        <w:rPr>
          <w:rFonts w:ascii="Calibri" w:hAnsi="Calibri" w:eastAsia="微软雅黑"/>
        </w:rPr>
        <w:t>使用脱敏历史工单或合成样本，至少覆盖：正常退款、证据不足、疑似恶意退款、集中客诉事件、重复提交、图片低质量和 OCR 失败。样本标签由业务与风控共同复核，避免把历史人工决定直接当作真值。</w:t>
      </w:r>
    </w:p>
    <w:p w14:paraId="21C67C1E">
      <w:r>
        <w:rPr>
          <w:rFonts w:ascii="Calibri" w:hAnsi="Calibri" w:eastAsia="微软雅黑"/>
          <w:b/>
          <w:color w:val="203748"/>
        </w:rPr>
        <w:t>比较方式：</w:t>
      </w:r>
      <w:r>
        <w:rPr>
          <w:rFonts w:ascii="Calibri" w:hAnsi="Calibri" w:eastAsia="微软雅黑"/>
        </w:rPr>
        <w:t>同一批样本同时送入候选供应商与本系统基线规则；记录自动放行率、人工转入率、误放行、误拦截、原因码完整率、接口时延、失败回退和审核人员复核耗时。</w:t>
      </w:r>
    </w:p>
    <w:p w14:paraId="25D75949">
      <w:r>
        <w:rPr>
          <w:rFonts w:ascii="Calibri" w:hAnsi="Calibri" w:eastAsia="微软雅黑"/>
          <w:b/>
          <w:color w:val="203748"/>
        </w:rPr>
        <w:t>硬性门槛：</w:t>
      </w:r>
      <w:r>
        <w:rPr>
          <w:rFonts w:ascii="Calibri" w:hAnsi="Calibri" w:eastAsia="微软雅黑"/>
        </w:rPr>
        <w:t>所有硬规则命中时必须 100% 转人工或拒绝；模型超时、非法输出、证据低置信度时必须保守降级；每条自动决定必须能关联到规则/评分版本和输入摘要。</w:t>
      </w:r>
    </w:p>
    <w:p w14:paraId="77692F6C">
      <w:r>
        <w:rPr>
          <w:rFonts w:ascii="Calibri" w:hAnsi="Calibri" w:eastAsia="微软雅黑"/>
          <w:b/>
          <w:color w:val="203748"/>
        </w:rPr>
        <w:t>通过标准：</w:t>
      </w:r>
      <w:r>
        <w:rPr>
          <w:rFonts w:ascii="Calibri" w:hAnsi="Calibri" w:eastAsia="微软雅黑"/>
        </w:rPr>
        <w:t>不预设脱离业务基线的“准确率神话”。候选方应在相同安全门槛下，用可复算的结果证明：减少可安全自动处理的人工量、不过度增加误伤、并完整输出可审计理由。</w:t>
      </w:r>
    </w:p>
    <w:p w14:paraId="1534E632">
      <w:r>
        <w:rPr>
          <w:rFonts w:ascii="Calibri" w:hAnsi="Calibri" w:eastAsia="微软雅黑"/>
          <w:b/>
          <w:color w:val="203748"/>
        </w:rPr>
        <w:t>安全约束：</w:t>
      </w:r>
      <w:r>
        <w:rPr>
          <w:rFonts w:ascii="Calibri" w:hAnsi="Calibri" w:eastAsia="微软雅黑"/>
        </w:rPr>
        <w:t>PoC 不接真实支付接口；输入图片和文本先脱敏；使用独立测试租户与最小权限 API Key；删除策略、日志脱敏和数据回收写入 PoC 协议。</w:t>
      </w:r>
    </w:p>
    <w:tbl>
      <w:tblPr>
        <w:tblStyle w:val="32"/>
        <w:tblW w:w="9360" w:type="dxa"/>
        <w:tblInd w:w="120" w:type="dxa"/>
        <w:tblBorders>
          <w:top w:val="single" w:color="D9E0E8" w:sz="4" w:space="0"/>
          <w:left w:val="single" w:color="D9E0E8" w:sz="4" w:space="0"/>
          <w:bottom w:val="single" w:color="D9E0E8" w:sz="4" w:space="0"/>
          <w:right w:val="single" w:color="D9E0E8" w:sz="4" w:space="0"/>
          <w:insideH w:val="single" w:color="D9E0E8" w:sz="4" w:space="0"/>
          <w:insideV w:val="single" w:color="D9E0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FD45C03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3833">
            <w:pPr>
              <w:pStyle w:val="166"/>
            </w:pPr>
            <w:r>
              <w:rPr>
                <w:rFonts w:ascii="Calibri" w:hAnsi="Calibri" w:eastAsia="微软雅黑"/>
                <w:b/>
                <w:color w:val="203748"/>
              </w:rPr>
              <w:t xml:space="preserve">推荐决策门  </w:t>
            </w:r>
            <w:r>
              <w:rPr>
                <w:rFonts w:ascii="Calibri" w:hAnsi="Calibri" w:eastAsia="微软雅黑"/>
              </w:rPr>
              <w:t>先通过“安全与解释性”门，再比较效率。任何无法说明为什么自动放行、无法隔离数据或无法在异常时保守回退的产品，即使平均准确率较高，也不应进入生产自动退赔链路。</w:t>
            </w:r>
          </w:p>
        </w:tc>
      </w:tr>
    </w:tbl>
    <w:p w14:paraId="3C6EBA47">
      <w:r>
        <w:br w:type="page"/>
      </w:r>
    </w:p>
    <w:p w14:paraId="75A2FA3D">
      <w:pPr>
        <w:pStyle w:val="3"/>
      </w:pPr>
      <w:r>
        <w:rPr>
          <w:rFonts w:ascii="Calibri" w:hAnsi="Calibri" w:eastAsia="微软雅黑"/>
        </w:rPr>
        <w:t>建议的目标架构与推进节奏</w:t>
      </w:r>
    </w:p>
    <w:p w14:paraId="1AECF11D">
      <w:r>
        <w:rPr>
          <w:rFonts w:ascii="Calibri" w:hAnsi="Calibri" w:eastAsia="微软雅黑"/>
          <w:b/>
          <w:color w:val="203748"/>
        </w:rPr>
        <w:t>控制面：</w:t>
      </w:r>
      <w:r>
        <w:rPr>
          <w:rFonts w:ascii="Calibri" w:hAnsi="Calibri" w:eastAsia="微软雅黑"/>
        </w:rPr>
        <w:t>订单服务、退款规则、审批权限、审批锁、幂等键、状态机与审计日志由本系统掌控。它们决定是否允许自动退赔，不能外包给黑箱评分。</w:t>
      </w:r>
    </w:p>
    <w:p w14:paraId="6F6F75F2">
      <w:r>
        <w:rPr>
          <w:rFonts w:ascii="Calibri" w:hAnsi="Calibri" w:eastAsia="微软雅黑"/>
          <w:b/>
          <w:color w:val="203748"/>
        </w:rPr>
        <w:t>能力面：</w:t>
      </w:r>
      <w:r>
        <w:rPr>
          <w:rFonts w:ascii="Calibri" w:hAnsi="Calibri" w:eastAsia="微软雅黑"/>
        </w:rPr>
        <w:t>OCR、外部风控评分、舆情信号、图像安全、设备/账号风险等以异步或可超时调用的插件接入。单个供应商失败不得阻塞其他结果，且异常默认转人工。</w:t>
      </w:r>
    </w:p>
    <w:p w14:paraId="291423C9">
      <w:r>
        <w:rPr>
          <w:rFonts w:ascii="Calibri" w:hAnsi="Calibri" w:eastAsia="微软雅黑"/>
          <w:b/>
          <w:color w:val="203748"/>
        </w:rPr>
        <w:t>数据面：</w:t>
      </w:r>
      <w:r>
        <w:rPr>
          <w:rFonts w:ascii="Calibri" w:hAnsi="Calibri" w:eastAsia="微软雅黑"/>
        </w:rPr>
        <w:t>输入材料最小化、字段分级、脱敏传输、保存期限可配置。舆情只保留必要的聚合信号和来源摘要，不将原始投诉内容作为不受控提示词。</w:t>
      </w:r>
    </w:p>
    <w:p w14:paraId="4DE86135">
      <w:r>
        <w:rPr>
          <w:rFonts w:ascii="Calibri" w:hAnsi="Calibri" w:eastAsia="微软雅黑"/>
          <w:b/>
          <w:color w:val="203748"/>
        </w:rPr>
        <w:t>第 1 阶段：</w:t>
      </w:r>
      <w:r>
        <w:rPr>
          <w:rFonts w:ascii="Calibri" w:hAnsi="Calibri" w:eastAsia="微软雅黑"/>
        </w:rPr>
        <w:t>先完成 2 至 3 家国内组件和 1 家海外标杆的 RFI；明确数据本地化、场景覆盖和商务边界。</w:t>
      </w:r>
    </w:p>
    <w:p w14:paraId="4DB137F8">
      <w:r>
        <w:rPr>
          <w:rFonts w:ascii="Calibri" w:hAnsi="Calibri" w:eastAsia="微软雅黑"/>
          <w:b/>
          <w:color w:val="203748"/>
        </w:rPr>
        <w:t>第 2 阶段：</w:t>
      </w:r>
      <w:r>
        <w:rPr>
          <w:rFonts w:ascii="Calibri" w:hAnsi="Calibri" w:eastAsia="微软雅黑"/>
        </w:rPr>
        <w:t>选择 2 家进入隔离 PoC，以同一套退款样本和安全门槛运行；业务、风控、法务与技术共同签字。</w:t>
      </w:r>
    </w:p>
    <w:p w14:paraId="64EDA07F">
      <w:r>
        <w:rPr>
          <w:rFonts w:ascii="Calibri" w:hAnsi="Calibri" w:eastAsia="微软雅黑"/>
          <w:b/>
          <w:color w:val="203748"/>
        </w:rPr>
        <w:t>第 3 阶段：</w:t>
      </w:r>
      <w:r>
        <w:rPr>
          <w:rFonts w:ascii="Calibri" w:hAnsi="Calibri" w:eastAsia="微软雅黑"/>
        </w:rPr>
        <w:t>先灰度到“只给风险建议 + 人工审批”，通过稳定性、误伤率和审计抽检后，再把满足全部低风险条件的小额工单开放为自动处理。</w:t>
      </w:r>
    </w:p>
    <w:p w14:paraId="64B6F1FD">
      <w:r>
        <w:br w:type="page"/>
      </w:r>
    </w:p>
    <w:p w14:paraId="7B949F9F">
      <w:pPr>
        <w:pStyle w:val="3"/>
      </w:pPr>
      <w:r>
        <w:rPr>
          <w:rFonts w:ascii="Calibri" w:hAnsi="Calibri" w:eastAsia="微软雅黑"/>
        </w:rPr>
        <w:t>公开资料来源与使用说明</w:t>
      </w:r>
    </w:p>
    <w:p w14:paraId="00FAC798">
      <w:r>
        <w:rPr>
          <w:rFonts w:ascii="Calibri" w:hAnsi="Calibri" w:eastAsia="微软雅黑"/>
          <w:b/>
          <w:color w:val="203748"/>
        </w:rPr>
        <w:t>检索时间：</w:t>
      </w:r>
      <w:r>
        <w:rPr>
          <w:rFonts w:ascii="Calibri" w:hAnsi="Calibri" w:eastAsia="微软雅黑"/>
        </w:rPr>
        <w:t>2026 年 9 月 1 日。来源优先采用厂商官网的产品主页；由于部分官网受动态渲染、地区跳转或反爬保护影响，本报告不把未访问到的页面视为功能否定。</w:t>
      </w:r>
    </w:p>
    <w:tbl>
      <w:tblPr>
        <w:tblStyle w:val="33"/>
        <w:tblW w:w="9360" w:type="dxa"/>
        <w:tblInd w:w="120" w:type="dxa"/>
        <w:tblBorders>
          <w:top w:val="single" w:color="D9E0E8" w:sz="4" w:space="0"/>
          <w:left w:val="single" w:color="D9E0E8" w:sz="4" w:space="0"/>
          <w:bottom w:val="single" w:color="D9E0E8" w:sz="4" w:space="0"/>
          <w:right w:val="single" w:color="D9E0E8" w:sz="4" w:space="0"/>
          <w:insideH w:val="single" w:color="D9E0E8" w:sz="4" w:space="0"/>
          <w:insideV w:val="single" w:color="D9E0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4100"/>
        <w:gridCol w:w="3610"/>
      </w:tblGrid>
      <w:tr w14:paraId="3A65F5E3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B3D2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来源</w:t>
            </w:r>
          </w:p>
        </w:tc>
        <w:tc>
          <w:tcPr>
            <w:tcW w:w="4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044A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链接</w:t>
            </w:r>
          </w:p>
        </w:tc>
        <w:tc>
          <w:tcPr>
            <w:tcW w:w="3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F0E2">
            <w:pPr>
              <w:pStyle w:val="164"/>
              <w:jc w:val="center"/>
            </w:pPr>
            <w:r>
              <w:rPr>
                <w:rFonts w:ascii="Calibri" w:hAnsi="Calibri" w:eastAsia="微软雅黑"/>
                <w:b/>
                <w:color w:val="203748"/>
                <w:sz w:val="18"/>
              </w:rPr>
              <w:t>本报告中的用途</w:t>
            </w:r>
          </w:p>
        </w:tc>
      </w:tr>
      <w:tr w14:paraId="4FE4B587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260C73BB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Forter</w:t>
            </w:r>
          </w:p>
        </w:tc>
        <w:tc>
          <w:tcPr>
            <w:tcW w:w="4100" w:type="dxa"/>
          </w:tcPr>
          <w:p w14:paraId="5AA09301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https://www.forter.com/</w:t>
            </w:r>
          </w:p>
        </w:tc>
        <w:tc>
          <w:tcPr>
            <w:tcW w:w="3610" w:type="dxa"/>
          </w:tcPr>
          <w:p w14:paraId="551BE2F3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官网首页：数字商业信任与智能决策定位</w:t>
            </w:r>
          </w:p>
        </w:tc>
      </w:tr>
      <w:tr w14:paraId="01CAF68D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2DEC14D3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Riskified</w:t>
            </w:r>
          </w:p>
        </w:tc>
        <w:tc>
          <w:tcPr>
            <w:tcW w:w="4100" w:type="dxa"/>
          </w:tcPr>
          <w:p w14:paraId="0BF0EB02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https://www.riskified.com/</w:t>
            </w:r>
          </w:p>
        </w:tc>
        <w:tc>
          <w:tcPr>
            <w:tcW w:w="3610" w:type="dxa"/>
          </w:tcPr>
          <w:p w14:paraId="7C4C57B1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官网主页与解决方案页面：电商风险与策略保护（访问保护，需 RFI 核验）</w:t>
            </w:r>
          </w:p>
        </w:tc>
      </w:tr>
      <w:tr w14:paraId="7E188742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35563750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Signifyd</w:t>
            </w:r>
          </w:p>
        </w:tc>
        <w:tc>
          <w:tcPr>
            <w:tcW w:w="4100" w:type="dxa"/>
          </w:tcPr>
          <w:p w14:paraId="6BCAF09C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https://www.signifyd.com/</w:t>
            </w:r>
          </w:p>
        </w:tc>
        <w:tc>
          <w:tcPr>
            <w:tcW w:w="3610" w:type="dxa"/>
          </w:tcPr>
          <w:p w14:paraId="30116E94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官网主页：Commerce Protection 定位</w:t>
            </w:r>
          </w:p>
        </w:tc>
      </w:tr>
      <w:tr w14:paraId="2B66CD1A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5863735B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Sift</w:t>
            </w:r>
          </w:p>
        </w:tc>
        <w:tc>
          <w:tcPr>
            <w:tcW w:w="4100" w:type="dxa"/>
          </w:tcPr>
          <w:p w14:paraId="5F185CBD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https://sift.com/products/</w:t>
            </w:r>
          </w:p>
        </w:tc>
        <w:tc>
          <w:tcPr>
            <w:tcW w:w="3610" w:type="dxa"/>
          </w:tcPr>
          <w:p w14:paraId="01657379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产品页：Fraud Prevention Platform</w:t>
            </w:r>
          </w:p>
        </w:tc>
      </w:tr>
      <w:tr w14:paraId="53CF4CB5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52BD08E5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ClearSale</w:t>
            </w:r>
          </w:p>
        </w:tc>
        <w:tc>
          <w:tcPr>
            <w:tcW w:w="4100" w:type="dxa"/>
          </w:tcPr>
          <w:p w14:paraId="069DCF1B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https://clear.sale/</w:t>
            </w:r>
          </w:p>
        </w:tc>
        <w:tc>
          <w:tcPr>
            <w:tcW w:w="3610" w:type="dxa"/>
          </w:tcPr>
          <w:p w14:paraId="4CF306A0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官网主页：反欺诈与拒付保护</w:t>
            </w:r>
          </w:p>
        </w:tc>
      </w:tr>
      <w:tr w14:paraId="39972783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0BFEBC83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Stripe Radar</w:t>
            </w:r>
          </w:p>
        </w:tc>
        <w:tc>
          <w:tcPr>
            <w:tcW w:w="4100" w:type="dxa"/>
          </w:tcPr>
          <w:p w14:paraId="20F9A090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https://stripe.com/radar</w:t>
            </w:r>
          </w:p>
        </w:tc>
        <w:tc>
          <w:tcPr>
            <w:tcW w:w="3610" w:type="dxa"/>
          </w:tcPr>
          <w:p w14:paraId="7BF78D55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产品页：AI-powered Fraud Detection</w:t>
            </w:r>
          </w:p>
        </w:tc>
      </w:tr>
      <w:tr w14:paraId="7CA6E57E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6A9AD9C7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Adyen RevenueProtect</w:t>
            </w:r>
          </w:p>
        </w:tc>
        <w:tc>
          <w:tcPr>
            <w:tcW w:w="4100" w:type="dxa"/>
          </w:tcPr>
          <w:p w14:paraId="6A1041A9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https://www.adyen.com/risk-management</w:t>
            </w:r>
          </w:p>
        </w:tc>
        <w:tc>
          <w:tcPr>
            <w:tcW w:w="3610" w:type="dxa"/>
          </w:tcPr>
          <w:p w14:paraId="57BE7789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风险管理产品资料</w:t>
            </w:r>
          </w:p>
        </w:tc>
      </w:tr>
      <w:tr w14:paraId="55E6AB0F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29E45F38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数美科技</w:t>
            </w:r>
          </w:p>
        </w:tc>
        <w:tc>
          <w:tcPr>
            <w:tcW w:w="4100" w:type="dxa"/>
          </w:tcPr>
          <w:p w14:paraId="05339B8B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https://www.ishumei.com/</w:t>
            </w:r>
          </w:p>
        </w:tc>
        <w:tc>
          <w:tcPr>
            <w:tcW w:w="3610" w:type="dxa"/>
          </w:tcPr>
          <w:p w14:paraId="43C5895E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官网首页：内容安全与智能业务风控</w:t>
            </w:r>
          </w:p>
        </w:tc>
      </w:tr>
      <w:tr w14:paraId="458A5371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2A74181E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同盾</w:t>
            </w:r>
          </w:p>
        </w:tc>
        <w:tc>
          <w:tcPr>
            <w:tcW w:w="4100" w:type="dxa"/>
          </w:tcPr>
          <w:p w14:paraId="1103889B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https://www.tongdun.cn/</w:t>
            </w:r>
          </w:p>
        </w:tc>
        <w:tc>
          <w:tcPr>
            <w:tcW w:w="3610" w:type="dxa"/>
          </w:tcPr>
          <w:p w14:paraId="6CC8B89A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官网首页：智能分析、决策与欺诈风险预测</w:t>
            </w:r>
          </w:p>
        </w:tc>
      </w:tr>
      <w:tr w14:paraId="1998D575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3A88E812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百融智能</w:t>
            </w:r>
          </w:p>
        </w:tc>
        <w:tc>
          <w:tcPr>
            <w:tcW w:w="4100" w:type="dxa"/>
          </w:tcPr>
          <w:p w14:paraId="777E071A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https://www.brgroup.com/</w:t>
            </w:r>
          </w:p>
        </w:tc>
        <w:tc>
          <w:tcPr>
            <w:tcW w:w="3610" w:type="dxa"/>
          </w:tcPr>
          <w:p w14:paraId="12762BAF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官网主页：数据智能服务</w:t>
            </w:r>
          </w:p>
        </w:tc>
      </w:tr>
      <w:tr w14:paraId="54373007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43931913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蚁坊软件</w:t>
            </w:r>
          </w:p>
        </w:tc>
        <w:tc>
          <w:tcPr>
            <w:tcW w:w="4100" w:type="dxa"/>
          </w:tcPr>
          <w:p w14:paraId="3E07E734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https://www.eefung.com/</w:t>
            </w:r>
          </w:p>
        </w:tc>
        <w:tc>
          <w:tcPr>
            <w:tcW w:w="3610" w:type="dxa"/>
          </w:tcPr>
          <w:p w14:paraId="47F5B39B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官网首页：全网舆情监测与分析</w:t>
            </w:r>
          </w:p>
        </w:tc>
      </w:tr>
      <w:tr w14:paraId="7F7E31CE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1A788A7B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识微科技</w:t>
            </w:r>
          </w:p>
        </w:tc>
        <w:tc>
          <w:tcPr>
            <w:tcW w:w="4100" w:type="dxa"/>
          </w:tcPr>
          <w:p w14:paraId="552AF075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https://www.ciswei.com/</w:t>
            </w:r>
          </w:p>
        </w:tc>
        <w:tc>
          <w:tcPr>
            <w:tcW w:w="3610" w:type="dxa"/>
          </w:tcPr>
          <w:p w14:paraId="6AFB20D9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官网公开资料：舆情监测与预警</w:t>
            </w:r>
          </w:p>
        </w:tc>
      </w:tr>
      <w:tr w14:paraId="52EAF283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19C3BEE6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聚水潭</w:t>
            </w:r>
          </w:p>
        </w:tc>
        <w:tc>
          <w:tcPr>
            <w:tcW w:w="4100" w:type="dxa"/>
          </w:tcPr>
          <w:p w14:paraId="4F386EBF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https://www.jushuitan.com/</w:t>
            </w:r>
          </w:p>
        </w:tc>
        <w:tc>
          <w:tcPr>
            <w:tcW w:w="3610" w:type="dxa"/>
          </w:tcPr>
          <w:p w14:paraId="18E817FD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官网公开资料：电商业务数字化与订单流程</w:t>
            </w:r>
          </w:p>
        </w:tc>
      </w:tr>
      <w:tr w14:paraId="5BB2AFAC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6C97D21D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旺店通</w:t>
            </w:r>
          </w:p>
        </w:tc>
        <w:tc>
          <w:tcPr>
            <w:tcW w:w="4100" w:type="dxa"/>
          </w:tcPr>
          <w:p w14:paraId="2B40B204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https://www.wangdian.cn/</w:t>
            </w:r>
          </w:p>
        </w:tc>
        <w:tc>
          <w:tcPr>
            <w:tcW w:w="3610" w:type="dxa"/>
          </w:tcPr>
          <w:p w14:paraId="783B838F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官网公开资料：电商 ERP/订单与售后流程</w:t>
            </w:r>
          </w:p>
        </w:tc>
      </w:tr>
      <w:tr w14:paraId="7193AFC7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11117949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Loop Returns</w:t>
            </w:r>
          </w:p>
        </w:tc>
        <w:tc>
          <w:tcPr>
            <w:tcW w:w="4100" w:type="dxa"/>
          </w:tcPr>
          <w:p w14:paraId="5459C05C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https://www.loopreturns.com/</w:t>
            </w:r>
          </w:p>
        </w:tc>
        <w:tc>
          <w:tcPr>
            <w:tcW w:w="3610" w:type="dxa"/>
          </w:tcPr>
          <w:p w14:paraId="24FDBE76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退货与换货体验的相邻国际参考</w:t>
            </w:r>
          </w:p>
        </w:tc>
      </w:tr>
      <w:tr w14:paraId="4EEA05F7">
        <w:tblPrEx>
          <w:tblBorders>
            <w:top w:val="single" w:color="D9E0E8" w:sz="4" w:space="0"/>
            <w:left w:val="single" w:color="D9E0E8" w:sz="4" w:space="0"/>
            <w:bottom w:val="single" w:color="D9E0E8" w:sz="4" w:space="0"/>
            <w:right w:val="single" w:color="D9E0E8" w:sz="4" w:space="0"/>
            <w:insideH w:val="single" w:color="D9E0E8" w:sz="4" w:space="0"/>
            <w:insideV w:val="single" w:color="D9E0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7EC41933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Narvar</w:t>
            </w:r>
          </w:p>
        </w:tc>
        <w:tc>
          <w:tcPr>
            <w:tcW w:w="4100" w:type="dxa"/>
          </w:tcPr>
          <w:p w14:paraId="00C7D0CC">
            <w:pPr>
              <w:pStyle w:val="164"/>
              <w:jc w:val="center"/>
            </w:pPr>
            <w:r>
              <w:rPr>
                <w:rFonts w:ascii="Calibri" w:hAnsi="Calibri" w:eastAsia="微软雅黑"/>
                <w:sz w:val="18"/>
              </w:rPr>
              <w:t>https://corp.narvar.com/</w:t>
            </w:r>
          </w:p>
        </w:tc>
        <w:tc>
          <w:tcPr>
            <w:tcW w:w="3610" w:type="dxa"/>
          </w:tcPr>
          <w:p w14:paraId="199E99B0">
            <w:pPr>
              <w:pStyle w:val="164"/>
            </w:pPr>
            <w:r>
              <w:rPr>
                <w:rFonts w:ascii="Calibri" w:hAnsi="Calibri" w:eastAsia="微软雅黑"/>
                <w:sz w:val="18"/>
              </w:rPr>
              <w:t>退货、履约与客户体验的相邻国际参考</w:t>
            </w:r>
          </w:p>
        </w:tc>
      </w:tr>
    </w:tbl>
    <w:p w14:paraId="1E5441EB">
      <w:pPr>
        <w:pStyle w:val="165"/>
        <w:spacing w:before="80" w:after="80"/>
      </w:pPr>
      <w:r>
        <w:rPr>
          <w:rFonts w:ascii="Calibri" w:hAnsi="Calibri" w:eastAsia="微软雅黑"/>
        </w:rPr>
        <w:t>引用方式：本报告仅据公开资料描述公开定位，不推断未披露功能。采购决策应以签署后的产品说明、RFI 回复、PoC 结果、数据处理协议和 SLA 为准。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978F0">
    <w:pPr>
      <w:pStyle w:val="24"/>
      <w:jc w:val="right"/>
    </w:pPr>
    <w:r>
      <w:rPr>
        <w:rFonts w:ascii="Calibri" w:hAnsi="Calibri" w:eastAsia="微软雅黑"/>
        <w:color w:val="5B6573"/>
        <w:sz w:val="17"/>
      </w:rPr>
      <w:t xml:space="preserve">公开资料初筛版｜2026-09-01｜第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微软雅黑"/>
        <w:color w:val="5B6573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6736C">
    <w:pPr>
      <w:pStyle w:val="25"/>
      <w:jc w:val="left"/>
    </w:pPr>
    <w:r>
      <w:rPr>
        <w:rFonts w:ascii="Calibri" w:hAnsi="Calibri" w:eastAsia="微软雅黑"/>
        <w:color w:val="5B6573"/>
        <w:sz w:val="17"/>
      </w:rPr>
      <w:t>电商客诉舆情退赔决策系统｜采购前行业调研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0D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Text"/>
    <w:basedOn w:val="1"/>
    <w:uiPriority w:val="0"/>
    <w:pPr>
      <w:spacing w:after="0" w:line="252" w:lineRule="auto"/>
    </w:pPr>
    <w:rPr>
      <w:sz w:val="18"/>
    </w:rPr>
  </w:style>
  <w:style w:type="paragraph" w:customStyle="1" w:styleId="165">
    <w:name w:val="Small Text"/>
    <w:basedOn w:val="1"/>
    <w:uiPriority w:val="0"/>
    <w:pPr>
      <w:spacing w:after="60"/>
    </w:pPr>
    <w:rPr>
      <w:color w:val="5B6573"/>
      <w:sz w:val="18"/>
    </w:rPr>
  </w:style>
  <w:style w:type="paragraph" w:customStyle="1" w:styleId="166">
    <w:name w:val="Callout"/>
    <w:basedOn w:val="1"/>
    <w:uiPriority w:val="0"/>
    <w:pPr>
      <w:spacing w:after="0" w:line="276" w:lineRule="auto"/>
    </w:pPr>
    <w:rPr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367</Words>
  <Characters>376</Characters>
  <Lines>0</Lines>
  <Paragraphs>0</Paragraphs>
  <TotalTime>97</TotalTime>
  <ScaleCrop>false</ScaleCrop>
  <LinksUpToDate>false</LinksUpToDate>
  <CharactersWithSpaces>387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项目调研组</dc:creator>
  <dc:description>公开资料初筛版</dc:description>
  <cp:lastModifiedBy>岑寂</cp:lastModifiedBy>
  <dcterms:modified xsi:type="dcterms:W3CDTF">2026-09-01T04:11:05Z</dcterms:modified>
  <dc:subject>采购前行业与竞品调研</dc:subject>
  <dc:title>电商客诉舆情退赔决策系统竞品调研报告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eyJoZGlkIjoiMDUxMWU2NGU0ZGRmYWZmNjY4ZGY0NWZjM2YxNDI1Y2EiLCJ1c2VySWQiOiIxMjY1OTAwMzg5In0=</vt:lpwstr>
  </property>
  <property fmtid="{D5CDD505-2E9C-101B-9397-08002B2CF9AE}" pid="3" name="KSOProductBuildVer">
    <vt:lpwstr>2052-12.1.0.28505</vt:lpwstr>
  </property>
  <property fmtid="{D5CDD505-2E9C-101B-9397-08002B2CF9AE}" pid="4" name="ICV">
    <vt:lpwstr>76F9A9B5B8F84B41B6285888F81E71A9_12</vt:lpwstr>
  </property>
</Properties>
</file>