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/>
        <w:autoSpaceDN/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sz w:val="36"/>
          <w:szCs w:val="32"/>
          <w:lang w:val="en-US" w:bidi="ar-SA"/>
        </w:rPr>
      </w:pPr>
      <w:r>
        <w:rPr>
          <w:rFonts w:hint="eastAsia" w:ascii="Times New Roman" w:hAnsi="Times New Roman" w:cs="Times New Roman"/>
          <w:b/>
          <w:color w:val="000000" w:themeColor="text1"/>
          <w:sz w:val="36"/>
          <w:szCs w:val="36"/>
          <w:lang w:val="en-US" w:bidi="ar-SA"/>
        </w:rPr>
        <w:t>基于铁死亡相关基因探究糖尿病视网膜病变诊断标志</w:t>
      </w:r>
      <w:r>
        <w:rPr>
          <w:rFonts w:hint="eastAsia" w:ascii="Times New Roman" w:hAnsi="Times New Roman" w:cs="Times New Roman"/>
          <w:b/>
          <w:sz w:val="36"/>
          <w:szCs w:val="32"/>
          <w:lang w:val="en-US" w:bidi="ar-SA"/>
        </w:rPr>
        <w:t>物及其转录调控机制</w:t>
      </w:r>
    </w:p>
    <w:p>
      <w:pPr>
        <w:pStyle w:val="2"/>
        <w:keepNext/>
        <w:keepLines/>
        <w:numPr>
          <w:ilvl w:val="0"/>
          <w:numId w:val="2"/>
        </w:numPr>
        <w:autoSpaceDE/>
        <w:autoSpaceDN/>
        <w:adjustRightInd w:val="0"/>
        <w:snapToGrid w:val="0"/>
        <w:spacing w:line="360" w:lineRule="auto"/>
        <w:rPr>
          <w:rFonts w:ascii="Times New Roman" w:hAnsi="Times New Roman" w:cs="Times New Roman"/>
          <w:sz w:val="36"/>
          <w:szCs w:val="32"/>
          <w:lang w:val="en-US" w:bidi="ar-SA"/>
        </w:rPr>
      </w:pPr>
      <w:r>
        <w:rPr>
          <w:rFonts w:ascii="Times New Roman" w:hAnsi="Times New Roman" w:cs="Times New Roman"/>
          <w:sz w:val="36"/>
          <w:szCs w:val="32"/>
          <w:lang w:val="en-US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1311910</wp:posOffset>
            </wp:positionH>
            <wp:positionV relativeFrom="paragraph">
              <wp:posOffset>356235</wp:posOffset>
            </wp:positionV>
            <wp:extent cx="5265420" cy="60121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2"/>
          <w:lang w:val="en-US" w:bidi="ar-SA"/>
        </w:rPr>
        <w:t>分析流程图</w:t>
      </w:r>
    </w:p>
    <w:p>
      <w:pPr>
        <w:pStyle w:val="6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6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6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6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6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6"/>
        <w:spacing w:before="4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rPr>
          <w:rFonts w:ascii="Times New Roman" w:hAnsi="Times New Roman" w:cs="Times New Roman"/>
          <w:b/>
          <w:sz w:val="36"/>
          <w:szCs w:val="32"/>
          <w:lang w:val="en-US" w:bidi="ar-SA"/>
        </w:rPr>
        <w:sectPr>
          <w:type w:val="continuous"/>
          <w:pgSz w:w="11910" w:h="16840"/>
          <w:pgMar w:top="1400" w:right="1580" w:bottom="280" w:left="1680" w:header="720" w:footer="720" w:gutter="0"/>
          <w:cols w:space="720" w:num="1"/>
        </w:sectPr>
      </w:pPr>
    </w:p>
    <w:p>
      <w:pPr>
        <w:widowControl/>
        <w:spacing w:line="360" w:lineRule="auto"/>
        <w:rPr>
          <w:rFonts w:ascii="Times New Roman" w:hAnsi="Times New Roman" w:cs="Times New Roman"/>
          <w:b/>
          <w:sz w:val="36"/>
          <w:szCs w:val="32"/>
          <w:lang w:val="en-US" w:bidi="ar-SA"/>
        </w:rPr>
      </w:pPr>
      <w:r>
        <w:rPr>
          <w:rFonts w:ascii="Times New Roman" w:hAnsi="Times New Roman" w:cs="Times New Roman"/>
          <w:b/>
          <w:sz w:val="36"/>
          <w:szCs w:val="32"/>
          <w:lang w:val="en-US" w:bidi="ar-SA"/>
        </w:rPr>
        <w:t xml:space="preserve">2 </w:t>
      </w:r>
      <w:r>
        <w:rPr>
          <w:rFonts w:hint="eastAsia" w:ascii="Times New Roman" w:hAnsi="Times New Roman" w:cs="Times New Roman"/>
          <w:b/>
          <w:sz w:val="36"/>
          <w:szCs w:val="32"/>
          <w:lang w:val="en-US" w:bidi="ar-SA"/>
        </w:rPr>
        <w:t>、数据和方法</w:t>
      </w:r>
    </w:p>
    <w:p>
      <w:pPr>
        <w:pStyle w:val="14"/>
        <w:numPr>
          <w:ilvl w:val="1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数据简介</w:t>
      </w:r>
    </w:p>
    <w:p>
      <w:pPr>
        <w:widowControl/>
        <w:autoSpaceDE/>
        <w:autoSpaceDN/>
        <w:adjustRightInd w:val="0"/>
        <w:snapToGrid w:val="0"/>
        <w:spacing w:after="120" w:line="360" w:lineRule="auto"/>
        <w:ind w:firstLine="480" w:firstLineChars="200"/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首先从Gene Expression Omnibus (</w:t>
      </w:r>
      <w:r>
        <w:fldChar w:fldCharType="begin"/>
      </w:r>
      <w:r>
        <w:instrText xml:space="preserve"> HYPERLINK "https://www.ncbi.nlm.nih.gov/geo/query/acc.cgi" </w:instrText>
      </w:r>
      <w:r>
        <w:fldChar w:fldCharType="separate"/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https://www.ncbi.nlm.nih.gov/geo/query/acc.cgi</w:t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fldChar w:fldCharType="end"/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)搜索并从中下载相应的数据。</w:t>
      </w: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hint="eastAsia" w:ascii="Times New Roman" w:hAnsi="Times New Roman" w:cs="Times New Roman"/>
          <w:b/>
          <w:sz w:val="32"/>
          <w:szCs w:val="32"/>
        </w:rPr>
        <w:t>2.2、差异表达分析</w:t>
      </w:r>
    </w:p>
    <w:p>
      <w:pPr>
        <w:pStyle w:val="14"/>
        <w:adjustRightInd w:val="0"/>
        <w:snapToGrid w:val="0"/>
        <w:spacing w:line="360" w:lineRule="auto"/>
        <w:ind w:left="0" w:firstLine="480" w:firstLineChars="200"/>
        <w:outlineLvl w:val="1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利用edgeR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[1]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包进行差异表达分析，然后根据相应的参数分别筛选出（DR vs Ctrl; DM vs Ctrl）组间共有的差异表达基因。</w:t>
      </w:r>
    </w:p>
    <w:p>
      <w:pPr>
        <w:pStyle w:val="14"/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2.3、</w:t>
      </w:r>
      <w:r>
        <w:rPr>
          <w:rFonts w:hint="eastAsia" w:ascii="Times New Roman" w:hAnsi="Times New Roman" w:cs="Times New Roman"/>
          <w:b/>
          <w:sz w:val="32"/>
          <w:szCs w:val="32"/>
        </w:rPr>
        <w:t>基因共表达分析</w:t>
      </w:r>
    </w:p>
    <w:p>
      <w:pPr>
        <w:spacing w:line="360" w:lineRule="auto"/>
        <w:ind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WGCNA（weighted gene co-expression network analysis，权重基因共表达网络分析）是一种分析多个样本基因表达模式的分析方法，可将表达模式相似的基因进行聚类，并分析模块与特定性状或表型之间的关联关系。这里首先选取表达值差异较大的基因，然后利用R包WGCNA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[2]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进行共表达分析，并挑选表型相关性最高的模块。然后根据选定模块里基因共表达网络中基因间的相关性筛选出hub基因。</w:t>
      </w: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2.4、</w:t>
      </w:r>
      <w:r>
        <w:rPr>
          <w:rFonts w:hint="eastAsia" w:ascii="Times New Roman" w:hAnsi="Times New Roman" w:cs="Times New Roman"/>
          <w:b/>
          <w:sz w:val="32"/>
          <w:szCs w:val="32"/>
        </w:rPr>
        <w:t>基因功能富集分析</w:t>
      </w:r>
    </w:p>
    <w:p>
      <w:pPr>
        <w:spacing w:line="360" w:lineRule="auto"/>
        <w:ind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基于Gene Ontology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[3]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数据库，以及KEGG PATHWAY DATABASE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[4]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生物化学通路的数据库，对候选基因进行了功能富集分析。利用统计学算法（Fisher’s exact test）来找出一组基因和哪些具体的功能条目联系最大，分析结果中每个条目都对应一个统计值P-value来表示显著性。</w:t>
      </w:r>
    </w:p>
    <w:p>
      <w:pPr>
        <w:pStyle w:val="14"/>
        <w:adjustRightInd w:val="0"/>
        <w:snapToGrid w:val="0"/>
        <w:spacing w:line="360" w:lineRule="auto"/>
        <w:ind w:left="0" w:firstLine="0"/>
        <w:outlineLvl w:val="1"/>
        <w:rPr>
          <w:rFonts w:ascii="Times New Roman" w:hAnsi="Times New Roman" w:cs="Times New Roman" w:eastAsiaTheme="minorEastAsia"/>
          <w:b/>
          <w:sz w:val="32"/>
          <w:szCs w:val="32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2.5、</w:t>
      </w:r>
      <w:r>
        <w:rPr>
          <w:rFonts w:ascii="Times New Roman" w:hAnsi="Times New Roman" w:cs="Times New Roman" w:eastAsiaTheme="minorEastAsia"/>
          <w:b/>
          <w:sz w:val="32"/>
          <w:szCs w:val="32"/>
        </w:rPr>
        <w:t>s</w:t>
      </w:r>
      <w:r>
        <w:rPr>
          <w:rFonts w:hint="eastAsia" w:ascii="Times New Roman" w:hAnsi="Times New Roman" w:cs="Times New Roman" w:eastAsiaTheme="minorEastAsia"/>
          <w:b/>
          <w:sz w:val="32"/>
          <w:szCs w:val="32"/>
        </w:rPr>
        <w:t>s</w:t>
      </w:r>
      <w:r>
        <w:rPr>
          <w:rFonts w:ascii="Times New Roman" w:hAnsi="Times New Roman" w:cs="Times New Roman" w:eastAsiaTheme="minorEastAsia"/>
          <w:b/>
          <w:sz w:val="32"/>
          <w:szCs w:val="32"/>
        </w:rPr>
        <w:t>GSEA</w:t>
      </w:r>
      <w:r>
        <w:rPr>
          <w:rFonts w:hint="eastAsia" w:ascii="Times New Roman" w:hAnsi="Times New Roman" w:cs="Times New Roman" w:eastAsiaTheme="minorEastAsia"/>
          <w:b/>
          <w:sz w:val="32"/>
          <w:szCs w:val="32"/>
        </w:rPr>
        <w:t>分析</w:t>
      </w:r>
    </w:p>
    <w:p>
      <w:pPr>
        <w:pStyle w:val="6"/>
        <w:spacing w:line="360" w:lineRule="auto"/>
        <w:ind w:right="168"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</w:rPr>
        <w:t>这里根据</w:t>
      </w:r>
      <w:r>
        <w:rPr>
          <w:rStyle w:val="17"/>
          <w:rFonts w:hint="eastAsia"/>
        </w:rPr>
        <w:t>各基因表达量及相应基因集，利用GSVA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fldChar w:fldCharType="begin"/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instrText xml:space="preserve"> ADDIN EN.CITE &lt;EndNote&gt;&lt;Cite&gt;&lt;Author&gt;Hänzelmann&lt;/Author&gt;&lt;Year&gt;2013&lt;/Year&gt;&lt;RecNum&gt;104&lt;/RecNum&gt;&lt;DisplayText&gt;&lt;style face="superscript"&gt;[1]&lt;/style&gt;&lt;/DisplayText&gt;&lt;record&gt;&lt;rec-number&gt;104&lt;/rec-number&gt;&lt;foreign-keys&gt;&lt;key app="EN" db-id="9z0fzata9f0zfie2svm5evsbd2wst59p0sr9" timestamp="1630290992"&gt;104&lt;/key&gt;&lt;/foreign-keys&gt;&lt;ref-type name="Journal Article"&gt;17&lt;/ref-type&gt;&lt;contributors&gt;&lt;authors&gt;&lt;author&gt;Hänzelmann, Sonja&lt;/author&gt;&lt;author&gt;Castelo, Robert&lt;/author&gt;&lt;author&gt;Guinney, Justin&lt;/author&gt;&lt;/authors&gt;&lt;/contributors&gt;&lt;titles&gt;&lt;title&gt;GSVA: gene set variation analysis for microarray and RNA-Seq data&lt;/title&gt;&lt;secondary-title&gt;BMC Bioinformatics&lt;/secondary-title&gt;&lt;/titles&gt;&lt;periodical&gt;&lt;full-title&gt;BMC Bioinformatics&lt;/full-title&gt;&lt;/periodical&gt;&lt;pages&gt;7&lt;/pages&gt;&lt;volume&gt;14&lt;/volume&gt;&lt;number&gt;1&lt;/number&gt;&lt;dates&gt;&lt;year&gt;2013&lt;/year&gt;&lt;pub-dates&gt;&lt;date&gt;2013/01/16&lt;/date&gt;&lt;/pub-dates&gt;&lt;/dates&gt;&lt;isbn&gt;1471-2105&lt;/isbn&gt;&lt;urls&gt;&lt;related-urls&gt;&lt;url&gt;https://doi.org/10.1186/1471-2105-14-7&lt;/url&gt;&lt;/related-urls&gt;&lt;/urls&gt;&lt;electronic-resource-num&gt;10.1186/1471-2105-14-7&lt;/electronic-resource-num&gt;&lt;/record&gt;&lt;/Cite&gt;&lt;/EndNote&gt;</w:instrTex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fldChar w:fldCharType="separate"/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[5]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fldChar w:fldCharType="end"/>
      </w:r>
      <w:r>
        <w:rPr>
          <w:rStyle w:val="17"/>
          <w:rFonts w:hint="eastAsia"/>
        </w:rPr>
        <w:t>包中的ssgsea法进行富集分析。最终得到各样本对应各基因集的ss</w:t>
      </w:r>
      <w:r>
        <w:rPr>
          <w:rStyle w:val="17"/>
        </w:rPr>
        <w:t>GSEA</w:t>
      </w:r>
      <w:r>
        <w:rPr>
          <w:rStyle w:val="17"/>
          <w:rFonts w:hint="eastAsia"/>
        </w:rPr>
        <w:t>得分</w:t>
      </w:r>
    </w:p>
    <w:p>
      <w:pPr>
        <w:pStyle w:val="6"/>
        <w:spacing w:line="360" w:lineRule="auto"/>
        <w:ind w:right="168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2.6、Lasso COX回归模型构建</w:t>
      </w:r>
    </w:p>
    <w:p>
      <w:pPr>
        <w:pStyle w:val="6"/>
        <w:spacing w:line="360" w:lineRule="auto"/>
        <w:ind w:right="168"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利用R包glmnet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 xml:space="preserve"> [6]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构建lasso回归模型（COX）。并根据构建得到的模型，预测各样本对应的Risk值。</w:t>
      </w:r>
    </w:p>
    <w:p>
      <w:pPr>
        <w:pStyle w:val="3"/>
        <w:numPr>
          <w:ilvl w:val="1"/>
          <w:numId w:val="0"/>
        </w:numPr>
        <w:adjustRightInd w:val="0"/>
        <w:snapToGrid w:val="0"/>
        <w:spacing w:line="360" w:lineRule="auto"/>
        <w:rPr>
          <w:rFonts w:ascii="Times New Roman" w:hAnsi="Times New Roman" w:eastAsia="宋体" w:cs="Times New Roman"/>
          <w:sz w:val="32"/>
          <w:szCs w:val="32"/>
          <w:lang w:val="en-US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/>
        </w:rPr>
        <w:t>2.7、ROC分析</w:t>
      </w:r>
    </w:p>
    <w:p>
      <w:pPr>
        <w:widowControl/>
        <w:adjustRightInd w:val="0"/>
        <w:snapToGrid w:val="0"/>
        <w:spacing w:line="360" w:lineRule="auto"/>
        <w:ind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利用pROC包进行ROC分析。</w:t>
      </w: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2.8、miRNA预测</w:t>
      </w:r>
    </w:p>
    <w:p>
      <w:pPr>
        <w:widowControl/>
        <w:adjustRightInd w:val="0"/>
        <w:snapToGrid w:val="0"/>
        <w:spacing w:line="360" w:lineRule="auto"/>
        <w:ind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根据miRNA与mRNA结合数据库（miRMap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[7]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、miRanda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[8]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、miRDB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[9]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、TargetScan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[10]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及miTarBase</w:t>
      </w:r>
      <w:r>
        <w:rPr>
          <w:rStyle w:val="17"/>
          <w:rFonts w:hint="eastAsia" w:ascii="Times New Roman" w:hAnsi="Times New Roman" w:cs="Times New Roman" w:eastAsiaTheme="minorEastAsia"/>
          <w:vertAlign w:val="superscript"/>
          <w:lang w:val="en-US" w:bidi="ar-SA"/>
        </w:rPr>
        <w:t>[11]</w:t>
      </w: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）找出候选基因对应的miRNA。</w:t>
      </w: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2.9、转录因子预测</w:t>
      </w:r>
    </w:p>
    <w:p>
      <w:pPr>
        <w:widowControl/>
        <w:adjustRightInd w:val="0"/>
        <w:snapToGrid w:val="0"/>
        <w:spacing w:line="360" w:lineRule="auto"/>
        <w:ind w:firstLine="480" w:firstLineChars="200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根据数据库（ChEA、ENCODE、hTFtarget、TRANSFAC和TRRUST）中基因与转录因子（TF）的关系找出候选基因对应的转录因子。</w:t>
      </w: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2.10、lncRNA预测</w:t>
      </w:r>
    </w:p>
    <w:p>
      <w:pPr>
        <w:pStyle w:val="14"/>
        <w:adjustRightInd w:val="0"/>
        <w:snapToGrid w:val="0"/>
        <w:spacing w:line="360" w:lineRule="auto"/>
        <w:ind w:left="0" w:firstLine="480" w:firstLineChars="20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  <w:r>
        <w:rPr>
          <w:rFonts w:eastAsiaTheme="minorEastAsia"/>
          <w:sz w:val="24"/>
          <w:lang w:val="en-US"/>
        </w:rPr>
        <w:t>根据ENCORI（</w:t>
      </w:r>
      <w:bookmarkStart w:id="0" w:name="OLE_LINK1"/>
      <w:r>
        <w:rPr>
          <w:rFonts w:eastAsiaTheme="minorEastAsia"/>
          <w:sz w:val="24"/>
          <w:lang w:val="en-US"/>
        </w:rPr>
        <w:t>https://starbase.sysu.edu.cn/</w:t>
      </w:r>
      <w:bookmarkEnd w:id="0"/>
      <w:r>
        <w:rPr>
          <w:rFonts w:eastAsiaTheme="minorEastAsia"/>
          <w:sz w:val="24"/>
          <w:lang w:val="en-US"/>
        </w:rPr>
        <w:t>）结合数据库找出候选基因对应的lncRNA。</w:t>
      </w: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/>
        </w:rPr>
      </w:pPr>
    </w:p>
    <w:p>
      <w:pPr>
        <w:pStyle w:val="14"/>
        <w:widowControl/>
        <w:autoSpaceDE/>
        <w:autoSpaceDN/>
        <w:adjustRightInd w:val="0"/>
        <w:snapToGrid w:val="0"/>
        <w:spacing w:after="120"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 w:bidi="ar-SA"/>
        </w:rPr>
      </w:pPr>
    </w:p>
    <w:p>
      <w:pPr>
        <w:pStyle w:val="14"/>
        <w:widowControl/>
        <w:autoSpaceDE/>
        <w:autoSpaceDN/>
        <w:adjustRightInd w:val="0"/>
        <w:snapToGrid w:val="0"/>
        <w:spacing w:after="120" w:line="360" w:lineRule="auto"/>
        <w:ind w:left="0" w:firstLine="0"/>
        <w:outlineLvl w:val="0"/>
        <w:rPr>
          <w:rFonts w:ascii="Times New Roman" w:hAnsi="Times New Roman" w:cs="Times New Roman"/>
          <w:b/>
          <w:sz w:val="36"/>
          <w:szCs w:val="32"/>
          <w:lang w:val="en-US" w:bidi="ar-SA"/>
        </w:rPr>
      </w:pPr>
      <w:r>
        <w:rPr>
          <w:rFonts w:hint="eastAsia" w:ascii="Times New Roman" w:hAnsi="Times New Roman" w:cs="Times New Roman"/>
          <w:b/>
          <w:sz w:val="36"/>
          <w:szCs w:val="32"/>
          <w:lang w:val="en-US" w:bidi="ar-SA"/>
        </w:rPr>
        <w:t>3、</w:t>
      </w:r>
      <w:r>
        <w:rPr>
          <w:rFonts w:ascii="Times New Roman" w:hAnsi="Times New Roman" w:cs="Times New Roman"/>
          <w:b/>
          <w:sz w:val="36"/>
          <w:szCs w:val="32"/>
          <w:lang w:val="en-US" w:bidi="ar-SA"/>
        </w:rPr>
        <w:t>分析结果</w:t>
      </w:r>
    </w:p>
    <w:p>
      <w:pPr>
        <w:pStyle w:val="14"/>
        <w:keepNext/>
        <w:keepLines/>
        <w:numPr>
          <w:ilvl w:val="0"/>
          <w:numId w:val="1"/>
        </w:numPr>
        <w:spacing w:before="240" w:line="360" w:lineRule="auto"/>
        <w:outlineLvl w:val="0"/>
        <w:rPr>
          <w:rFonts w:asciiTheme="majorHAnsi" w:hAnsiTheme="majorHAnsi" w:eastAsiaTheme="majorEastAsia" w:cstheme="majorBidi"/>
          <w:vanish/>
          <w:color w:val="366091" w:themeColor="accent1" w:themeShade="BF"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bidi="ar-SA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 w:bidi="ar-SA"/>
        </w:rPr>
        <w:t>3.1、</w:t>
      </w:r>
      <w:r>
        <w:rPr>
          <w:rFonts w:hint="eastAsia" w:ascii="Times New Roman" w:hAnsi="Times New Roman" w:cs="Times New Roman"/>
          <w:b/>
          <w:sz w:val="32"/>
          <w:szCs w:val="32"/>
          <w:lang w:bidi="ar-SA"/>
        </w:rPr>
        <w:t>探究疾病组特异表达的基因及相关功能</w:t>
      </w:r>
    </w:p>
    <w:p>
      <w:pPr>
        <w:spacing w:line="360" w:lineRule="auto"/>
        <w:rPr>
          <w:rFonts w:ascii="Times New Roman" w:hAnsi="Times New Roman" w:cs="Times New Roman" w:eastAsiaTheme="majorEastAsia"/>
          <w:b/>
          <w:sz w:val="28"/>
          <w:szCs w:val="28"/>
          <w:lang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bidi="ar-SA"/>
        </w:rPr>
        <w:t>3.1.1、差异表达分析</w:t>
      </w:r>
    </w:p>
    <w:p>
      <w:pPr>
        <w:spacing w:line="360" w:lineRule="auto"/>
        <w:ind w:firstLine="480" w:firstLineChars="200"/>
        <w:rPr>
          <w:rFonts w:ascii="Times New Roman" w:hAnsi="Times New Roman" w:cs="Times New Roman" w:eastAsiaTheme="minorEastAsia"/>
          <w:sz w:val="24"/>
          <w:szCs w:val="24"/>
          <w:lang w:bidi="ar-SA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bidi="ar-SA"/>
        </w:rPr>
        <w:t>根据GSE160306中的测序数据及样本分组信息,利用edgeR包进行差异表达分析，然后根据合适的参数筛选出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bidi="ar-SA"/>
        </w:rPr>
        <w:t xml:space="preserve"> （DR vs Ctrl; DM vs Ctrl）组间共有的差异表达基因。</w:t>
      </w:r>
    </w:p>
    <w:p>
      <w:pPr>
        <w:spacing w:line="360" w:lineRule="auto"/>
        <w:rPr>
          <w:rFonts w:ascii="Times New Roman" w:hAnsi="Times New Roman" w:cs="Times New Roman" w:eastAsiaTheme="minorEastAsia"/>
          <w:sz w:val="24"/>
          <w:szCs w:val="24"/>
          <w:lang w:bidi="ar-SA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bidi="ar-SA"/>
        </w:rPr>
        <w:t>差异基因统计总览表</w:t>
      </w:r>
    </w:p>
    <w:tbl>
      <w:tblPr>
        <w:tblStyle w:val="9"/>
        <w:tblW w:w="0" w:type="auto"/>
        <w:jc w:val="center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658"/>
        <w:gridCol w:w="516"/>
        <w:gridCol w:w="993"/>
        <w:gridCol w:w="616"/>
        <w:gridCol w:w="802"/>
        <w:gridCol w:w="438"/>
        <w:gridCol w:w="660"/>
        <w:gridCol w:w="526"/>
        <w:gridCol w:w="660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1774" w:type="dxa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数据信息</w:t>
            </w:r>
          </w:p>
        </w:tc>
        <w:tc>
          <w:tcPr>
            <w:tcW w:w="1509" w:type="dxa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差异阈值</w:t>
            </w:r>
          </w:p>
        </w:tc>
        <w:tc>
          <w:tcPr>
            <w:tcW w:w="0" w:type="auto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jc w:val="center"/>
              <w:rPr>
                <w:rFonts w:ascii="Calibri" w:hAnsi="Calibri" w:eastAsia="等线"/>
                <w:b/>
                <w:bCs/>
              </w:rPr>
            </w:pPr>
            <w:r>
              <w:rPr>
                <w:rFonts w:hint="eastAsia" w:ascii="Calibri" w:hAnsi="Calibri" w:eastAsia="等线"/>
                <w:b/>
                <w:bCs/>
              </w:rPr>
              <w:t>差异基因数</w:t>
            </w:r>
          </w:p>
        </w:tc>
        <w:tc>
          <w:tcPr>
            <w:tcW w:w="2284" w:type="dxa"/>
            <w:gridSpan w:val="4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jc w:val="center"/>
              <w:rPr>
                <w:rFonts w:ascii="Calibri" w:hAnsi="Calibri" w:eastAsia="等线"/>
                <w:b/>
                <w:bCs/>
              </w:rPr>
            </w:pPr>
            <w:r>
              <w:rPr>
                <w:rFonts w:hint="eastAsia" w:ascii="Calibri" w:hAnsi="Calibri" w:eastAsia="等线"/>
                <w:b/>
                <w:bCs/>
              </w:rPr>
              <w:t>样本数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数据来源</w:t>
            </w:r>
          </w:p>
        </w:tc>
        <w:tc>
          <w:tcPr>
            <w:tcW w:w="658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平台</w:t>
            </w:r>
          </w:p>
        </w:tc>
        <w:tc>
          <w:tcPr>
            <w:tcW w:w="51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FC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q_value</w:t>
            </w:r>
          </w:p>
        </w:tc>
        <w:tc>
          <w:tcPr>
            <w:tcW w:w="514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</w:t>
            </w:r>
            <w:r>
              <w:rPr>
                <w:rFonts w:hint="eastAsia"/>
                <w:b/>
                <w:bCs/>
                <w:szCs w:val="24"/>
              </w:rPr>
              <w:t>p</w:t>
            </w:r>
          </w:p>
        </w:tc>
        <w:tc>
          <w:tcPr>
            <w:tcW w:w="802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</w:t>
            </w:r>
            <w:r>
              <w:rPr>
                <w:rFonts w:hint="eastAsia"/>
                <w:b/>
                <w:bCs/>
                <w:szCs w:val="24"/>
              </w:rPr>
              <w:t>own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rFonts w:hint="eastAsia"/>
                <w:b/>
                <w:bCs/>
                <w:szCs w:val="24"/>
                <w:lang w:val="en-US"/>
              </w:rPr>
              <w:t>DR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rFonts w:hint="eastAsia"/>
                <w:b/>
                <w:bCs/>
                <w:szCs w:val="24"/>
              </w:rPr>
              <w:t>C</w:t>
            </w:r>
            <w:r>
              <w:rPr>
                <w:rFonts w:hint="eastAsia"/>
                <w:b/>
                <w:bCs/>
                <w:szCs w:val="24"/>
                <w:lang w:val="en-US"/>
              </w:rPr>
              <w:t>trl</w:t>
            </w:r>
          </w:p>
        </w:tc>
        <w:tc>
          <w:tcPr>
            <w:tcW w:w="52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rFonts w:hint="eastAsia"/>
                <w:b/>
                <w:bCs/>
                <w:sz w:val="28"/>
                <w:szCs w:val="32"/>
                <w:lang w:val="en-US"/>
              </w:rPr>
              <w:t>DM</w:t>
            </w:r>
          </w:p>
        </w:tc>
        <w:tc>
          <w:tcPr>
            <w:tcW w:w="660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widowControl/>
              <w:adjustRightInd w:val="0"/>
              <w:snapToGrid w:val="0"/>
              <w:spacing w:line="300" w:lineRule="exact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rFonts w:hint="eastAsia"/>
                <w:b/>
                <w:bCs/>
                <w:szCs w:val="24"/>
                <w:lang w:val="en-US"/>
              </w:rPr>
              <w:t>Ctrl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</w:pPr>
            <w:r>
              <w:rPr>
                <w:rFonts w:hint="eastAsia"/>
              </w:rPr>
              <w:t>GSE160306</w:t>
            </w:r>
          </w:p>
        </w:tc>
        <w:tc>
          <w:tcPr>
            <w:tcW w:w="658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</w:pPr>
            <w:r>
              <w:rPr>
                <w:rFonts w:hint="eastAsia"/>
              </w:rPr>
              <w:t>测序</w:t>
            </w:r>
          </w:p>
        </w:tc>
        <w:tc>
          <w:tcPr>
            <w:tcW w:w="516" w:type="dxa"/>
            <w:vMerge w:val="restart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18"/>
              <w:bidi w:val="0"/>
              <w:jc w:val="both"/>
              <w:rPr>
                <w:lang w:val="en-US"/>
              </w:rPr>
            </w:pPr>
            <w:r>
              <w:t>1.</w:t>
            </w:r>
            <w:r>
              <w:rPr>
                <w:rFonts w:hint="eastAsia"/>
                <w:lang w:val="en-US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18"/>
              <w:bidi w:val="0"/>
            </w:pPr>
            <w:r>
              <w:t>0.05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986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  <w:ind w:firstLine="200" w:firstLineChars="10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640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39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20</w:t>
            </w:r>
          </w:p>
        </w:tc>
        <w:tc>
          <w:tcPr>
            <w:tcW w:w="526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</w:pPr>
          </w:p>
        </w:tc>
        <w:tc>
          <w:tcPr>
            <w:tcW w:w="660" w:type="dxa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pStyle w:val="18"/>
              <w:bidi w:val="0"/>
            </w:pP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</w:pPr>
            <w:r>
              <w:rPr>
                <w:rFonts w:hint="eastAsia"/>
              </w:rPr>
              <w:t>GSE160306</w:t>
            </w:r>
          </w:p>
        </w:tc>
        <w:tc>
          <w:tcPr>
            <w:tcW w:w="658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测序</w:t>
            </w:r>
          </w:p>
        </w:tc>
        <w:tc>
          <w:tcPr>
            <w:tcW w:w="516" w:type="dxa"/>
            <w:vMerge w:val="continue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</w:pPr>
          </w:p>
        </w:tc>
        <w:tc>
          <w:tcPr>
            <w:tcW w:w="0" w:type="auto"/>
            <w:vMerge w:val="continue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</w:pPr>
          </w:p>
        </w:tc>
        <w:tc>
          <w:tcPr>
            <w:tcW w:w="0" w:type="auto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1202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782</w:t>
            </w:r>
          </w:p>
        </w:tc>
        <w:tc>
          <w:tcPr>
            <w:tcW w:w="0" w:type="auto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</w:pPr>
          </w:p>
        </w:tc>
        <w:tc>
          <w:tcPr>
            <w:tcW w:w="0" w:type="auto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</w:pPr>
          </w:p>
        </w:tc>
        <w:tc>
          <w:tcPr>
            <w:tcW w:w="526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20</w:t>
            </w:r>
          </w:p>
        </w:tc>
        <w:tc>
          <w:tcPr>
            <w:tcW w:w="660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bidi w:val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20</w:t>
            </w:r>
          </w:p>
        </w:tc>
      </w:tr>
    </w:tbl>
    <w:p>
      <w:pPr>
        <w:spacing w:line="360" w:lineRule="auto"/>
        <w:rPr>
          <w:rFonts w:ascii="Times New Roman" w:hAnsi="Times New Roman" w:cs="Times New Roman" w:eastAsiaTheme="minorEastAsia"/>
          <w:sz w:val="24"/>
          <w:szCs w:val="24"/>
          <w:lang w:bidi="ar-SA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结果</w:t>
      </w:r>
      <w:r>
        <w:rPr>
          <w:rFonts w:hint="eastAsia" w:ascii="Times New Roman" w:hAnsi="Times New Roman" w:cs="Times New Roman"/>
          <w:sz w:val="24"/>
          <w:szCs w:val="24"/>
        </w:rPr>
        <w:t>文件夹：</w:t>
      </w:r>
      <w:r>
        <w:rPr>
          <w:rFonts w:hint="eastAsia" w:ascii="Times New Roman" w:hAnsi="Times New Roman" w:cs="Times New Roman"/>
          <w:sz w:val="24"/>
          <w:szCs w:val="24"/>
          <w:lang w:val="en-US"/>
        </w:rPr>
        <w:t>diff_exp</w:t>
      </w:r>
    </w:p>
    <w:p>
      <w:pPr>
        <w:pStyle w:val="6"/>
        <w:spacing w:line="360" w:lineRule="auto"/>
        <w:ind w:right="168"/>
        <w:rPr>
          <w:rFonts w:eastAsiaTheme="minorEastAsia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bidi="ar-SA"/>
        </w:rPr>
        <w:t xml:space="preserve">DR vs Ctrl </w:t>
      </w:r>
      <w:r>
        <w:rPr>
          <w:rFonts w:hint="eastAsia" w:eastAsiaTheme="minorEastAsia"/>
          <w:sz w:val="24"/>
          <w:szCs w:val="24"/>
          <w:lang w:bidi="ar-SA"/>
        </w:rPr>
        <w:t>部分差异表达结果表</w:t>
      </w:r>
    </w:p>
    <w:tbl>
      <w:tblPr>
        <w:tblStyle w:val="8"/>
        <w:tblpPr w:leftFromText="180" w:rightFromText="180" w:vertAnchor="text" w:horzAnchor="page" w:tblpX="1728" w:tblpY="191"/>
        <w:tblOverlap w:val="never"/>
        <w:tblW w:w="8757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1"/>
        <w:gridCol w:w="1251"/>
        <w:gridCol w:w="1251"/>
        <w:gridCol w:w="1251"/>
        <w:gridCol w:w="1251"/>
        <w:gridCol w:w="1251"/>
        <w:gridCol w:w="12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Gene_Name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log2FC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FC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p_value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q_value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DR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Ctrl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OPTC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6.99232 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127.32059 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0.00007 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0.01333 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2.47329 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-4.51904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MYOC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5.96930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62.65249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0.00007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0.01366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1.48193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-4.48737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FAM9B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4.22999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18.76526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0.00017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0.02083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1.04024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-3.18975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SFRP2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4.18751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18.22079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0.00002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0.00775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2.92603 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-1.26149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SCNN1A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3.74736 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13.42977 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0.00012 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0.01706 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0.60516 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-3.14220 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</w:rPr>
      </w:pPr>
    </w:p>
    <w:p>
      <w:pPr>
        <w:pStyle w:val="6"/>
        <w:spacing w:line="417" w:lineRule="auto"/>
        <w:ind w:right="168"/>
        <w:rPr>
          <w:rFonts w:eastAsiaTheme="minorEastAsia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bidi="ar-SA"/>
        </w:rPr>
        <w:t xml:space="preserve">DM vs Ctrl </w:t>
      </w:r>
      <w:r>
        <w:rPr>
          <w:rFonts w:hint="eastAsia" w:eastAsiaTheme="minorEastAsia"/>
          <w:sz w:val="24"/>
          <w:szCs w:val="24"/>
          <w:lang w:bidi="ar-SA"/>
        </w:rPr>
        <w:t>部分差异表达结果表</w:t>
      </w:r>
    </w:p>
    <w:tbl>
      <w:tblPr>
        <w:tblStyle w:val="8"/>
        <w:tblpPr w:leftFromText="180" w:rightFromText="180" w:vertAnchor="text" w:horzAnchor="page" w:tblpX="1755" w:tblpY="175"/>
        <w:tblOverlap w:val="never"/>
        <w:tblW w:w="87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909"/>
        <w:gridCol w:w="1538"/>
        <w:gridCol w:w="1248"/>
        <w:gridCol w:w="1248"/>
        <w:gridCol w:w="1248"/>
        <w:gridCol w:w="12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29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Gene_Name</w:t>
            </w:r>
          </w:p>
        </w:tc>
        <w:tc>
          <w:tcPr>
            <w:tcW w:w="9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log2FC</w:t>
            </w:r>
          </w:p>
        </w:tc>
        <w:tc>
          <w:tcPr>
            <w:tcW w:w="153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FC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p_value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q_value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DM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 w:bidi="ar"/>
              </w:rPr>
              <w:t>Ctrl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29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SFRP2</w:t>
            </w:r>
          </w:p>
        </w:tc>
        <w:tc>
          <w:tcPr>
            <w:tcW w:w="909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3.61758 </w:t>
            </w:r>
          </w:p>
        </w:tc>
        <w:tc>
          <w:tcPr>
            <w:tcW w:w="153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12.27438 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0.00001 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0.01441 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2.33288 </w:t>
            </w:r>
          </w:p>
        </w:tc>
        <w:tc>
          <w:tcPr>
            <w:tcW w:w="124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-1.28470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AC063952.1</w:t>
            </w: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3.53016 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11.55273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0.00000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0.00211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0.79851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-2.73165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SFRP4</w:t>
            </w: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2.64031 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6.23467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0.00039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0.06647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1.50571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-1.13460 </w:t>
            </w:r>
          </w:p>
        </w:tc>
      </w:tr>
      <w:tr>
        <w:trPr>
          <w:trHeight w:val="257" w:hRule="atLeast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FGFBP2</w:t>
            </w: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2.58898 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6.01672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0.00000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0.00322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1.62015 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-0.96883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29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>C5orf17</w:t>
            </w:r>
          </w:p>
        </w:tc>
        <w:tc>
          <w:tcPr>
            <w:tcW w:w="90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2.43828 </w:t>
            </w:r>
          </w:p>
        </w:tc>
        <w:tc>
          <w:tcPr>
            <w:tcW w:w="153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5.41996 </w:t>
            </w:r>
          </w:p>
        </w:tc>
        <w:tc>
          <w:tcPr>
            <w:tcW w:w="124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0.00032 </w:t>
            </w:r>
          </w:p>
        </w:tc>
        <w:tc>
          <w:tcPr>
            <w:tcW w:w="124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0.06135 </w:t>
            </w:r>
          </w:p>
        </w:tc>
        <w:tc>
          <w:tcPr>
            <w:tcW w:w="124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0.32102 </w:t>
            </w:r>
          </w:p>
        </w:tc>
        <w:tc>
          <w:tcPr>
            <w:tcW w:w="124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widowControl/>
              <w:textAlignment w:val="bottom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 w:bidi="ar"/>
              </w:rPr>
              <w:t xml:space="preserve">-2.11726 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2684780" cy="2910840"/>
            <wp:effectExtent l="0" t="0" r="1270" b="3810"/>
            <wp:docPr id="20" name="图片 20" descr="volcano_DR_vs_Ct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volcano_DR_vs_Ctr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lang w:val="en-US"/>
        </w:rPr>
        <w:drawing>
          <wp:inline distT="0" distB="0" distL="114300" distR="114300">
            <wp:extent cx="2673985" cy="2898140"/>
            <wp:effectExtent l="0" t="0" r="12065" b="16510"/>
            <wp:docPr id="19" name="图片 19" descr="volcano_DM_vs_Ct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olcano_DM_vs_Ctr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/>
        <w:jc w:val="center"/>
        <w:rPr>
          <w:rStyle w:val="16"/>
          <w:lang w:val="en-US"/>
        </w:rPr>
      </w:pPr>
      <w:r>
        <w:rPr>
          <w:rFonts w:hint="eastAsia"/>
          <w:szCs w:val="28"/>
        </w:rPr>
        <w:t>差异表达火山图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2696210" cy="2248535"/>
            <wp:effectExtent l="0" t="0" r="8890" b="18415"/>
            <wp:docPr id="22" name="图片 22" descr="top20_heatmap_DR_vs_Ct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op20_heatmap_DR_vs_Ctr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lang w:val="en-US"/>
        </w:rPr>
        <w:drawing>
          <wp:inline distT="0" distB="0" distL="114300" distR="114300">
            <wp:extent cx="2660650" cy="2218055"/>
            <wp:effectExtent l="0" t="0" r="6350" b="10795"/>
            <wp:docPr id="21" name="图片 21" descr="top20_heatmap_DM_vs_Ct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op20_heatmap_DM_vs_Ctr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  <w:rPr>
          <w:rFonts w:eastAsiaTheme="minorEastAsia"/>
        </w:rPr>
      </w:pPr>
      <w:r>
        <w:rPr>
          <w:rFonts w:hint="eastAsia" w:eastAsiaTheme="minorEastAsia"/>
        </w:rPr>
        <w:t>上下调各top</w:t>
      </w:r>
      <w:r>
        <w:rPr>
          <w:rFonts w:eastAsiaTheme="minorEastAsia"/>
        </w:rPr>
        <w:t>20</w:t>
      </w:r>
      <w:r>
        <w:rPr>
          <w:rFonts w:hint="eastAsia" w:eastAsiaTheme="minorEastAsia"/>
        </w:rPr>
        <w:t>基因表达热图</w:t>
      </w:r>
    </w:p>
    <w:p>
      <w:pPr>
        <w:adjustRightInd w:val="0"/>
        <w:snapToGrid w:val="0"/>
        <w:spacing w:line="360" w:lineRule="auto"/>
        <w:jc w:val="center"/>
        <w:rPr>
          <w:rFonts w:eastAsiaTheme="minorEastAsia"/>
          <w:lang w:val="en-US"/>
        </w:rPr>
      </w:pPr>
    </w:p>
    <w:p>
      <w:pPr>
        <w:spacing w:line="360" w:lineRule="auto"/>
        <w:rPr>
          <w:rFonts w:ascii="Times New Roman" w:hAnsi="Times New Roman" w:cs="Times New Roman" w:eastAsiaTheme="minorEastAsia"/>
          <w:b/>
          <w:sz w:val="32"/>
          <w:szCs w:val="32"/>
          <w:lang w:bidi="ar-SA"/>
        </w:rPr>
      </w:pPr>
      <w:r>
        <w:rPr>
          <w:rFonts w:hint="eastAsia" w:ascii="Times New Roman" w:hAnsi="Times New Roman" w:cs="Times New Roman" w:eastAsiaTheme="minorEastAsia"/>
          <w:b/>
          <w:sz w:val="32"/>
          <w:szCs w:val="32"/>
          <w:lang w:val="en-US" w:bidi="ar-SA"/>
        </w:rPr>
        <w:t>3.1.2、WGCNA共表达分析</w:t>
      </w:r>
    </w:p>
    <w:p>
      <w:pPr>
        <w:widowControl/>
        <w:adjustRightInd w:val="0"/>
        <w:snapToGrid w:val="0"/>
        <w:spacing w:line="360" w:lineRule="auto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结果文件夹：WGCNA</w:t>
      </w:r>
    </w:p>
    <w:p>
      <w:pPr>
        <w:widowControl/>
        <w:adjustRightInd w:val="0"/>
        <w:snapToGrid w:val="0"/>
        <w:spacing w:line="360" w:lineRule="auto"/>
        <w:rPr>
          <w:rStyle w:val="17"/>
          <w:rFonts w:ascii="Times New Roman" w:hAnsi="Times New Roman" w:cs="Times New Roman" w:eastAsiaTheme="minorEastAsia"/>
          <w:lang w:val="en-US" w:bidi="ar-SA"/>
        </w:rPr>
      </w:pPr>
      <w:r>
        <w:rPr>
          <w:rStyle w:val="17"/>
          <w:rFonts w:hint="eastAsia" w:ascii="Times New Roman" w:hAnsi="Times New Roman" w:cs="Times New Roman" w:eastAsiaTheme="minorEastAsia"/>
          <w:lang w:val="en-US" w:bidi="ar-SA"/>
        </w:rPr>
        <w:t>数据来源：GEO：GSE160306</w:t>
      </w:r>
    </w:p>
    <w:p>
      <w:pPr>
        <w:pStyle w:val="14"/>
        <w:numPr>
          <w:ilvl w:val="0"/>
          <w:numId w:val="4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p>
      <w:pPr>
        <w:pStyle w:val="14"/>
        <w:numPr>
          <w:ilvl w:val="0"/>
          <w:numId w:val="4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p>
      <w:pPr>
        <w:pStyle w:val="14"/>
        <w:numPr>
          <w:ilvl w:val="0"/>
          <w:numId w:val="4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p>
      <w:pPr>
        <w:pStyle w:val="14"/>
        <w:numPr>
          <w:ilvl w:val="1"/>
          <w:numId w:val="4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/>
          <w:b/>
          <w:vanish/>
          <w:sz w:val="28"/>
          <w:szCs w:val="28"/>
        </w:rPr>
      </w:pPr>
    </w:p>
    <w:p>
      <w:pPr>
        <w:pStyle w:val="14"/>
        <w:numPr>
          <w:ilvl w:val="0"/>
          <w:numId w:val="5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 w:eastAsiaTheme="majorEastAsia"/>
          <w:b/>
          <w:vanish/>
          <w:sz w:val="28"/>
          <w:szCs w:val="28"/>
        </w:rPr>
      </w:pPr>
    </w:p>
    <w:p>
      <w:pPr>
        <w:pStyle w:val="14"/>
        <w:numPr>
          <w:ilvl w:val="0"/>
          <w:numId w:val="5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 w:eastAsiaTheme="majorEastAsia"/>
          <w:b/>
          <w:vanish/>
          <w:sz w:val="28"/>
          <w:szCs w:val="28"/>
        </w:rPr>
      </w:pPr>
    </w:p>
    <w:p>
      <w:pPr>
        <w:pStyle w:val="14"/>
        <w:numPr>
          <w:ilvl w:val="0"/>
          <w:numId w:val="5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 w:eastAsiaTheme="majorEastAsia"/>
          <w:b/>
          <w:vanish/>
          <w:sz w:val="28"/>
          <w:szCs w:val="28"/>
        </w:rPr>
      </w:pPr>
    </w:p>
    <w:p>
      <w:pPr>
        <w:pStyle w:val="14"/>
        <w:numPr>
          <w:ilvl w:val="1"/>
          <w:numId w:val="5"/>
        </w:numPr>
        <w:adjustRightInd w:val="0"/>
        <w:snapToGrid w:val="0"/>
        <w:spacing w:before="240" w:after="120" w:line="360" w:lineRule="auto"/>
        <w:jc w:val="both"/>
        <w:outlineLvl w:val="2"/>
        <w:rPr>
          <w:rFonts w:ascii="Times New Roman" w:hAnsi="Times New Roman" w:cs="Times New Roman" w:eastAsiaTheme="majorEastAsia"/>
          <w:b/>
          <w:vanish/>
          <w:sz w:val="28"/>
          <w:szCs w:val="28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919855" cy="2743835"/>
            <wp:effectExtent l="0" t="0" r="4445" b="18415"/>
            <wp:docPr id="7" name="图片 7" descr="Dendrogram_sample_pheno_tra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endrogram_sample_pheno_trai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20" w:line="360" w:lineRule="auto"/>
        <w:jc w:val="center"/>
        <w:rPr>
          <w:rStyle w:val="16"/>
          <w:lang w:val="en-US"/>
        </w:rPr>
      </w:pPr>
      <w:r>
        <w:rPr>
          <w:rFonts w:hint="eastAsia"/>
          <w:szCs w:val="24"/>
        </w:rPr>
        <w:t>样本聚类及对应分组图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968750" cy="3086735"/>
            <wp:effectExtent l="0" t="0" r="12700" b="18415"/>
            <wp:docPr id="8" name="图片 8" descr="Power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ower_sel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ower值确定图</w:t>
      </w:r>
    </w:p>
    <w:p>
      <w:pPr>
        <w:adjustRightInd w:val="0"/>
        <w:snapToGrid w:val="0"/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  <w:vertAlign w:val="superscript"/>
        </w:rPr>
        <w:t>2</w:t>
      </w:r>
      <w:r>
        <w:rPr>
          <w:rFonts w:hint="eastAsia"/>
          <w:szCs w:val="24"/>
        </w:rPr>
        <w:t>阈值为0</w:t>
      </w:r>
      <w:r>
        <w:rPr>
          <w:szCs w:val="24"/>
        </w:rPr>
        <w:t>.8</w:t>
      </w:r>
      <w:r>
        <w:rPr>
          <w:rFonts w:hint="eastAsia"/>
          <w:szCs w:val="24"/>
        </w:rPr>
        <w:t>，这里</w:t>
      </w:r>
      <w:r>
        <w:rPr>
          <w:szCs w:val="24"/>
        </w:rPr>
        <w:t>R</w:t>
      </w:r>
      <w:r>
        <w:rPr>
          <w:szCs w:val="24"/>
          <w:vertAlign w:val="superscript"/>
        </w:rPr>
        <w:t>2</w:t>
      </w:r>
      <w:r>
        <w:rPr>
          <w:rFonts w:hint="eastAsia"/>
          <w:szCs w:val="24"/>
        </w:rPr>
        <w:t>都小于0</w:t>
      </w:r>
      <w:r>
        <w:rPr>
          <w:szCs w:val="24"/>
        </w:rPr>
        <w:t>.8</w:t>
      </w:r>
      <w:r>
        <w:rPr>
          <w:rFonts w:hint="eastAsia"/>
          <w:szCs w:val="24"/>
        </w:rPr>
        <w:t>，因此选</w:t>
      </w:r>
      <w:r>
        <w:rPr>
          <w:szCs w:val="24"/>
        </w:rPr>
        <w:t>R</w:t>
      </w:r>
      <w:r>
        <w:rPr>
          <w:szCs w:val="24"/>
          <w:vertAlign w:val="superscript"/>
        </w:rPr>
        <w:t>2</w:t>
      </w:r>
      <w:r>
        <w:rPr>
          <w:rFonts w:hint="eastAsia"/>
          <w:szCs w:val="24"/>
        </w:rPr>
        <w:t>最大Power结果聚类。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4167505" cy="4167505"/>
            <wp:effectExtent l="0" t="0" r="4445" b="4445"/>
            <wp:docPr id="9" name="图片 9" descr="Heatmap_gene_gene_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eatmap_gene_gene_correla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基因间相关性基因聚类热图</w:t>
      </w:r>
    </w:p>
    <w:p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颜色越亮相关性越好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5492115" cy="2745740"/>
            <wp:effectExtent l="0" t="0" r="13335" b="16510"/>
            <wp:docPr id="10" name="图片 10" descr="Dendrogram_coexpression_gene_clustering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ndrogram_coexpression_gene_clustering_resul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20" w:line="360" w:lineRule="auto"/>
        <w:jc w:val="center"/>
        <w:rPr>
          <w:szCs w:val="24"/>
        </w:rPr>
      </w:pPr>
      <w:r>
        <w:rPr>
          <w:rFonts w:hint="eastAsia"/>
          <w:szCs w:val="24"/>
        </w:rPr>
        <w:t>基因聚类及对应共表达模块图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613785" cy="3613785"/>
            <wp:effectExtent l="0" t="0" r="5715" b="5715"/>
            <wp:docPr id="11" name="图片 11" descr="Relationships_among_the_eigengenes_and_the_tr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lationships_among_the_eigengenes_and_the_trai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20" w:line="360" w:lineRule="auto"/>
        <w:jc w:val="center"/>
        <w:rPr>
          <w:szCs w:val="24"/>
        </w:rPr>
      </w:pPr>
      <w:r>
        <w:rPr>
          <w:rFonts w:hint="eastAsia"/>
          <w:szCs w:val="24"/>
        </w:rPr>
        <w:t>共表达模块聚类及模块间相关性热图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985895" cy="3985895"/>
            <wp:effectExtent l="0" t="0" r="14605" b="14605"/>
            <wp:docPr id="12" name="图片 12" descr="Heatmap_and_barplot_module_trait_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eatmap_and_barplot_module_trait_correla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各共表达模块与性状相关性热图</w:t>
      </w:r>
    </w:p>
    <w:p>
      <w:pPr>
        <w:adjustRightInd w:val="0"/>
        <w:snapToGrid w:val="0"/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括号内是p值，括号上边是相关系数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Fonts w:ascii="Times New Roman" w:hAnsi="Times New Roman" w:cs="Times New Roman" w:eastAsiaTheme="minorEastAsia"/>
          <w:b/>
          <w:sz w:val="32"/>
          <w:szCs w:val="32"/>
          <w:lang w:val="en-US" w:bidi="ar-SA"/>
        </w:rPr>
      </w:pPr>
      <w:r>
        <w:rPr>
          <w:rFonts w:hint="eastAsia" w:ascii="Times New Roman" w:hAnsi="Times New Roman" w:cs="Times New Roman" w:eastAsiaTheme="minorEastAsia"/>
          <w:b/>
          <w:sz w:val="32"/>
          <w:szCs w:val="32"/>
          <w:lang w:val="en-US" w:bidi="ar-SA"/>
        </w:rPr>
        <w:t>3.1.3、功能富集分析</w:t>
      </w:r>
    </w:p>
    <w:p>
      <w:pPr>
        <w:pStyle w:val="14"/>
        <w:adjustRightInd w:val="0"/>
        <w:snapToGrid w:val="0"/>
        <w:spacing w:line="360" w:lineRule="auto"/>
        <w:outlineLvl w:val="1"/>
        <w:rPr>
          <w:rFonts w:hint="eastAsia"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这里根据差异表达基因筛选到的（DR vs Ctrl; DM vs Ctrl）组间差异表达基因进行GO、KEGG富集分析。并且根据共表达中相关性最好的模块（brown）中的基</w:t>
      </w:r>
    </w:p>
    <w:p>
      <w:pPr>
        <w:pStyle w:val="14"/>
        <w:adjustRightInd w:val="0"/>
        <w:snapToGrid w:val="0"/>
        <w:spacing w:line="360" w:lineRule="auto"/>
        <w:outlineLvl w:val="1"/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因进行GO和KEGG富集分析。基因功能（GO）分3类：Biological Process (BP)、Molecular Function (MF)、 Cellular Component (CC)。</w:t>
      </w:r>
    </w:p>
    <w:p>
      <w:pPr>
        <w:pStyle w:val="14"/>
        <w:adjustRightInd w:val="0"/>
        <w:snapToGrid w:val="0"/>
        <w:spacing w:line="360" w:lineRule="auto"/>
        <w:outlineLvl w:val="1"/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结果文件夹：functions</w:t>
      </w:r>
    </w:p>
    <w:p>
      <w:pPr>
        <w:pStyle w:val="14"/>
        <w:adjustRightInd w:val="0"/>
        <w:snapToGrid w:val="0"/>
        <w:spacing w:line="360" w:lineRule="auto"/>
        <w:outlineLvl w:val="1"/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注：这里只以共表达中相关性最好的模块（brown）中的基因KEGG图例富集结果进行展示，其他结果见相应文件。</w:t>
      </w:r>
    </w:p>
    <w:p>
      <w:pPr>
        <w:pStyle w:val="14"/>
        <w:adjustRightInd w:val="0"/>
        <w:snapToGrid w:val="0"/>
        <w:spacing w:line="360" w:lineRule="auto"/>
        <w:outlineLvl w:val="1"/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KEGG富集部分结果表</w:t>
      </w:r>
    </w:p>
    <w:tbl>
      <w:tblPr>
        <w:tblStyle w:val="8"/>
        <w:tblW w:w="8773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3306"/>
        <w:gridCol w:w="1137"/>
        <w:gridCol w:w="1352"/>
        <w:gridCol w:w="18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18"/>
              <w:bidi w:val="0"/>
              <w:rPr>
                <w:rFonts w:ascii="Times New Roman" w:hAnsi="Times New Roman" w:eastAsia="Times New Roman" w:cs="Times New Roman"/>
                <w:b/>
                <w:bCs/>
                <w:lang w:val="en-US" w:bidi="en-US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lang w:val="en-US" w:bidi="en-US"/>
              </w:rPr>
              <w:t>ID</w:t>
            </w:r>
          </w:p>
        </w:tc>
        <w:tc>
          <w:tcPr>
            <w:tcW w:w="330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18"/>
              <w:bidi w:val="0"/>
              <w:rPr>
                <w:rFonts w:ascii="Times New Roman" w:hAnsi="Times New Roman" w:eastAsia="Times New Roman" w:cs="Times New Roman"/>
                <w:b/>
                <w:bCs/>
                <w:lang w:val="en-US" w:bidi="en-US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lang w:val="en-US" w:bidi="en-US"/>
              </w:rPr>
              <w:t>Term</w:t>
            </w:r>
          </w:p>
        </w:tc>
        <w:tc>
          <w:tcPr>
            <w:tcW w:w="113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18"/>
              <w:bidi w:val="0"/>
              <w:rPr>
                <w:rFonts w:ascii="Times New Roman" w:hAnsi="Times New Roman" w:eastAsia="Times New Roman" w:cs="Times New Roman"/>
                <w:b/>
                <w:bCs/>
                <w:lang w:val="en-US" w:bidi="en-US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lang w:val="en-US" w:bidi="en-US"/>
              </w:rPr>
              <w:t>p_value</w:t>
            </w:r>
          </w:p>
        </w:tc>
        <w:tc>
          <w:tcPr>
            <w:tcW w:w="135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18"/>
              <w:bidi w:val="0"/>
              <w:rPr>
                <w:rFonts w:ascii="Times New Roman" w:hAnsi="Times New Roman" w:eastAsia="Times New Roman" w:cs="Times New Roman"/>
                <w:b/>
                <w:bCs/>
                <w:lang w:val="en-US" w:bidi="en-US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lang w:val="en-US" w:bidi="en-US"/>
              </w:rPr>
              <w:t>fdr</w:t>
            </w:r>
          </w:p>
        </w:tc>
        <w:tc>
          <w:tcPr>
            <w:tcW w:w="189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pStyle w:val="18"/>
              <w:bidi w:val="0"/>
              <w:rPr>
                <w:rFonts w:ascii="Times New Roman" w:hAnsi="Times New Roman" w:eastAsia="Times New Roman" w:cs="Times New Roman"/>
                <w:b/>
                <w:bCs/>
                <w:lang w:val="en-US" w:bidi="en-US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lang w:val="en-US" w:bidi="en-US"/>
              </w:rPr>
              <w:t>Enrichment_Score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hsa04060</w:t>
            </w:r>
          </w:p>
        </w:tc>
        <w:tc>
          <w:tcPr>
            <w:tcW w:w="3306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Cytokine-cytokine_receptor_interaction</w:t>
            </w:r>
          </w:p>
        </w:tc>
        <w:tc>
          <w:tcPr>
            <w:tcW w:w="1137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3.15E-07</w:t>
            </w:r>
          </w:p>
        </w:tc>
        <w:tc>
          <w:tcPr>
            <w:tcW w:w="1352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3.85E-05</w:t>
            </w:r>
          </w:p>
        </w:tc>
        <w:tc>
          <w:tcPr>
            <w:tcW w:w="1892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6.501264959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hsa05310</w:t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Asthma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3.55E-06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0.000216413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5.450046496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hsa05150</w:t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Staphylococcus_aureus_infection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7.99E-06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0.000306542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5.097562105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hsa05330</w:t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Allograft_rejection</w:t>
            </w: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1.01E-05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0.000306542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4.997810368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6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hsa04145</w:t>
            </w:r>
          </w:p>
        </w:tc>
        <w:tc>
          <w:tcPr>
            <w:tcW w:w="3306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Phagosome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2.09E-05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0.000509596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rPr>
                <w:rFonts w:ascii="Times New Roman" w:hAnsi="Times New Roman" w:cs="Times New Roman" w:eastAsiaTheme="minorEastAsia"/>
                <w:kern w:val="2"/>
                <w:lang w:val="en-US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lang w:val="en-US" w:bidi="ar-SA"/>
              </w:rPr>
              <w:t>4.68016383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521710" cy="3018790"/>
            <wp:effectExtent l="0" t="0" r="2540" b="10160"/>
            <wp:docPr id="13" name="图片 13" descr="KEGG_ESDot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KEGG_ESDotPlo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  <w:lang w:val="en-US"/>
        </w:rPr>
        <w:t xml:space="preserve"> </w:t>
      </w:r>
    </w:p>
    <w:p>
      <w:pPr>
        <w:pStyle w:val="14"/>
        <w:adjustRightInd w:val="0"/>
        <w:snapToGrid w:val="0"/>
        <w:ind w:left="0" w:firstLine="0"/>
        <w:jc w:val="center"/>
        <w:outlineLvl w:val="1"/>
        <w:rPr>
          <w:szCs w:val="24"/>
        </w:rPr>
      </w:pPr>
      <w:r>
        <w:rPr>
          <w:szCs w:val="24"/>
        </w:rPr>
        <w:t>富集结果图气泡图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567430" cy="2690495"/>
            <wp:effectExtent l="0" t="0" r="13970" b="14605"/>
            <wp:docPr id="17" name="图片 17" descr="hsa04612.k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sa04612.keg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</w:pPr>
      <w:r>
        <w:t>基因在KEGG通路中的位置图</w:t>
      </w:r>
      <w:r>
        <w:rPr>
          <w:rFonts w:hint="eastAsia"/>
        </w:rPr>
        <w:t>（在EMT</w:t>
      </w:r>
      <w:r>
        <w:t xml:space="preserve"> vs </w:t>
      </w:r>
      <w:r>
        <w:rPr>
          <w:rFonts w:hint="eastAsia"/>
        </w:rPr>
        <w:t>CTR中红色是上调基因，绿色下调）</w:t>
      </w:r>
    </w:p>
    <w:p>
      <w:pPr>
        <w:adjustRightInd w:val="0"/>
        <w:snapToGrid w:val="0"/>
        <w:spacing w:line="360" w:lineRule="auto"/>
        <w:jc w:val="both"/>
        <w:rPr>
          <w:lang w:val="en-US"/>
        </w:rPr>
      </w:pP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3.2、探究氧化应激表达异质性并挖掘疾病诊断标志物</w:t>
      </w:r>
    </w:p>
    <w:p>
      <w:pPr>
        <w:spacing w:line="360" w:lineRule="auto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t>3.2.1、ssGSEA分析</w:t>
      </w:r>
    </w:p>
    <w:p>
      <w:pPr>
        <w:spacing w:line="360" w:lineRule="auto"/>
        <w:ind w:firstLine="480" w:firstLineChars="200"/>
        <w:rPr>
          <w:rFonts w:ascii="Times New Roman" w:hAnsi="Times New Roman" w:cs="Times New Roman" w:eastAsiaTheme="minorEastAsia"/>
          <w:sz w:val="24"/>
          <w:szCs w:val="24"/>
          <w:lang w:val="en-US" w:bidi="ar-SA"/>
        </w:rPr>
      </w:pPr>
      <w:r>
        <w:rPr>
          <w:rFonts w:hint="eastAsia" w:eastAsiaTheme="minorEastAsia"/>
          <w:sz w:val="24"/>
          <w:szCs w:val="24"/>
        </w:rPr>
        <w:t>为了进一步说明</w:t>
      </w:r>
      <w:r>
        <w:rPr>
          <w:rFonts w:hint="eastAsia" w:eastAsiaTheme="minorEastAsia"/>
          <w:sz w:val="24"/>
          <w:szCs w:val="24"/>
          <w:lang w:val="en-US"/>
        </w:rPr>
        <w:t>疾病发生</w:t>
      </w:r>
      <w:r>
        <w:rPr>
          <w:rFonts w:hint="eastAsia" w:eastAsiaTheme="minorEastAsia"/>
          <w:sz w:val="24"/>
          <w:szCs w:val="24"/>
        </w:rPr>
        <w:t>是和</w:t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氧化应激</w:t>
      </w:r>
      <w:r>
        <w:rPr>
          <w:rFonts w:hint="eastAsia" w:eastAsiaTheme="minorEastAsia"/>
          <w:sz w:val="24"/>
          <w:szCs w:val="24"/>
        </w:rPr>
        <w:t>是相关的</w:t>
      </w:r>
      <w:r>
        <w:rPr>
          <w:rFonts w:hint="eastAsia" w:eastAsiaTheme="minorEastAsia"/>
          <w:sz w:val="24"/>
          <w:szCs w:val="24"/>
          <w:lang w:val="en-US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基于氧化应激相关基因，计算 GSE160306 数据集中每个样本的氧化应激活性评分，再展示氧化应激评分在组间差异。</w:t>
      </w:r>
      <w:r>
        <w:rPr>
          <w:rFonts w:hint="eastAsia" w:eastAsiaTheme="minorEastAsia"/>
          <w:sz w:val="24"/>
          <w:szCs w:val="24"/>
        </w:rPr>
        <w:t>利用GSVA包中的ssgsea法对每个样本进行打分。然后用</w:t>
      </w:r>
      <w:r>
        <w:rPr>
          <w:rFonts w:eastAsiaTheme="minorEastAsia"/>
          <w:sz w:val="24"/>
          <w:szCs w:val="24"/>
        </w:rPr>
        <w:t>wilcox.test</w:t>
      </w:r>
      <w:r>
        <w:rPr>
          <w:rFonts w:hint="eastAsia" w:eastAsiaTheme="minorEastAsia"/>
          <w:sz w:val="24"/>
          <w:szCs w:val="24"/>
        </w:rPr>
        <w:t>计算组间得分差异。</w:t>
      </w:r>
    </w:p>
    <w:p>
      <w:pPr>
        <w:adjustRightInd w:val="0"/>
        <w:snapToGrid w:val="0"/>
        <w:spacing w:after="120" w:line="360" w:lineRule="auto"/>
        <w:rPr>
          <w:rStyle w:val="16"/>
          <w:lang w:val="en-US"/>
        </w:rPr>
      </w:pPr>
      <w:r>
        <w:rPr>
          <w:rFonts w:hint="eastAsia"/>
          <w:sz w:val="24"/>
          <w:szCs w:val="24"/>
        </w:rPr>
        <w:t>结果文件夹：</w:t>
      </w:r>
      <w:r>
        <w:rPr>
          <w:rFonts w:hint="eastAsia"/>
          <w:sz w:val="24"/>
          <w:szCs w:val="24"/>
          <w:lang w:val="en-US"/>
        </w:rPr>
        <w:t>ss</w:t>
      </w:r>
      <w:r>
        <w:rPr>
          <w:sz w:val="24"/>
          <w:szCs w:val="24"/>
        </w:rPr>
        <w:t>GSEA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119755" cy="3119755"/>
            <wp:effectExtent l="0" t="0" r="4445" b="4445"/>
            <wp:docPr id="23" name="图片 23" descr="box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oxplo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417" w:lineRule="auto"/>
        <w:ind w:right="168"/>
        <w:jc w:val="center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</w:rPr>
        <w:t>组间得分差异</w:t>
      </w:r>
      <w:r>
        <w:rPr>
          <w:rFonts w:hint="eastAsia"/>
          <w:sz w:val="22"/>
          <w:szCs w:val="22"/>
          <w:lang w:val="en-US"/>
        </w:rPr>
        <w:t>结果图</w:t>
      </w:r>
    </w:p>
    <w:p>
      <w:pPr>
        <w:pStyle w:val="3"/>
        <w:numPr>
          <w:ilvl w:val="1"/>
          <w:numId w:val="0"/>
        </w:numPr>
        <w:adjustRightInd w:val="0"/>
        <w:snapToGrid w:val="0"/>
        <w:spacing w:line="360" w:lineRule="auto"/>
        <w:rPr>
          <w:rFonts w:ascii="Times New Roman" w:hAnsi="Times New Roman" w:cs="Times New Roman"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/>
          <w:sz w:val="28"/>
          <w:szCs w:val="28"/>
          <w:lang w:val="en-US" w:bidi="ar-SA"/>
        </w:rPr>
        <w:t>3.2.2、Lasso回归模型</w:t>
      </w:r>
    </w:p>
    <w:p>
      <w:pPr>
        <w:spacing w:line="360" w:lineRule="auto"/>
        <w:ind w:firstLine="480" w:firstLineChars="200"/>
        <w:rPr>
          <w:rFonts w:eastAsiaTheme="minorEastAsia"/>
          <w:lang w:val="en-US"/>
        </w:rPr>
      </w:pPr>
      <w:r>
        <w:rPr>
          <w:sz w:val="24"/>
          <w:szCs w:val="24"/>
        </w:rPr>
        <w:t>基于 GSE160306 数据集差异分析结果筛选出差异表达</w:t>
      </w:r>
      <w:r>
        <w:rPr>
          <w:rFonts w:hint="eastAsia" w:ascii="Times New Roman" w:hAnsi="Times New Roman" w:cs="Times New Roman"/>
          <w:sz w:val="24"/>
          <w:szCs w:val="24"/>
          <w:lang w:val="en-US" w:bidi="ar-SA"/>
        </w:rPr>
        <w:t>氧化应激</w:t>
      </w:r>
      <w:r>
        <w:rPr>
          <w:sz w:val="24"/>
          <w:szCs w:val="24"/>
        </w:rPr>
        <w:t>相关基因，再通过 lasso 等算法筛选出诊断标志物。</w:t>
      </w:r>
      <w:r>
        <w:rPr>
          <w:rFonts w:eastAsiaTheme="minorEastAsia"/>
          <w:sz w:val="24"/>
        </w:rPr>
        <w:t>利用glmnet构建</w:t>
      </w:r>
      <w:r>
        <w:rPr>
          <w:rFonts w:hint="eastAsia" w:eastAsiaTheme="minorEastAsia"/>
          <w:sz w:val="24"/>
          <w:lang w:val="en-US" w:eastAsia="zh-CN"/>
        </w:rPr>
        <w:t>诊断</w:t>
      </w:r>
      <w:r>
        <w:rPr>
          <w:rFonts w:eastAsiaTheme="minorEastAsia"/>
          <w:sz w:val="24"/>
        </w:rPr>
        <w:t>模型</w:t>
      </w:r>
      <w:r>
        <w:rPr>
          <w:rFonts w:hint="eastAsia" w:eastAsiaTheme="minorEastAsia"/>
          <w:sz w:val="24"/>
        </w:rPr>
        <w:t>。</w:t>
      </w:r>
    </w:p>
    <w:p>
      <w:pPr>
        <w:pStyle w:val="3"/>
        <w:numPr>
          <w:ilvl w:val="1"/>
          <w:numId w:val="0"/>
        </w:numPr>
        <w:adjustRightInd w:val="0"/>
        <w:snapToGrid w:val="0"/>
        <w:spacing w:line="360" w:lineRule="auto"/>
        <w:rPr>
          <w:rFonts w:eastAsiaTheme="minorEastAsia"/>
          <w:b w:val="0"/>
          <w:kern w:val="2"/>
          <w:sz w:val="24"/>
          <w:szCs w:val="24"/>
        </w:rPr>
      </w:pPr>
      <w:r>
        <w:rPr>
          <w:rFonts w:eastAsiaTheme="minorEastAsia"/>
          <w:b w:val="0"/>
          <w:kern w:val="2"/>
          <w:sz w:val="24"/>
          <w:szCs w:val="24"/>
        </w:rPr>
        <w:t>结果文件夹：lasso</w:t>
      </w:r>
    </w:p>
    <w:p>
      <w:pPr>
        <w:pStyle w:val="14"/>
        <w:adjustRightInd w:val="0"/>
        <w:snapToGrid w:val="0"/>
        <w:spacing w:line="360" w:lineRule="auto"/>
        <w:ind w:left="0" w:firstLine="0"/>
        <w:jc w:val="center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drawing>
          <wp:inline distT="0" distB="0" distL="114300" distR="114300">
            <wp:extent cx="3686175" cy="3686175"/>
            <wp:effectExtent l="0" t="0" r="1905" b="1905"/>
            <wp:docPr id="5" name="图片 5" descr="lasso_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asso_fi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60" w:lineRule="auto"/>
        <w:jc w:val="center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eastAsiaTheme="minorEastAsia"/>
          <w:bCs/>
          <w:szCs w:val="32"/>
        </w:rPr>
        <w:t>LASSO回归结果图</w:t>
      </w:r>
    </w:p>
    <w:p>
      <w:pPr>
        <w:pStyle w:val="14"/>
        <w:adjustRightInd w:val="0"/>
        <w:snapToGrid w:val="0"/>
        <w:spacing w:line="360" w:lineRule="auto"/>
        <w:ind w:left="0" w:firstLine="0"/>
        <w:jc w:val="center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drawing>
          <wp:inline distT="0" distB="0" distL="114300" distR="114300">
            <wp:extent cx="3488055" cy="3488055"/>
            <wp:effectExtent l="0" t="0" r="1905" b="1905"/>
            <wp:docPr id="6" name="图片 6" descr="lasso_cross_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asso_cross_validatio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adjustRightInd w:val="0"/>
        <w:snapToGrid w:val="0"/>
        <w:spacing w:line="360" w:lineRule="auto"/>
        <w:ind w:left="0" w:firstLine="0"/>
        <w:jc w:val="center"/>
        <w:rPr>
          <w:rFonts w:eastAsiaTheme="minorEastAsia"/>
          <w:bCs/>
          <w:szCs w:val="32"/>
        </w:rPr>
      </w:pPr>
      <w:r>
        <w:rPr>
          <w:rFonts w:eastAsiaTheme="minorEastAsia"/>
          <w:bCs/>
          <w:szCs w:val="32"/>
        </w:rPr>
        <w:t>LASSO回归结果基因确定图</w:t>
      </w:r>
    </w:p>
    <w:p>
      <w:pPr>
        <w:pStyle w:val="14"/>
        <w:adjustRightInd w:val="0"/>
        <w:snapToGrid w:val="0"/>
        <w:spacing w:line="360" w:lineRule="auto"/>
        <w:ind w:left="0" w:firstLine="0"/>
        <w:jc w:val="both"/>
        <w:rPr>
          <w:rFonts w:eastAsiaTheme="minorEastAsia"/>
          <w:bCs/>
          <w:szCs w:val="32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t>3.2.3、差异交集基因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基于 WGCNA 分析筛选到的hub基因与筛选到的诊断标志物取交集即为目标基因</w:t>
      </w:r>
      <w:r>
        <w:rPr>
          <w:rFonts w:hint="eastAsia"/>
          <w:sz w:val="24"/>
          <w:szCs w:val="24"/>
          <w:lang w:val="en-US"/>
        </w:rPr>
        <w:t>(LTF)</w:t>
      </w:r>
      <w:r>
        <w:rPr>
          <w:sz w:val="24"/>
          <w:szCs w:val="24"/>
        </w:rPr>
        <w:t>。</w:t>
      </w:r>
    </w:p>
    <w:p>
      <w:pPr>
        <w:spacing w:line="360" w:lineRule="auto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结果文件夹：venn</w:t>
      </w:r>
    </w:p>
    <w:p>
      <w:pPr>
        <w:spacing w:line="360" w:lineRule="auto"/>
        <w:ind w:firstLine="480" w:firstLineChars="200"/>
        <w:jc w:val="center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drawing>
          <wp:inline distT="0" distB="0" distL="114300" distR="114300">
            <wp:extent cx="2659380" cy="2659380"/>
            <wp:effectExtent l="0" t="0" r="7620" b="7620"/>
            <wp:docPr id="15" name="图片 15" descr="venn_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enn_plo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Cs w:val="28"/>
        </w:rPr>
        <w:t>交集基因韦恩图</w:t>
      </w:r>
    </w:p>
    <w:p>
      <w:pPr>
        <w:spacing w:line="360" w:lineRule="auto"/>
        <w:rPr>
          <w:sz w:val="24"/>
          <w:szCs w:val="24"/>
          <w:lang w:val="en-US"/>
        </w:rPr>
      </w:pPr>
    </w:p>
    <w:p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hint="eastAsia" w:ascii="Times New Roman" w:hAnsi="Times New Roman" w:cs="Times New Roman"/>
          <w:b/>
          <w:sz w:val="32"/>
          <w:szCs w:val="32"/>
          <w:lang w:val="en-US"/>
        </w:rPr>
        <w:t>3.3、探究目标基因调控机制及作为诊断标志物性能</w:t>
      </w:r>
    </w:p>
    <w:p>
      <w:pPr>
        <w:pStyle w:val="6"/>
        <w:spacing w:line="417" w:lineRule="auto"/>
        <w:ind w:right="168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t>3.3.1、验证目标基因差异表达</w:t>
      </w:r>
    </w:p>
    <w:p>
      <w:pPr>
        <w:pStyle w:val="6"/>
        <w:spacing w:line="417" w:lineRule="auto"/>
        <w:ind w:right="168" w:firstLine="480" w:firstLineChars="200"/>
        <w:rPr>
          <w:rStyle w:val="16"/>
          <w:lang w:val="en-US"/>
        </w:rPr>
      </w:pPr>
      <w:r>
        <w:rPr>
          <w:sz w:val="24"/>
          <w:szCs w:val="24"/>
        </w:rPr>
        <w:t>基于 GSE185011 数据集展示筛选到的诊断标志物在组间表达差异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交集</w:t>
      </w:r>
      <w:r>
        <w:rPr>
          <w:rFonts w:hint="eastAsia"/>
          <w:sz w:val="24"/>
          <w:szCs w:val="24"/>
          <w:lang w:val="en-US"/>
        </w:rPr>
        <w:t>也</w:t>
      </w:r>
      <w:r>
        <w:rPr>
          <w:sz w:val="24"/>
          <w:szCs w:val="24"/>
        </w:rPr>
        <w:t>为目标基因</w:t>
      </w:r>
      <w:r>
        <w:rPr>
          <w:rFonts w:hint="eastAsia"/>
          <w:sz w:val="24"/>
          <w:szCs w:val="24"/>
          <w:lang w:val="en-US"/>
        </w:rPr>
        <w:t>(DYSF)</w:t>
      </w:r>
      <w:r>
        <w:rPr>
          <w:sz w:val="24"/>
          <w:szCs w:val="24"/>
        </w:rPr>
        <w:t>。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2654935" cy="2654935"/>
            <wp:effectExtent l="0" t="0" r="12065" b="12065"/>
            <wp:docPr id="16" name="图片 16" descr="venn_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venn_plo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Cs w:val="28"/>
        </w:rPr>
        <w:t>交集基因韦恩图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ascii="Times New Roman" w:hAnsi="Times New Roman" w:cs="Times New Roman" w:eastAsiaTheme="majorEastAsia"/>
          <w:b/>
          <w:sz w:val="28"/>
          <w:szCs w:val="28"/>
          <w:lang w:val="en-US" w:bidi="ar-SA"/>
        </w:rPr>
        <w:t>3.3.2、ROC 分析</w:t>
      </w:r>
    </w:p>
    <w:p>
      <w:pPr>
        <w:pStyle w:val="6"/>
        <w:spacing w:line="417" w:lineRule="auto"/>
        <w:ind w:right="168" w:firstLine="480" w:firstLineChars="200"/>
        <w:rPr>
          <w:rFonts w:ascii="Times New Roman" w:hAnsi="Times New Roman" w:cs="Times New Roman" w:eastAsiaTheme="majorEastAsia"/>
          <w:b/>
          <w:sz w:val="28"/>
          <w:szCs w:val="28"/>
          <w:lang w:val="en-US" w:bidi="ar-SA"/>
        </w:rPr>
      </w:pPr>
      <w:r>
        <w:rPr>
          <w:rFonts w:hint="eastAsia" w:eastAsiaTheme="minorEastAsia"/>
          <w:sz w:val="24"/>
        </w:rPr>
        <w:t>本研究</w:t>
      </w:r>
      <w:r>
        <w:rPr>
          <w:rFonts w:eastAsiaTheme="minorEastAsia"/>
          <w:sz w:val="24"/>
        </w:rPr>
        <w:t>根据上述</w:t>
      </w:r>
      <w:r>
        <w:rPr>
          <w:rFonts w:hint="eastAsia" w:eastAsiaTheme="minorEastAsia"/>
          <w:sz w:val="24"/>
        </w:rPr>
        <w:t>得到的</w:t>
      </w:r>
      <w:r>
        <w:rPr>
          <w:rFonts w:hint="eastAsia" w:eastAsiaTheme="minorEastAsia"/>
          <w:sz w:val="24"/>
          <w:lang w:val="en-US"/>
        </w:rPr>
        <w:t>两个</w:t>
      </w:r>
      <w:r>
        <w:rPr>
          <w:rFonts w:hint="eastAsia" w:eastAsiaTheme="minorEastAsia"/>
          <w:sz w:val="24"/>
        </w:rPr>
        <w:t>差异基因交集结果，结合各样本的分组信息。利用pROC包分别进行ROC分析。</w:t>
      </w:r>
    </w:p>
    <w:p>
      <w:pPr>
        <w:adjustRightInd w:val="0"/>
        <w:snapToGrid w:val="0"/>
        <w:spacing w:line="360" w:lineRule="auto"/>
        <w:rPr>
          <w:rFonts w:eastAsiaTheme="minorEastAsia"/>
          <w:sz w:val="24"/>
          <w:lang w:val="en-US"/>
        </w:rPr>
      </w:pPr>
      <w:r>
        <w:rPr>
          <w:rFonts w:hint="eastAsia" w:eastAsiaTheme="minorEastAsia"/>
          <w:sz w:val="24"/>
        </w:rPr>
        <w:t>结果文件夹：</w:t>
      </w:r>
      <w:r>
        <w:rPr>
          <w:rFonts w:hint="eastAsia" w:eastAsiaTheme="minorEastAsia"/>
          <w:sz w:val="24"/>
          <w:lang w:val="en-US"/>
        </w:rPr>
        <w:t>ROC</w:t>
      </w:r>
    </w:p>
    <w:p>
      <w:pPr>
        <w:widowControl/>
        <w:adjustRightInd w:val="0"/>
        <w:snapToGrid w:val="0"/>
        <w:spacing w:line="360" w:lineRule="auto"/>
        <w:rPr>
          <w:rFonts w:eastAsiaTheme="minorEastAsia"/>
          <w:bCs/>
          <w:szCs w:val="32"/>
        </w:rPr>
      </w:pPr>
      <w:r>
        <w:rPr>
          <w:rFonts w:hint="eastAsia" w:eastAsiaTheme="minorEastAsia"/>
          <w:bCs/>
          <w:szCs w:val="32"/>
        </w:rPr>
        <w:t>部分</w:t>
      </w:r>
      <w:r>
        <w:rPr>
          <w:rFonts w:hint="eastAsia" w:eastAsiaTheme="minorEastAsia"/>
          <w:bCs/>
          <w:szCs w:val="32"/>
          <w:lang w:val="en-US" w:eastAsia="zh-CN"/>
        </w:rPr>
        <w:t>ROC</w:t>
      </w:r>
      <w:bookmarkStart w:id="10" w:name="_GoBack"/>
      <w:bookmarkEnd w:id="10"/>
      <w:r>
        <w:rPr>
          <w:rFonts w:hint="eastAsia" w:eastAsiaTheme="minorEastAsia"/>
          <w:bCs/>
          <w:szCs w:val="32"/>
        </w:rPr>
        <w:t>结果表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574415" cy="3574415"/>
            <wp:effectExtent l="0" t="0" r="6985" b="6985"/>
            <wp:docPr id="2" name="图片 2" descr="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o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3565525" cy="3565525"/>
            <wp:effectExtent l="0" t="0" r="635" b="635"/>
            <wp:docPr id="4" name="图片 4" descr="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60" w:lineRule="auto"/>
        <w:jc w:val="center"/>
        <w:rPr>
          <w:rFonts w:eastAsiaTheme="minorEastAsia"/>
          <w:bCs/>
          <w:sz w:val="24"/>
          <w:szCs w:val="32"/>
          <w:lang w:val="en-US"/>
        </w:rPr>
      </w:pPr>
      <w:r>
        <w:rPr>
          <w:rFonts w:hint="eastAsia" w:eastAsiaTheme="minorEastAsia"/>
          <w:bCs/>
          <w:sz w:val="24"/>
          <w:szCs w:val="32"/>
          <w:lang w:val="en-US"/>
        </w:rPr>
        <w:t>ROC</w:t>
      </w:r>
      <w:r>
        <w:rPr>
          <w:rFonts w:hint="eastAsia" w:eastAsiaTheme="minorEastAsia"/>
          <w:bCs/>
          <w:sz w:val="24"/>
          <w:szCs w:val="32"/>
        </w:rPr>
        <w:t>结果图</w:t>
      </w:r>
      <w:r>
        <w:rPr>
          <w:rFonts w:hint="eastAsia" w:eastAsiaTheme="minorEastAsia"/>
          <w:bCs/>
          <w:sz w:val="24"/>
          <w:szCs w:val="32"/>
          <w:lang w:val="en-US"/>
        </w:rPr>
        <w:t>（</w:t>
      </w:r>
      <w:r>
        <w:rPr>
          <w:rFonts w:hint="eastAsia" w:eastAsiaTheme="minorEastAsia"/>
          <w:bCs/>
          <w:sz w:val="24"/>
          <w:szCs w:val="32"/>
        </w:rPr>
        <w:t>上</w:t>
      </w:r>
      <w:r>
        <w:rPr>
          <w:rFonts w:hint="eastAsia" w:eastAsiaTheme="minorEastAsia"/>
          <w:bCs/>
          <w:sz w:val="24"/>
          <w:szCs w:val="32"/>
          <w:lang w:val="en-US"/>
        </w:rPr>
        <w:t>：GSE160306，</w:t>
      </w:r>
      <w:r>
        <w:rPr>
          <w:rFonts w:hint="eastAsia" w:eastAsiaTheme="minorEastAsia"/>
          <w:bCs/>
          <w:sz w:val="24"/>
          <w:szCs w:val="32"/>
        </w:rPr>
        <w:t>下</w:t>
      </w:r>
      <w:r>
        <w:rPr>
          <w:rFonts w:hint="eastAsia" w:eastAsiaTheme="minorEastAsia"/>
          <w:bCs/>
          <w:sz w:val="24"/>
          <w:szCs w:val="32"/>
          <w:lang w:val="en-US"/>
        </w:rPr>
        <w:t>：GSE185011）</w:t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rPr>
          <w:rFonts w:ascii="Times New Roman" w:hAnsi="Times New Roman" w:cs="Times New Roman" w:eastAsiaTheme="minorEastAsia"/>
          <w:b/>
          <w:sz w:val="28"/>
          <w:lang w:val="en-US"/>
        </w:rPr>
      </w:pPr>
      <w:r>
        <w:rPr>
          <w:rFonts w:hint="eastAsia" w:ascii="Times New Roman" w:hAnsi="Times New Roman" w:cs="Times New Roman" w:eastAsiaTheme="minorEastAsia"/>
          <w:b/>
          <w:sz w:val="28"/>
          <w:lang w:val="en-US"/>
        </w:rPr>
        <w:t>3.3.3、miRNA</w:t>
      </w:r>
      <w:r>
        <w:rPr>
          <w:rFonts w:hint="eastAsia" w:ascii="Times New Roman" w:hAnsi="Times New Roman" w:cs="Times New Roman" w:eastAsiaTheme="minorEastAsia"/>
          <w:b/>
          <w:sz w:val="28"/>
        </w:rPr>
        <w:t>预测</w:t>
      </w:r>
    </w:p>
    <w:p>
      <w:pPr>
        <w:adjustRightInd w:val="0"/>
        <w:snapToGrid w:val="0"/>
        <w:spacing w:line="360" w:lineRule="auto"/>
        <w:ind w:firstLine="480" w:firstLineChars="200"/>
        <w:rPr>
          <w:rFonts w:eastAsiaTheme="minorEastAsia"/>
          <w:sz w:val="24"/>
        </w:rPr>
      </w:pPr>
      <w:r>
        <w:rPr>
          <w:rFonts w:hint="eastAsia" w:eastAsiaTheme="minorEastAsia"/>
          <w:sz w:val="24"/>
        </w:rPr>
        <w:t>这里根据</w:t>
      </w:r>
      <w:r>
        <w:rPr>
          <w:rFonts w:hint="eastAsia" w:eastAsiaTheme="minorEastAsia"/>
          <w:sz w:val="24"/>
          <w:lang w:val="en-US"/>
        </w:rPr>
        <w:t>miRNA</w:t>
      </w:r>
      <w:r>
        <w:rPr>
          <w:rFonts w:hint="eastAsia" w:eastAsiaTheme="minorEastAsia"/>
          <w:sz w:val="24"/>
        </w:rPr>
        <w:t>与</w:t>
      </w:r>
      <w:r>
        <w:rPr>
          <w:rFonts w:hint="eastAsia" w:eastAsiaTheme="minorEastAsia"/>
          <w:sz w:val="24"/>
          <w:lang w:val="en-US"/>
        </w:rPr>
        <w:t>mRNA</w:t>
      </w:r>
      <w:r>
        <w:rPr>
          <w:rFonts w:hint="eastAsia" w:eastAsiaTheme="minorEastAsia"/>
          <w:sz w:val="24"/>
        </w:rPr>
        <w:t>结合数据库</w:t>
      </w:r>
      <w:r>
        <w:rPr>
          <w:rFonts w:hint="eastAsia" w:eastAsiaTheme="minorEastAsia"/>
          <w:sz w:val="24"/>
          <w:lang w:val="en-US"/>
        </w:rPr>
        <w:t>（</w:t>
      </w:r>
      <w:r>
        <w:rPr>
          <w:rFonts w:eastAsiaTheme="minorEastAsia"/>
          <w:sz w:val="24"/>
          <w:lang w:val="en-US"/>
        </w:rPr>
        <w:t>miRDB</w:t>
      </w:r>
      <w:r>
        <w:rPr>
          <w:rFonts w:hint="eastAsia" w:eastAsiaTheme="minorEastAsia"/>
          <w:sz w:val="24"/>
        </w:rPr>
        <w:t>、</w:t>
      </w:r>
      <w:r>
        <w:rPr>
          <w:rFonts w:eastAsiaTheme="minorEastAsia"/>
          <w:sz w:val="24"/>
          <w:lang w:val="en-US"/>
        </w:rPr>
        <w:t>TargetScan</w:t>
      </w:r>
      <w:r>
        <w:rPr>
          <w:rFonts w:hint="eastAsia" w:eastAsiaTheme="minorEastAsia"/>
          <w:sz w:val="24"/>
        </w:rPr>
        <w:t>、</w:t>
      </w:r>
      <w:r>
        <w:rPr>
          <w:rFonts w:eastAsiaTheme="minorEastAsia"/>
          <w:sz w:val="24"/>
          <w:lang w:val="en-US"/>
        </w:rPr>
        <w:t>miRanda</w:t>
      </w:r>
      <w:r>
        <w:rPr>
          <w:rFonts w:hint="eastAsia" w:eastAsiaTheme="minorEastAsia"/>
          <w:sz w:val="24"/>
        </w:rPr>
        <w:t>、</w:t>
      </w:r>
      <w:r>
        <w:rPr>
          <w:rFonts w:eastAsiaTheme="minorEastAsia"/>
          <w:sz w:val="24"/>
          <w:lang w:val="en-US"/>
        </w:rPr>
        <w:t>miTarBase</w:t>
      </w:r>
      <w:r>
        <w:rPr>
          <w:rFonts w:hint="eastAsia" w:eastAsiaTheme="minorEastAsia"/>
          <w:sz w:val="24"/>
          <w:lang w:val="en-US"/>
        </w:rPr>
        <w:t>）</w:t>
      </w:r>
      <w:r>
        <w:rPr>
          <w:rFonts w:hint="eastAsia" w:eastAsiaTheme="minorEastAsia"/>
          <w:sz w:val="24"/>
        </w:rPr>
        <w:t>找出目标基因对应的</w:t>
      </w:r>
      <w:r>
        <w:rPr>
          <w:rFonts w:hint="eastAsia" w:eastAsiaTheme="minorEastAsia"/>
          <w:sz w:val="24"/>
          <w:lang w:val="en-US"/>
        </w:rPr>
        <w:t>miRNA</w:t>
      </w:r>
      <w:r>
        <w:rPr>
          <w:rFonts w:hint="eastAsia" w:eastAsiaTheme="minorEastAsia"/>
          <w:sz w:val="24"/>
        </w:rPr>
        <w:t>。然后筛选至少</w:t>
      </w:r>
      <w:r>
        <w:rPr>
          <w:rFonts w:eastAsiaTheme="minorEastAsia"/>
          <w:sz w:val="24"/>
        </w:rPr>
        <w:t>4</w:t>
      </w:r>
      <w:r>
        <w:rPr>
          <w:rFonts w:hint="eastAsia" w:eastAsiaTheme="minorEastAsia"/>
          <w:sz w:val="24"/>
        </w:rPr>
        <w:t>个数据库中同时存在的关系对，作为最终的miRNA</w:t>
      </w:r>
      <w:r>
        <w:rPr>
          <w:rFonts w:eastAsiaTheme="minorEastAsia"/>
          <w:sz w:val="24"/>
        </w:rPr>
        <w:t>-</w:t>
      </w:r>
      <w:r>
        <w:rPr>
          <w:rFonts w:hint="eastAsia" w:eastAsiaTheme="minorEastAsia"/>
          <w:sz w:val="24"/>
        </w:rPr>
        <w:t>Gene关系对。</w:t>
      </w:r>
    </w:p>
    <w:p>
      <w:pPr>
        <w:adjustRightInd w:val="0"/>
        <w:snapToGrid w:val="0"/>
        <w:spacing w:line="360" w:lineRule="auto"/>
        <w:rPr>
          <w:rFonts w:eastAsiaTheme="minorEastAsia"/>
          <w:sz w:val="24"/>
          <w:szCs w:val="24"/>
        </w:rPr>
      </w:pPr>
      <w:r>
        <w:rPr>
          <w:rFonts w:hint="eastAsia" w:eastAsiaTheme="minorEastAsia"/>
          <w:sz w:val="24"/>
          <w:szCs w:val="24"/>
        </w:rPr>
        <w:t>结果文件夹：</w:t>
      </w:r>
      <w:r>
        <w:rPr>
          <w:rFonts w:eastAsiaTheme="minorEastAsia"/>
          <w:sz w:val="24"/>
          <w:szCs w:val="24"/>
        </w:rPr>
        <w:t>miRNA</w:t>
      </w:r>
    </w:p>
    <w:p>
      <w:pPr>
        <w:adjustRightInd w:val="0"/>
        <w:snapToGrid w:val="0"/>
        <w:spacing w:line="360" w:lineRule="auto"/>
        <w:rPr>
          <w:rFonts w:eastAsiaTheme="minorEastAsia"/>
        </w:rPr>
      </w:pPr>
      <w:bookmarkStart w:id="1" w:name="OLE_LINK26"/>
      <w:bookmarkStart w:id="2" w:name="OLE_LINK25"/>
      <w:r>
        <w:rPr>
          <w:rFonts w:hint="eastAsia" w:eastAsiaTheme="minorEastAsia"/>
          <w:lang w:val="en-US"/>
        </w:rPr>
        <w:t>目标</w:t>
      </w:r>
      <w:r>
        <w:rPr>
          <w:rFonts w:hint="eastAsia" w:eastAsiaTheme="minorEastAsia"/>
        </w:rPr>
        <w:t>基因</w:t>
      </w:r>
      <w:bookmarkEnd w:id="1"/>
      <w:bookmarkEnd w:id="2"/>
      <w:r>
        <w:rPr>
          <w:rFonts w:hint="eastAsia" w:eastAsiaTheme="minorEastAsia"/>
        </w:rPr>
        <w:t>miRNA预测部分结果表</w:t>
      </w:r>
    </w:p>
    <w:tbl>
      <w:tblPr>
        <w:tblStyle w:val="8"/>
        <w:tblW w:w="8770" w:type="dxa"/>
        <w:tblInd w:w="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7"/>
        <w:gridCol w:w="1340"/>
        <w:gridCol w:w="720"/>
        <w:gridCol w:w="1230"/>
        <w:gridCol w:w="965"/>
        <w:gridCol w:w="925"/>
        <w:gridCol w:w="1209"/>
        <w:gridCol w:w="72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miRNA</w:t>
            </w:r>
          </w:p>
        </w:tc>
        <w:tc>
          <w:tcPr>
            <w:tcW w:w="134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Target_Gene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miRDB</w:t>
            </w:r>
          </w:p>
        </w:tc>
        <w:tc>
          <w:tcPr>
            <w:tcW w:w="123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TargetScan</w:t>
            </w:r>
          </w:p>
        </w:tc>
        <w:tc>
          <w:tcPr>
            <w:tcW w:w="9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miRanda</w:t>
            </w:r>
          </w:p>
        </w:tc>
        <w:tc>
          <w:tcPr>
            <w:tcW w:w="9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miRMap</w:t>
            </w:r>
          </w:p>
        </w:tc>
        <w:tc>
          <w:tcPr>
            <w:tcW w:w="12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miTarBase</w:t>
            </w:r>
          </w:p>
        </w:tc>
        <w:tc>
          <w:tcPr>
            <w:tcW w:w="72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  <w:lang w:val="en-US" w:bidi="ar"/>
              </w:rPr>
              <w:t>Count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hsa-miR-214-3p</w:t>
            </w:r>
          </w:p>
        </w:tc>
        <w:tc>
          <w:tcPr>
            <w:tcW w:w="1340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LTF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30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65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25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09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724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hsa-miR-1275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DYSF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0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hsa-miR-196b-3p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LTF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0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hsa-miR-654-3p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DYSF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0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657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hsa-miR-761</w:t>
            </w:r>
          </w:p>
        </w:tc>
        <w:tc>
          <w:tcPr>
            <w:tcW w:w="134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LTF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0</w:t>
            </w:r>
          </w:p>
        </w:tc>
        <w:tc>
          <w:tcPr>
            <w:tcW w:w="724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  <w:lang w:val="en-US" w:bidi="ar"/>
              </w:rPr>
              <w:t>4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rPr>
          <w:rFonts w:ascii="Times New Roman" w:hAnsi="Times New Roman" w:cs="Times New Roman" w:eastAsiaTheme="minorEastAsia"/>
          <w:b/>
          <w:sz w:val="28"/>
        </w:rPr>
      </w:pPr>
      <w:r>
        <w:rPr>
          <w:rFonts w:hint="eastAsia" w:ascii="Times New Roman" w:hAnsi="Times New Roman" w:cs="Times New Roman" w:eastAsiaTheme="minorEastAsia"/>
          <w:b/>
          <w:sz w:val="28"/>
          <w:lang w:val="en-US"/>
        </w:rPr>
        <w:t>3.3.4、</w:t>
      </w:r>
      <w:r>
        <w:rPr>
          <w:rFonts w:hint="eastAsia" w:ascii="Times New Roman" w:hAnsi="Times New Roman" w:cs="Times New Roman" w:eastAsiaTheme="minorEastAsia"/>
          <w:b/>
          <w:sz w:val="28"/>
        </w:rPr>
        <w:t>TF预测</w:t>
      </w:r>
    </w:p>
    <w:p>
      <w:pPr>
        <w:adjustRightInd w:val="0"/>
        <w:snapToGrid w:val="0"/>
        <w:spacing w:line="360" w:lineRule="auto"/>
        <w:ind w:firstLine="480" w:firstLineChars="200"/>
        <w:rPr>
          <w:rFonts w:eastAsiaTheme="minorEastAsia"/>
          <w:sz w:val="24"/>
        </w:rPr>
      </w:pPr>
      <w:r>
        <w:rPr>
          <w:rFonts w:hint="eastAsia" w:eastAsiaTheme="minorEastAsia"/>
          <w:sz w:val="24"/>
        </w:rPr>
        <w:t>这里根据数据库（ChEA、ENCODE、hTFtarget、TRANSFAC和TRRUST）中基因与转录因子（TF）的关系找出目标基因对应的转录因子（至少</w:t>
      </w:r>
      <w:r>
        <w:rPr>
          <w:rFonts w:eastAsiaTheme="minorEastAsia"/>
          <w:sz w:val="24"/>
        </w:rPr>
        <w:t>3</w:t>
      </w:r>
      <w:r>
        <w:rPr>
          <w:rFonts w:hint="eastAsia" w:eastAsiaTheme="minorEastAsia"/>
          <w:sz w:val="24"/>
        </w:rPr>
        <w:t>个数据库中同时存在的关系对）。</w:t>
      </w:r>
    </w:p>
    <w:p>
      <w:pPr>
        <w:adjustRightInd w:val="0"/>
        <w:snapToGrid w:val="0"/>
        <w:spacing w:line="360" w:lineRule="auto"/>
        <w:rPr>
          <w:rFonts w:eastAsiaTheme="minorEastAsia"/>
          <w:sz w:val="24"/>
          <w:lang w:val="en-US"/>
        </w:rPr>
      </w:pPr>
      <w:r>
        <w:rPr>
          <w:rFonts w:hint="eastAsia" w:eastAsiaTheme="minorEastAsia"/>
          <w:sz w:val="24"/>
        </w:rPr>
        <w:t>结果文件夹：</w:t>
      </w:r>
      <w:r>
        <w:rPr>
          <w:rFonts w:hint="eastAsia" w:eastAsiaTheme="minorEastAsia"/>
          <w:sz w:val="24"/>
          <w:lang w:val="en-US"/>
        </w:rPr>
        <w:t>TF</w:t>
      </w:r>
    </w:p>
    <w:p>
      <w:pPr>
        <w:adjustRightInd w:val="0"/>
        <w:snapToGrid w:val="0"/>
        <w:spacing w:line="360" w:lineRule="auto"/>
        <w:rPr>
          <w:rFonts w:eastAsiaTheme="minorEastAsia"/>
          <w:sz w:val="24"/>
        </w:rPr>
      </w:pPr>
      <w:bookmarkStart w:id="3" w:name="_Hlk104817999"/>
      <w:bookmarkStart w:id="4" w:name="OLE_LINK20"/>
      <w:r>
        <w:rPr>
          <w:rFonts w:hint="eastAsia" w:eastAsiaTheme="minorEastAsia"/>
        </w:rPr>
        <w:t>目标基因</w:t>
      </w:r>
      <w:bookmarkEnd w:id="3"/>
      <w:bookmarkEnd w:id="4"/>
      <w:r>
        <w:rPr>
          <w:rFonts w:eastAsiaTheme="minorEastAsia"/>
        </w:rPr>
        <w:t>TF</w:t>
      </w:r>
      <w:r>
        <w:rPr>
          <w:rFonts w:hint="eastAsia" w:eastAsiaTheme="minorEastAsia"/>
        </w:rPr>
        <w:t>预测部分结果表</w:t>
      </w:r>
    </w:p>
    <w:tbl>
      <w:tblPr>
        <w:tblStyle w:val="8"/>
        <w:tblW w:w="8770" w:type="dxa"/>
        <w:tblInd w:w="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078"/>
        <w:gridCol w:w="1078"/>
        <w:gridCol w:w="1015"/>
        <w:gridCol w:w="1268"/>
        <w:gridCol w:w="1167"/>
        <w:gridCol w:w="1008"/>
        <w:gridCol w:w="107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7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TF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Target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ChEA</w:t>
            </w:r>
          </w:p>
        </w:tc>
        <w:tc>
          <w:tcPr>
            <w:tcW w:w="101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ENCODE</w:t>
            </w:r>
          </w:p>
        </w:tc>
        <w:tc>
          <w:tcPr>
            <w:tcW w:w="126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hTFtarget</w:t>
            </w:r>
          </w:p>
        </w:tc>
        <w:tc>
          <w:tcPr>
            <w:tcW w:w="1167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TRANSFAC</w:t>
            </w:r>
          </w:p>
        </w:tc>
        <w:tc>
          <w:tcPr>
            <w:tcW w:w="10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TRRUST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Count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77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JUN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107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15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26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167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00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79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EP300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GATA1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77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GATA3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107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0</w:t>
            </w:r>
          </w:p>
        </w:tc>
        <w:tc>
          <w:tcPr>
            <w:tcW w:w="107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right"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3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rPr>
          <w:rFonts w:ascii="Times New Roman" w:hAnsi="Times New Roman" w:cs="Times New Roman" w:eastAsiaTheme="minorEastAsia"/>
          <w:b/>
          <w:sz w:val="28"/>
        </w:rPr>
      </w:pPr>
      <w:r>
        <w:rPr>
          <w:rFonts w:hint="eastAsia" w:ascii="Times New Roman" w:hAnsi="Times New Roman" w:cs="Times New Roman" w:eastAsiaTheme="minorEastAsia"/>
          <w:b/>
          <w:sz w:val="28"/>
          <w:lang w:val="en-US"/>
        </w:rPr>
        <w:t>3.3.5、lncRNA</w:t>
      </w:r>
      <w:r>
        <w:rPr>
          <w:rFonts w:hint="eastAsia" w:ascii="Times New Roman" w:hAnsi="Times New Roman" w:cs="Times New Roman" w:eastAsiaTheme="minorEastAsia"/>
          <w:b/>
          <w:sz w:val="28"/>
        </w:rPr>
        <w:t>预测</w:t>
      </w:r>
    </w:p>
    <w:p>
      <w:pPr>
        <w:pStyle w:val="6"/>
        <w:spacing w:line="417" w:lineRule="auto"/>
        <w:ind w:right="168" w:firstLine="480" w:firstLineChars="200"/>
        <w:rPr>
          <w:rFonts w:eastAsiaTheme="minorEastAsia"/>
          <w:sz w:val="24"/>
          <w:szCs w:val="22"/>
          <w:lang w:val="en-US"/>
        </w:rPr>
      </w:pPr>
      <w:r>
        <w:rPr>
          <w:rFonts w:eastAsiaTheme="minorEastAsia"/>
          <w:sz w:val="24"/>
          <w:szCs w:val="22"/>
          <w:lang w:val="en-US"/>
        </w:rPr>
        <w:t>这里根据ENCORI（https://starbase.sysu.edu.cn/）结合数据库找出候选基因对应的lncRNA。</w:t>
      </w:r>
    </w:p>
    <w:p>
      <w:pPr>
        <w:adjustRightInd w:val="0"/>
        <w:snapToGrid w:val="0"/>
        <w:spacing w:line="360" w:lineRule="auto"/>
        <w:rPr>
          <w:rFonts w:eastAsiaTheme="minorEastAsia"/>
          <w:sz w:val="24"/>
          <w:lang w:val="en-US"/>
        </w:rPr>
      </w:pPr>
      <w:r>
        <w:rPr>
          <w:rFonts w:hint="eastAsia" w:eastAsiaTheme="minorEastAsia"/>
          <w:sz w:val="24"/>
        </w:rPr>
        <w:t>结果文件夹：</w:t>
      </w:r>
      <w:r>
        <w:rPr>
          <w:rFonts w:hint="eastAsia" w:eastAsiaTheme="minorEastAsia"/>
          <w:sz w:val="24"/>
          <w:lang w:val="en-US"/>
        </w:rPr>
        <w:t>lncRNA</w:t>
      </w:r>
    </w:p>
    <w:p>
      <w:pPr>
        <w:adjustRightInd w:val="0"/>
        <w:snapToGrid w:val="0"/>
        <w:spacing w:line="360" w:lineRule="auto"/>
        <w:rPr>
          <w:rFonts w:eastAsiaTheme="minorEastAsia"/>
          <w:lang w:val="en-US"/>
        </w:rPr>
      </w:pPr>
      <w:r>
        <w:rPr>
          <w:rFonts w:hint="eastAsia" w:eastAsiaTheme="minorEastAsia"/>
        </w:rPr>
        <w:t>目标基因</w:t>
      </w:r>
      <w:r>
        <w:rPr>
          <w:rFonts w:hint="eastAsia" w:eastAsiaTheme="minorEastAsia"/>
          <w:lang w:val="en-US"/>
        </w:rPr>
        <w:t>lncRNA</w:t>
      </w:r>
      <w:r>
        <w:rPr>
          <w:rFonts w:hint="eastAsia" w:eastAsiaTheme="minorEastAsia"/>
        </w:rPr>
        <w:t>预测部分结果表</w:t>
      </w:r>
    </w:p>
    <w:tbl>
      <w:tblPr>
        <w:tblStyle w:val="8"/>
        <w:tblW w:w="6364" w:type="dxa"/>
        <w:tblInd w:w="9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6"/>
        <w:gridCol w:w="1103"/>
        <w:gridCol w:w="1866"/>
        <w:gridCol w:w="15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6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geneID</w:t>
            </w:r>
          </w:p>
        </w:tc>
        <w:tc>
          <w:tcPr>
            <w:tcW w:w="10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geneName</w:t>
            </w:r>
          </w:p>
        </w:tc>
        <w:tc>
          <w:tcPr>
            <w:tcW w:w="186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pairGeneID</w:t>
            </w:r>
          </w:p>
        </w:tc>
        <w:tc>
          <w:tcPr>
            <w:tcW w:w="153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bidi="ar"/>
              </w:rPr>
              <w:t>pairGeneName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ENSG00000092439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TRPM7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ENSG00000099956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SMARCB1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ENSG00000063978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RNF4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ENSG00000105640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RPL18A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ENSG00000122406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RPL5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ENSG00000135636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DYSF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ENSG00000185479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textAlignment w:val="center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bidi="ar"/>
              </w:rPr>
              <w:t>KRT6B</w:t>
            </w:r>
          </w:p>
        </w:tc>
      </w:tr>
    </w:tbl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14"/>
        <w:adjustRightInd w:val="0"/>
        <w:snapToGrid w:val="0"/>
        <w:spacing w:line="360" w:lineRule="auto"/>
        <w:ind w:left="0" w:firstLine="0"/>
        <w:rPr>
          <w:rFonts w:ascii="Times New Roman" w:hAnsi="Times New Roman" w:cs="Times New Roman" w:eastAsiaTheme="minorEastAsia"/>
          <w:b/>
          <w:sz w:val="28"/>
        </w:rPr>
      </w:pPr>
      <w:r>
        <w:rPr>
          <w:rFonts w:hint="eastAsia" w:ascii="Times New Roman" w:hAnsi="Times New Roman" w:cs="Times New Roman" w:eastAsiaTheme="minorEastAsia"/>
          <w:b/>
          <w:sz w:val="28"/>
          <w:lang w:val="en-US"/>
        </w:rPr>
        <w:t>3.3.6、</w:t>
      </w:r>
      <w:r>
        <w:rPr>
          <w:rFonts w:hint="eastAsia" w:ascii="Times New Roman" w:hAnsi="Times New Roman" w:cs="Times New Roman" w:eastAsiaTheme="minorEastAsia"/>
          <w:b/>
          <w:sz w:val="28"/>
        </w:rPr>
        <w:t>调控网络</w:t>
      </w:r>
    </w:p>
    <w:p>
      <w:pPr>
        <w:adjustRightInd w:val="0"/>
        <w:snapToGrid w:val="0"/>
        <w:spacing w:line="360" w:lineRule="auto"/>
        <w:ind w:firstLine="480" w:firstLineChars="200"/>
        <w:rPr>
          <w:rFonts w:eastAsiaTheme="minorEastAsia"/>
          <w:sz w:val="24"/>
        </w:rPr>
      </w:pPr>
      <w:r>
        <w:rPr>
          <w:rFonts w:hint="eastAsia" w:eastAsiaTheme="minorEastAsia"/>
          <w:sz w:val="24"/>
        </w:rPr>
        <w:t>这里根据上述找到的目标基因对应的TF</w:t>
      </w:r>
      <w:r>
        <w:rPr>
          <w:rFonts w:hint="eastAsia" w:eastAsiaTheme="minorEastAsia"/>
          <w:sz w:val="24"/>
          <w:lang w:val="en-US"/>
        </w:rPr>
        <w:t>,</w:t>
      </w:r>
      <w:r>
        <w:rPr>
          <w:rFonts w:hint="eastAsia" w:eastAsiaTheme="minorEastAsia"/>
          <w:sz w:val="24"/>
        </w:rPr>
        <w:t>miRNA</w:t>
      </w:r>
      <w:r>
        <w:rPr>
          <w:rFonts w:hint="eastAsia" w:eastAsiaTheme="minorEastAsia"/>
          <w:sz w:val="24"/>
          <w:lang w:val="en-US"/>
        </w:rPr>
        <w:t>和lncRNA</w:t>
      </w:r>
      <w:r>
        <w:rPr>
          <w:rFonts w:hint="eastAsia" w:eastAsiaTheme="minorEastAsia"/>
          <w:sz w:val="24"/>
        </w:rPr>
        <w:t>，用cytoscape构建网络图。</w:t>
      </w:r>
    </w:p>
    <w:p>
      <w:pPr>
        <w:adjustRightInd w:val="0"/>
        <w:snapToGrid w:val="0"/>
        <w:spacing w:line="360" w:lineRule="auto"/>
        <w:rPr>
          <w:rStyle w:val="16"/>
          <w:lang w:val="en-US"/>
        </w:rPr>
      </w:pPr>
      <w:r>
        <w:rPr>
          <w:rFonts w:hint="eastAsia" w:eastAsiaTheme="minorEastAsia"/>
          <w:sz w:val="24"/>
        </w:rPr>
        <w:t>结果文件夹：</w:t>
      </w:r>
      <w:r>
        <w:rPr>
          <w:rFonts w:eastAsiaTheme="minorEastAsia"/>
          <w:sz w:val="24"/>
        </w:rPr>
        <w:t>network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  <w:r>
        <w:rPr>
          <w:rStyle w:val="16"/>
          <w:lang w:val="en-US"/>
        </w:rPr>
        <w:drawing>
          <wp:inline distT="0" distB="0" distL="114300" distR="114300">
            <wp:extent cx="5485130" cy="1927860"/>
            <wp:effectExtent l="0" t="0" r="1270" b="7620"/>
            <wp:docPr id="3" name="图片 3" descr="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etwork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417" w:lineRule="auto"/>
        <w:ind w:right="168"/>
        <w:jc w:val="center"/>
        <w:rPr>
          <w:rStyle w:val="16"/>
          <w:lang w:val="en-US"/>
        </w:rPr>
      </w:pPr>
      <w:r>
        <w:rPr>
          <w:rFonts w:hint="eastAsia"/>
        </w:rPr>
        <w:t>调控</w:t>
      </w:r>
      <w:r>
        <w:rPr>
          <w:rFonts w:hint="eastAsia"/>
          <w:lang w:val="en-US"/>
        </w:rPr>
        <w:t>网络</w:t>
      </w:r>
      <w:r>
        <w:rPr>
          <w:rFonts w:hint="eastAsia"/>
        </w:rPr>
        <w:t>图</w:t>
      </w: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</w:p>
    <w:p>
      <w:pPr>
        <w:widowControl/>
        <w:autoSpaceDE/>
        <w:autoSpaceDN/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</w:pPr>
      <w:r>
        <w:rPr>
          <w:rFonts w:asciiTheme="minorHAnsi" w:hAnsiTheme="minorHAnsi" w:eastAsiaTheme="minorEastAsia" w:cstheme="minorBidi"/>
          <w:b/>
          <w:kern w:val="2"/>
          <w:sz w:val="32"/>
          <w:szCs w:val="32"/>
          <w:lang w:val="en-US" w:bidi="ar-SA"/>
        </w:rPr>
        <w:t>参考文献</w:t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ROBINSON M D, MCCARTHY D J, SMYTH G K. edgeR: a Bioconductor package for differential expression analysis of digital gene expression data [J]. Bioinformatics (Oxford, England), 2010, 26(1): 139-40.</w:t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Langfelder, P., Horvath, S. WGCNA: an R package for weighted correlation network analysis. BMC Bioinformatics 9, 559 (2008) doi:10.1186/1471-2105-9-559。</w:t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Ashburner, M., et al., Gene ontology: tool for the unification of biology. The Gene Ontology Consortium. Nat Genet, 2000. 25(1): p. 25-9.</w:t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Kanehisa, M. and S. Goto, KEGG: kyoto encyclopedia of genes and genomes. Nucleic Acids Res, 2000. 28(1): p. 27-30.</w:t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 xml:space="preserve">Friedman J, Hastie T, Tibshirani R (2010). Regularization Paths for Generalized Linear Models via Coordinate Descent. Journal of Statistical Software, 33(1), 1–22. </w:t>
      </w:r>
      <w:r>
        <w:fldChar w:fldCharType="begin"/>
      </w:r>
      <w:r>
        <w:instrText xml:space="preserve"> HYPERLINK "http://www.jstatsoft.org/v33/i01/." </w:instrText>
      </w:r>
      <w:r>
        <w:fldChar w:fldCharType="separate"/>
      </w: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http://www.jstatsoft.org/v33/i01/.</w:t>
      </w: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fldChar w:fldCharType="end"/>
      </w:r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bookmarkStart w:id="5" w:name="_ENREF_4"/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VEJNAR C E, BLUM M, ZDOBNOV E M. miRmap web: Comprehensive microRNA target prediction online [J]. Nucleic acids research, 2013, 41(Web Server issue): W165-W8.</w:t>
      </w:r>
      <w:bookmarkEnd w:id="5"/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bookmarkStart w:id="6" w:name="_ENREF_5"/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MIRANDA K C, HUYNH T, TAY Y, et al. A pattern-based method for the identification of MicroRNA binding sites and their corresponding heteroduplexes [J]. Cell, 2006, 126(6): 1203-17.</w:t>
      </w:r>
      <w:bookmarkEnd w:id="6"/>
    </w:p>
    <w:p>
      <w:pPr>
        <w:pStyle w:val="6"/>
        <w:numPr>
          <w:ilvl w:val="0"/>
          <w:numId w:val="6"/>
        </w:numPr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bookmarkStart w:id="7" w:name="_ENREF_6"/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WONG N, WANG X. miRDB: an online resource for microRNA target prediction and functional annotations [J]. Nucleic acids research, 2015, 43(Database issue): D146-D52.</w:t>
      </w:r>
      <w:bookmarkEnd w:id="7"/>
    </w:p>
    <w:p>
      <w:pPr>
        <w:pStyle w:val="6"/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bookmarkStart w:id="8" w:name="_ENREF_7"/>
      <w:r>
        <w:rPr>
          <w:rFonts w:hint="eastAsia" w:ascii="Times New Roman" w:hAnsi="Times New Roman" w:eastAsia="Times New Roman" w:cs="Times New Roman"/>
          <w:sz w:val="22"/>
          <w:szCs w:val="22"/>
          <w:lang w:val="en-US" w:bidi="en-US"/>
        </w:rPr>
        <w:t xml:space="preserve">[10] </w:t>
      </w: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NIELSEN C B, SHOMRON N, SANDBERG R, et al. Determinants of targeting by endogenous and exogenous microRNAs and siRNAs [J]. RNA, 2007, 13(11): 1894-910.</w:t>
      </w:r>
      <w:bookmarkEnd w:id="8"/>
    </w:p>
    <w:p>
      <w:pPr>
        <w:pStyle w:val="6"/>
        <w:spacing w:line="417" w:lineRule="auto"/>
        <w:ind w:right="168"/>
        <w:rPr>
          <w:rFonts w:ascii="Times New Roman" w:hAnsi="Times New Roman" w:eastAsia="Times New Roman" w:cs="Times New Roman"/>
          <w:sz w:val="22"/>
          <w:szCs w:val="22"/>
          <w:lang w:val="en-US" w:bidi="en-US"/>
        </w:rPr>
      </w:pPr>
      <w:bookmarkStart w:id="9" w:name="_ENREF_8"/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[</w:t>
      </w:r>
      <w:r>
        <w:rPr>
          <w:rFonts w:hint="eastAsia" w:ascii="Times New Roman" w:hAnsi="Times New Roman" w:eastAsia="Times New Roman" w:cs="Times New Roman"/>
          <w:sz w:val="22"/>
          <w:szCs w:val="22"/>
          <w:lang w:val="en-US" w:bidi="en-US"/>
        </w:rPr>
        <w:t>11</w:t>
      </w: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]</w:t>
      </w:r>
      <w:r>
        <w:rPr>
          <w:rFonts w:hint="eastAsia" w:ascii="Times New Roman" w:hAnsi="Times New Roman" w:eastAsia="Times New Roman" w:cs="Times New Roman"/>
          <w:sz w:val="22"/>
          <w:szCs w:val="22"/>
          <w:lang w:val="en-US" w:bidi="en-US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lang w:val="en-US" w:bidi="en-US"/>
        </w:rPr>
        <w:t>HUANG H-Y, LIN Y-C-D, LI J, et al. miRTarBase 2020: updates to the experimentally validated microRNA–target interaction database [J]. Nucleic Acids Research, 2019, 48(D1): D148-D54.</w:t>
      </w:r>
      <w:bookmarkEnd w:id="9"/>
    </w:p>
    <w:p>
      <w:pPr>
        <w:pStyle w:val="6"/>
        <w:spacing w:line="417" w:lineRule="auto"/>
        <w:ind w:right="168"/>
        <w:rPr>
          <w:rFonts w:ascii="Calibri" w:hAnsi="Calibri" w:cs="Calibri" w:eastAsiaTheme="minorEastAsia"/>
          <w:kern w:val="2"/>
          <w:sz w:val="20"/>
          <w:szCs w:val="24"/>
          <w:lang w:val="en-US" w:bidi="ar-SA"/>
        </w:rPr>
      </w:pPr>
    </w:p>
    <w:p>
      <w:pPr>
        <w:pStyle w:val="6"/>
        <w:spacing w:line="417" w:lineRule="auto"/>
        <w:ind w:right="168"/>
        <w:rPr>
          <w:rFonts w:ascii="Calibri" w:hAnsi="Calibri" w:cs="Calibri" w:eastAsiaTheme="minorEastAsia"/>
          <w:kern w:val="2"/>
          <w:sz w:val="20"/>
          <w:szCs w:val="24"/>
          <w:lang w:val="en-US" w:bidi="ar-SA"/>
        </w:rPr>
      </w:pPr>
    </w:p>
    <w:p>
      <w:pPr>
        <w:pStyle w:val="6"/>
        <w:spacing w:line="417" w:lineRule="auto"/>
        <w:ind w:right="168"/>
        <w:rPr>
          <w:rStyle w:val="16"/>
          <w:lang w:val="en-US"/>
        </w:rPr>
      </w:pPr>
    </w:p>
    <w:sectPr>
      <w:pgSz w:w="11910" w:h="16840"/>
      <w:pgMar w:top="1480" w:right="1580" w:bottom="280" w:left="16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B2DE45"/>
    <w:multiLevelType w:val="singleLevel"/>
    <w:tmpl w:val="9AB2DE45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0CA13DC4"/>
    <w:multiLevelType w:val="multilevel"/>
    <w:tmpl w:val="0CA13DC4"/>
    <w:lvl w:ilvl="0" w:tentative="0">
      <w:start w:val="2"/>
      <w:numFmt w:val="decimal"/>
      <w:suff w:val="nothing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suff w:val="nothing"/>
      <w:lvlText w:val="%1.%2、"/>
      <w:lvlJc w:val="left"/>
      <w:pPr>
        <w:ind w:left="720" w:hanging="720"/>
      </w:pPr>
      <w:rPr>
        <w:rFonts w:hint="eastAsia"/>
      </w:rPr>
    </w:lvl>
    <w:lvl w:ilvl="2" w:tentative="0">
      <w:start w:val="1"/>
      <w:numFmt w:val="decimal"/>
      <w:lvlText w:val="%3.1.1、"/>
      <w:lvlJc w:val="left"/>
      <w:pPr>
        <w:ind w:left="1152" w:hanging="1152"/>
      </w:pPr>
      <w:rPr>
        <w:rFonts w:hint="eastAsia"/>
      </w:rPr>
    </w:lvl>
    <w:lvl w:ilvl="3" w:tentative="0">
      <w:start w:val="1"/>
      <w:numFmt w:val="decimal"/>
      <w:lvlText w:val="%4.1.1.1、"/>
      <w:lvlJc w:val="left"/>
      <w:pPr>
        <w:ind w:left="1224" w:hanging="1224"/>
      </w:pPr>
      <w:rPr>
        <w:rFonts w:hint="eastAsia"/>
      </w:rPr>
    </w:lvl>
    <w:lvl w:ilvl="4" w:tentative="0">
      <w:start w:val="1"/>
      <w:numFmt w:val="lowerLetter"/>
      <w:lvlText w:val="%5."/>
      <w:lvlJc w:val="left"/>
      <w:pPr>
        <w:ind w:left="3744" w:hanging="504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2">
    <w:nsid w:val="1195429F"/>
    <w:multiLevelType w:val="multilevel"/>
    <w:tmpl w:val="1195429F"/>
    <w:lvl w:ilvl="0" w:tentative="0">
      <w:start w:val="1"/>
      <w:numFmt w:val="decimal"/>
      <w:suff w:val="nothing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suff w:val="nothing"/>
      <w:lvlText w:val="%1.%2、"/>
      <w:lvlJc w:val="left"/>
      <w:pPr>
        <w:ind w:left="720" w:hanging="720"/>
      </w:pPr>
      <w:rPr>
        <w:rFonts w:hint="eastAsia"/>
      </w:rPr>
    </w:lvl>
    <w:lvl w:ilvl="2" w:tentative="0">
      <w:start w:val="1"/>
      <w:numFmt w:val="decimal"/>
      <w:suff w:val="nothing"/>
      <w:lvlText w:val="%1.%2.%3、"/>
      <w:lvlJc w:val="left"/>
      <w:pPr>
        <w:ind w:left="720" w:hanging="720"/>
      </w:pPr>
      <w:rPr>
        <w:rFonts w:hint="eastAsia"/>
        <w:b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>
    <w:nsid w:val="11B86E20"/>
    <w:multiLevelType w:val="multilevel"/>
    <w:tmpl w:val="11B86E20"/>
    <w:lvl w:ilvl="0" w:tentative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0" w:firstLine="0"/>
      </w:pPr>
      <w:rPr>
        <w:rFonts w:hint="eastAsia"/>
      </w:rPr>
    </w:lvl>
    <w:lvl w:ilvl="2" w:tentative="0">
      <w:start w:val="1"/>
      <w:numFmt w:val="lowerRoman"/>
      <w:lvlText w:val="%3)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(%4)"/>
      <w:lvlJc w:val="left"/>
      <w:pPr>
        <w:ind w:left="0" w:firstLine="0"/>
      </w:pPr>
      <w:rPr>
        <w:rFonts w:hint="eastAsia"/>
      </w:rPr>
    </w:lvl>
    <w:lvl w:ilvl="4" w:tentative="0">
      <w:start w:val="1"/>
      <w:numFmt w:val="lowerLetter"/>
      <w:lvlText w:val="(%5)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Roman"/>
      <w:lvlText w:val="(%6)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0" w:firstLine="0"/>
      </w:pPr>
      <w:rPr>
        <w:rFonts w:hint="eastAsia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rFonts w:hint="eastAsia"/>
      </w:rPr>
    </w:lvl>
  </w:abstractNum>
  <w:abstractNum w:abstractNumId="4">
    <w:nsid w:val="263A3920"/>
    <w:multiLevelType w:val="multilevel"/>
    <w:tmpl w:val="263A3920"/>
    <w:lvl w:ilvl="0" w:tentative="0">
      <w:start w:val="1"/>
      <w:numFmt w:val="decimal"/>
      <w:suff w:val="nothing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suff w:val="nothing"/>
      <w:lvlText w:val="%1.%2、"/>
      <w:lvlJc w:val="left"/>
      <w:pPr>
        <w:ind w:left="720" w:hanging="720"/>
      </w:pPr>
      <w:rPr>
        <w:rFonts w:hint="eastAsia"/>
      </w:rPr>
    </w:lvl>
    <w:lvl w:ilvl="2" w:tentative="0">
      <w:start w:val="1"/>
      <w:numFmt w:val="decimal"/>
      <w:suff w:val="nothing"/>
      <w:lvlText w:val="%1.%2.%3、"/>
      <w:lvlJc w:val="left"/>
      <w:pPr>
        <w:ind w:left="720" w:hanging="720"/>
      </w:pPr>
      <w:rPr>
        <w:rFonts w:hint="eastAsia"/>
        <w:b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>
    <w:nsid w:val="298E5DDF"/>
    <w:multiLevelType w:val="multilevel"/>
    <w:tmpl w:val="298E5DDF"/>
    <w:lvl w:ilvl="0" w:tentative="0">
      <w:start w:val="3"/>
      <w:numFmt w:val="decimal"/>
      <w:suff w:val="nothing"/>
      <w:lvlText w:val="%1、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、"/>
      <w:lvlJc w:val="left"/>
      <w:pPr>
        <w:ind w:left="360" w:hanging="360"/>
      </w:pPr>
      <w:rPr>
        <w:rFonts w:hint="eastAsia"/>
        <w:sz w:val="32"/>
        <w:szCs w:val="32"/>
      </w:rPr>
    </w:lvl>
    <w:lvl w:ilvl="2" w:tentative="0">
      <w:start w:val="1"/>
      <w:numFmt w:val="decimal"/>
      <w:suff w:val="nothing"/>
      <w:lvlText w:val="%1.%2.%3、"/>
      <w:lvlJc w:val="left"/>
      <w:pPr>
        <w:ind w:left="360" w:hanging="360"/>
      </w:pPr>
      <w:rPr>
        <w:rFonts w:hint="eastAsia"/>
        <w:b/>
        <w:sz w:val="28"/>
        <w:szCs w:val="28"/>
      </w:rPr>
    </w:lvl>
    <w:lvl w:ilvl="3" w:tentative="0">
      <w:start w:val="1"/>
      <w:numFmt w:val="decimal"/>
      <w:lvlText w:val="%4.1.1.1、"/>
      <w:lvlJc w:val="left"/>
      <w:pPr>
        <w:ind w:left="360" w:hanging="360"/>
      </w:pPr>
      <w:rPr>
        <w:rFonts w:hint="eastAsia"/>
      </w:rPr>
    </w:lvl>
    <w:lvl w:ilvl="4" w:tentative="0">
      <w:start w:val="1"/>
      <w:numFmt w:val="lowerLetter"/>
      <w:lvlText w:val="%5."/>
      <w:lvlJc w:val="left"/>
      <w:pPr>
        <w:ind w:left="360" w:hanging="36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36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60" w:hanging="360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360" w:hanging="36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60" w:hanging="360"/>
      </w:pPr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jBjODlhYWQ0NzMzNWUyNzM2Yjg5YzUzOTBjNWIzMzIifQ=="/>
  </w:docVars>
  <w:rsids>
    <w:rsidRoot w:val="00172A27"/>
    <w:rsid w:val="00172A27"/>
    <w:rsid w:val="0019200C"/>
    <w:rsid w:val="001F4AC3"/>
    <w:rsid w:val="002F48C2"/>
    <w:rsid w:val="006136B1"/>
    <w:rsid w:val="00756887"/>
    <w:rsid w:val="007C04BF"/>
    <w:rsid w:val="008F1E53"/>
    <w:rsid w:val="009053ED"/>
    <w:rsid w:val="00951F75"/>
    <w:rsid w:val="00A77657"/>
    <w:rsid w:val="00CB2F3A"/>
    <w:rsid w:val="0B7F4D0A"/>
    <w:rsid w:val="0DD5291B"/>
    <w:rsid w:val="11196A9C"/>
    <w:rsid w:val="12B76564"/>
    <w:rsid w:val="15744B16"/>
    <w:rsid w:val="18CC02C5"/>
    <w:rsid w:val="1FBA0173"/>
    <w:rsid w:val="201118C0"/>
    <w:rsid w:val="2D3956F0"/>
    <w:rsid w:val="2DA305FA"/>
    <w:rsid w:val="2DC65478"/>
    <w:rsid w:val="399E5818"/>
    <w:rsid w:val="3F0C00D4"/>
    <w:rsid w:val="47286C6F"/>
    <w:rsid w:val="48A11E3B"/>
    <w:rsid w:val="4FA407B6"/>
    <w:rsid w:val="5AE738B1"/>
    <w:rsid w:val="5E3535ED"/>
    <w:rsid w:val="5E654449"/>
    <w:rsid w:val="687B6DF6"/>
    <w:rsid w:val="6B43545F"/>
    <w:rsid w:val="720A669D"/>
    <w:rsid w:val="7B17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388" w:hanging="269"/>
      <w:outlineLvl w:val="0"/>
    </w:pPr>
    <w:rPr>
      <w:b/>
      <w:bCs/>
      <w:sz w:val="21"/>
      <w:szCs w:val="21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spacing w:before="240" w:line="480" w:lineRule="exact"/>
      <w:outlineLvl w:val="2"/>
    </w:pPr>
    <w:rPr>
      <w:b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0"/>
    <w:uiPriority w:val="0"/>
    <w:rPr>
      <w:sz w:val="20"/>
      <w:szCs w:val="20"/>
    </w:rPr>
  </w:style>
  <w:style w:type="paragraph" w:styleId="6">
    <w:name w:val="Body Text"/>
    <w:basedOn w:val="1"/>
    <w:qFormat/>
    <w:uiPriority w:val="1"/>
    <w:rPr>
      <w:sz w:val="21"/>
      <w:szCs w:val="21"/>
    </w:rPr>
  </w:style>
  <w:style w:type="paragraph" w:styleId="7">
    <w:name w:val="annotation subject"/>
    <w:basedOn w:val="5"/>
    <w:next w:val="5"/>
    <w:link w:val="21"/>
    <w:uiPriority w:val="0"/>
    <w:rPr>
      <w:b/>
      <w:bCs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unhideWhenUsed/>
    <w:qFormat/>
    <w:uiPriority w:val="99"/>
    <w:rPr>
      <w:color w:val="0000FF"/>
      <w:u w:val="single"/>
    </w:rPr>
  </w:style>
  <w:style w:type="character" w:styleId="12">
    <w:name w:val="annotation reference"/>
    <w:basedOn w:val="10"/>
    <w:uiPriority w:val="0"/>
    <w:rPr>
      <w:sz w:val="16"/>
      <w:szCs w:val="16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120" w:hanging="269"/>
    </w:pPr>
  </w:style>
  <w:style w:type="paragraph" w:customStyle="1" w:styleId="15">
    <w:name w:val="Table Paragraph"/>
    <w:basedOn w:val="1"/>
    <w:qFormat/>
    <w:uiPriority w:val="1"/>
  </w:style>
  <w:style w:type="character" w:customStyle="1" w:styleId="16">
    <w:name w:val="不明显强调1"/>
    <w:qFormat/>
    <w:uiPriority w:val="19"/>
    <w:rPr>
      <w:rFonts w:hint="default" w:ascii="Times New Roman" w:hAnsi="Times New Roman" w:eastAsia="宋体" w:cs="Times New Roman"/>
      <w:sz w:val="24"/>
      <w:szCs w:val="24"/>
    </w:rPr>
  </w:style>
  <w:style w:type="character" w:customStyle="1" w:styleId="17">
    <w:name w:val="不明显强调11"/>
    <w:qFormat/>
    <w:uiPriority w:val="19"/>
    <w:rPr>
      <w:kern w:val="0"/>
      <w:sz w:val="24"/>
      <w:szCs w:val="24"/>
    </w:rPr>
  </w:style>
  <w:style w:type="paragraph" w:customStyle="1" w:styleId="18">
    <w:name w:val="表格文字"/>
    <w:basedOn w:val="1"/>
    <w:qFormat/>
    <w:uiPriority w:val="0"/>
    <w:pPr>
      <w:bidi/>
      <w:spacing w:line="240" w:lineRule="exact"/>
      <w:jc w:val="center"/>
    </w:pPr>
    <w:rPr>
      <w:sz w:val="20"/>
    </w:rPr>
  </w:style>
  <w:style w:type="paragraph" w:customStyle="1" w:styleId="19">
    <w:name w:val="EndNote Bibliography"/>
    <w:basedOn w:val="1"/>
    <w:qFormat/>
    <w:uiPriority w:val="0"/>
    <w:rPr>
      <w:rFonts w:ascii="Calibri" w:hAnsi="Calibri" w:cs="Calibri"/>
      <w:sz w:val="20"/>
    </w:rPr>
  </w:style>
  <w:style w:type="character" w:customStyle="1" w:styleId="20">
    <w:name w:val="批注文字 字符"/>
    <w:basedOn w:val="10"/>
    <w:link w:val="5"/>
    <w:uiPriority w:val="0"/>
    <w:rPr>
      <w:rFonts w:ascii="宋体" w:hAnsi="宋体" w:cs="宋体"/>
      <w:lang w:val="zh-CN" w:bidi="zh-CN"/>
    </w:rPr>
  </w:style>
  <w:style w:type="character" w:customStyle="1" w:styleId="21">
    <w:name w:val="批注主题 字符"/>
    <w:basedOn w:val="20"/>
    <w:link w:val="7"/>
    <w:uiPriority w:val="0"/>
    <w:rPr>
      <w:rFonts w:ascii="宋体" w:hAnsi="宋体" w:cs="宋体"/>
      <w:b/>
      <w:bCs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2362</Words>
  <Characters>5711</Characters>
  <Lines>55</Lines>
  <Paragraphs>15</Paragraphs>
  <TotalTime>40</TotalTime>
  <ScaleCrop>false</ScaleCrop>
  <LinksUpToDate>false</LinksUpToDate>
  <CharactersWithSpaces>6057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2022-11-25T01:19:00Z</dcterms:created>
  <dc:creator>Administrator</dc:creator>
  <cp:lastModifiedBy>余天成</cp:lastModifiedBy>
  <dcterms:modified xsi:type="dcterms:W3CDTF">2022-12-12T06:47:20Z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2022-11-25T00:00:00Z</vt:filetime>
  </property>
  <property fmtid="{D5CDD505-2E9C-101B-9397-08002B2CF9AE}" pid="5" name="KSOProductBuildVer">
    <vt:lpwstr>2052-11.1.0.12598</vt:lpwstr>
  </property>
  <property fmtid="{D5CDD505-2E9C-101B-9397-08002B2CF9AE}" pid="6" name="ICV">
    <vt:lpwstr>169F9B0128434443B3CEC666575B316F</vt:lpwstr>
  </property>
</Properties>
</file>