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djustRightInd w:val="0"/>
        <w:snapToGrid w:val="0"/>
        <w:spacing w:line="360" w:lineRule="auto"/>
        <w:jc w:val="center"/>
        <w:rPr>
          <w:rFonts w:ascii="Times New Roman" w:hAnsi="Times New Roman" w:eastAsia="宋体" w:cs="Times New Roman"/>
          <w:b/>
          <w:color w:val="000000" w:themeColor="text1"/>
          <w:kern w:val="0"/>
          <w:sz w:val="36"/>
          <w:szCs w:val="36"/>
          <w14:textFill>
            <w14:solidFill>
              <w14:schemeClr w14:val="tx1"/>
            </w14:solidFill>
          </w14:textFill>
        </w:rPr>
      </w:pPr>
      <w:r>
        <w:rPr>
          <w:rFonts w:hint="eastAsia" w:ascii="Times New Roman" w:hAnsi="Times New Roman" w:eastAsia="宋体" w:cs="Times New Roman"/>
          <w:b/>
          <w:color w:val="000000" w:themeColor="text1"/>
          <w:kern w:val="0"/>
          <w:sz w:val="36"/>
          <w:szCs w:val="36"/>
          <w14:textFill>
            <w14:solidFill>
              <w14:schemeClr w14:val="tx1"/>
            </w14:solidFill>
          </w14:textFill>
        </w:rPr>
        <w:t>糖尿病视网膜病变单细胞数据挖掘</w:t>
      </w:r>
    </w:p>
    <w:p>
      <w:pPr>
        <w:pStyle w:val="2"/>
        <w:numPr>
          <w:ilvl w:val="0"/>
          <w:numId w:val="1"/>
        </w:numPr>
        <w:adjustRightInd w:val="0"/>
        <w:snapToGrid w:val="0"/>
        <w:spacing w:before="0" w:after="0" w:line="360" w:lineRule="auto"/>
        <w:jc w:val="left"/>
        <w:rPr>
          <w:rFonts w:ascii="Times New Roman" w:hAnsi="Times New Roman" w:cs="Times New Roman"/>
          <w:kern w:val="0"/>
          <w:sz w:val="36"/>
          <w:szCs w:val="32"/>
        </w:rPr>
      </w:pPr>
      <w:r>
        <w:rPr>
          <w:rFonts w:ascii="Times New Roman" w:hAnsi="Times New Roman" w:cs="Times New Roman"/>
          <w:kern w:val="0"/>
          <w:sz w:val="36"/>
          <w:szCs w:val="32"/>
        </w:rPr>
        <w:t>数据和方法</w:t>
      </w:r>
    </w:p>
    <w:p>
      <w:pPr>
        <w:pStyle w:val="3"/>
        <w:adjustRightInd w:val="0"/>
        <w:snapToGrid w:val="0"/>
        <w:spacing w:after="0" w:line="360" w:lineRule="auto"/>
        <w:rPr>
          <w:rFonts w:ascii="Times New Roman" w:hAnsi="Times New Roman" w:eastAsia="宋体" w:cs="Times New Roman"/>
        </w:rPr>
      </w:pPr>
      <w:r>
        <w:rPr>
          <w:rFonts w:hint="eastAsia" w:ascii="Times New Roman" w:hAnsi="Times New Roman" w:eastAsia="宋体" w:cs="Times New Roman"/>
        </w:rPr>
        <w:t>1.1、</w:t>
      </w:r>
      <w:r>
        <w:rPr>
          <w:rFonts w:ascii="Times New Roman" w:hAnsi="Times New Roman" w:eastAsia="宋体" w:cs="Times New Roman"/>
        </w:rPr>
        <w:t>数据简介</w:t>
      </w:r>
    </w:p>
    <w:p>
      <w:pPr>
        <w:pStyle w:val="3"/>
        <w:adjustRightInd w:val="0"/>
        <w:snapToGrid w:val="0"/>
        <w:spacing w:after="0" w:line="360" w:lineRule="auto"/>
        <w:ind w:firstLine="480" w:firstLineChars="200"/>
        <w:rPr>
          <w:b w:val="0"/>
          <w:sz w:val="24"/>
          <w:szCs w:val="24"/>
        </w:rPr>
      </w:pPr>
      <w:r>
        <w:rPr>
          <w:b w:val="0"/>
          <w:sz w:val="24"/>
          <w:szCs w:val="24"/>
        </w:rPr>
        <w:t xml:space="preserve">从Gene Expression Omnibus </w:t>
      </w:r>
      <w:r>
        <w:rPr>
          <w:rFonts w:hint="eastAsia"/>
          <w:b w:val="0"/>
          <w:sz w:val="24"/>
          <w:szCs w:val="24"/>
        </w:rPr>
        <w:t>(</w:t>
      </w:r>
      <w:r>
        <w:fldChar w:fldCharType="begin"/>
      </w:r>
      <w:r>
        <w:instrText xml:space="preserve"> HYPERLINK "https://www.ncbi.nlm.nih.gov/geo/query/acc.cgi" </w:instrText>
      </w:r>
      <w:r>
        <w:fldChar w:fldCharType="separate"/>
      </w:r>
      <w:r>
        <w:rPr>
          <w:b w:val="0"/>
          <w:sz w:val="24"/>
          <w:szCs w:val="24"/>
        </w:rPr>
        <w:t>https://www.ncbi.nlm.nih.gov/geo/query/acc.cgi</w:t>
      </w:r>
      <w:r>
        <w:rPr>
          <w:b w:val="0"/>
          <w:sz w:val="24"/>
          <w:szCs w:val="24"/>
        </w:rPr>
        <w:fldChar w:fldCharType="end"/>
      </w:r>
      <w:r>
        <w:rPr>
          <w:b w:val="0"/>
          <w:sz w:val="24"/>
          <w:szCs w:val="24"/>
        </w:rPr>
        <w:t>)</w:t>
      </w:r>
      <w:r>
        <w:rPr>
          <w:rFonts w:hint="eastAsia"/>
          <w:b w:val="0"/>
          <w:sz w:val="24"/>
          <w:szCs w:val="24"/>
        </w:rPr>
        <w:t>搜索并</w:t>
      </w:r>
      <w:r>
        <w:rPr>
          <w:b w:val="0"/>
          <w:sz w:val="24"/>
          <w:szCs w:val="24"/>
        </w:rPr>
        <w:t>中</w:t>
      </w:r>
      <w:r>
        <w:rPr>
          <w:rFonts w:hint="eastAsia"/>
          <w:b w:val="0"/>
          <w:sz w:val="24"/>
          <w:szCs w:val="24"/>
        </w:rPr>
        <w:t>下载</w:t>
      </w:r>
      <w:r>
        <w:rPr>
          <w:b w:val="0"/>
          <w:sz w:val="24"/>
          <w:szCs w:val="24"/>
        </w:rPr>
        <w:t>相应的</w:t>
      </w:r>
      <w:r>
        <w:rPr>
          <w:rFonts w:hint="eastAsia"/>
          <w:b w:val="0"/>
          <w:sz w:val="24"/>
          <w:szCs w:val="24"/>
        </w:rPr>
        <w:t>单细胞测序</w:t>
      </w:r>
      <w:r>
        <w:rPr>
          <w:b w:val="0"/>
          <w:sz w:val="24"/>
          <w:szCs w:val="24"/>
        </w:rPr>
        <w:t>数据。</w:t>
      </w:r>
    </w:p>
    <w:p>
      <w:pPr>
        <w:pStyle w:val="3"/>
        <w:adjustRightInd w:val="0"/>
        <w:snapToGrid w:val="0"/>
        <w:spacing w:after="0" w:line="360" w:lineRule="auto"/>
        <w:rPr>
          <w:rFonts w:ascii="Times New Roman" w:hAnsi="Times New Roman" w:eastAsia="宋体" w:cs="Times New Roman"/>
        </w:rPr>
      </w:pPr>
      <w:r>
        <w:rPr>
          <w:rFonts w:hint="eastAsia" w:ascii="Times New Roman" w:hAnsi="Times New Roman" w:eastAsia="宋体" w:cs="Times New Roman"/>
        </w:rPr>
        <w:t>1.2、质量控制</w:t>
      </w:r>
      <w:r>
        <w:rPr>
          <w:rFonts w:ascii="Times New Roman" w:hAnsi="Times New Roman" w:eastAsia="宋体" w:cs="Times New Roman"/>
        </w:rPr>
        <w:t>QC</w:t>
      </w:r>
    </w:p>
    <w:p>
      <w:pPr>
        <w:widowControl/>
        <w:adjustRightInd w:val="0"/>
        <w:snapToGrid w:val="0"/>
        <w:spacing w:line="360" w:lineRule="auto"/>
        <w:ind w:firstLine="480" w:firstLineChars="200"/>
        <w:jc w:val="left"/>
        <w:rPr>
          <w:kern w:val="0"/>
          <w:sz w:val="24"/>
        </w:rPr>
      </w:pPr>
      <w:r>
        <w:rPr>
          <w:rFonts w:hint="eastAsia"/>
          <w:kern w:val="0"/>
          <w:sz w:val="24"/>
        </w:rPr>
        <w:t>用</w:t>
      </w:r>
      <w:r>
        <w:rPr>
          <w:kern w:val="0"/>
          <w:sz w:val="24"/>
        </w:rPr>
        <w:t>R</w:t>
      </w:r>
      <w:r>
        <w:rPr>
          <w:rFonts w:hint="eastAsia"/>
          <w:kern w:val="0"/>
          <w:sz w:val="24"/>
        </w:rPr>
        <w:t>包</w:t>
      </w:r>
      <w:r>
        <w:rPr>
          <w:kern w:val="0"/>
          <w:sz w:val="24"/>
        </w:rPr>
        <w:t>DropletUtils</w:t>
      </w:r>
      <w:r>
        <w:rPr>
          <w:kern w:val="0"/>
          <w:sz w:val="24"/>
        </w:rPr>
        <w:fldChar w:fldCharType="begin"/>
      </w:r>
      <w:r>
        <w:rPr>
          <w:kern w:val="0"/>
          <w:sz w:val="24"/>
        </w:rPr>
        <w:instrText xml:space="preserve"> ADDIN EN.CITE &lt;EndNote&gt;&lt;Cite&gt;&lt;Author&gt;Lun&lt;/Author&gt;&lt;Year&gt;2019&lt;/Year&gt;&lt;RecNum&gt;66&lt;/RecNum&gt;&lt;DisplayText&gt;&lt;style face="superscript"&gt;[1]&lt;/style&gt;&lt;/DisplayText&gt;&lt;record&gt;&lt;rec-number&gt;66&lt;/rec-number&gt;&lt;foreign-keys&gt;&lt;key app="EN" db-id="9z0fzata9f0zfie2svm5evsbd2wst59p0sr9" timestamp="1616047963"&gt;66&lt;/key&gt;&lt;/foreign-keys&gt;&lt;ref-type name="Journal Article"&gt;17&lt;/ref-type&gt;&lt;contributors&gt;&lt;authors&gt;&lt;author&gt;Lun, Aaron T. L.&lt;/author&gt;&lt;author&gt;Riesenfeld, Samantha&lt;/author&gt;&lt;author&gt;Andrews, Tallulah&lt;/author&gt;&lt;author&gt;Dao, The Phuong&lt;/author&gt;&lt;author&gt;Gomes, Tomas&lt;/author&gt;&lt;author&gt;Marioni, John C.&lt;/author&gt;&lt;author&gt;participants in the 1st Human Cell Atlas, Jamboree&lt;/author&gt;&lt;/authors&gt;&lt;/contributors&gt;&lt;titles&gt;&lt;title&gt;EmptyDrops: distinguishing cells from empty droplets in droplet-based single-cell RNA sequencing data&lt;/title&gt;&lt;secondary-title&gt;Genome Biology&lt;/secondary-title&gt;&lt;/titles&gt;&lt;periodical&gt;&lt;full-title&gt;Genome Biology&lt;/full-title&gt;&lt;/periodical&gt;&lt;pages&gt;63&lt;/pages&gt;&lt;volume&gt;20&lt;/volume&gt;&lt;number&gt;1&lt;/number&gt;&lt;dates&gt;&lt;year&gt;2019&lt;/year&gt;&lt;pub-dates&gt;&lt;date&gt;2019/03/22&lt;/date&gt;&lt;/pub-dates&gt;&lt;/dates&gt;&lt;isbn&gt;1474-760X&lt;/isbn&gt;&lt;urls&gt;&lt;related-urls&gt;&lt;url&gt;https://doi.org/10.1186/s13059-019-1662-y&lt;/url&gt;&lt;/related-urls&gt;&lt;/urls&gt;&lt;electronic-resource-num&gt;10.1186/s13059-019-1662-y&lt;/electronic-resource-num&gt;&lt;/record&gt;&lt;/Cite&gt;&lt;/EndNote&gt;</w:instrText>
      </w:r>
      <w:r>
        <w:rPr>
          <w:kern w:val="0"/>
          <w:sz w:val="24"/>
        </w:rPr>
        <w:fldChar w:fldCharType="separate"/>
      </w:r>
      <w:r>
        <w:rPr>
          <w:kern w:val="0"/>
          <w:sz w:val="24"/>
          <w:vertAlign w:val="superscript"/>
        </w:rPr>
        <w:t>[1]</w:t>
      </w:r>
      <w:r>
        <w:rPr>
          <w:kern w:val="0"/>
          <w:sz w:val="24"/>
        </w:rPr>
        <w:fldChar w:fldCharType="end"/>
      </w:r>
      <w:r>
        <w:rPr>
          <w:rFonts w:hint="eastAsia"/>
          <w:kern w:val="0"/>
          <w:sz w:val="24"/>
        </w:rPr>
        <w:t>检测各细胞的表达情况，并过滤掉没有任何细胞表达的</w:t>
      </w:r>
      <w:r>
        <w:rPr>
          <w:kern w:val="0"/>
          <w:sz w:val="24"/>
        </w:rPr>
        <w:t>barcoded</w:t>
      </w:r>
      <w:r>
        <w:rPr>
          <w:rFonts w:hint="eastAsia"/>
          <w:kern w:val="0"/>
          <w:sz w:val="24"/>
        </w:rPr>
        <w:t>。再根据各细胞</w:t>
      </w:r>
      <w:r>
        <w:rPr>
          <w:kern w:val="0"/>
          <w:sz w:val="24"/>
        </w:rPr>
        <w:t>UMI</w:t>
      </w:r>
      <w:r>
        <w:rPr>
          <w:rFonts w:hint="eastAsia"/>
          <w:kern w:val="0"/>
          <w:sz w:val="24"/>
        </w:rPr>
        <w:t>（</w:t>
      </w:r>
      <w:r>
        <w:rPr>
          <w:kern w:val="0"/>
          <w:sz w:val="24"/>
        </w:rPr>
        <w:t>unique molecular identifiers</w:t>
      </w:r>
      <w:r>
        <w:rPr>
          <w:rFonts w:hint="eastAsia"/>
          <w:kern w:val="0"/>
          <w:sz w:val="24"/>
        </w:rPr>
        <w:t>）数量进一步过滤。然后利用</w:t>
      </w:r>
      <w:bookmarkStart w:id="0" w:name="OLE_LINK4"/>
      <w:bookmarkStart w:id="1" w:name="OLE_LINK5"/>
      <w:r>
        <w:rPr>
          <w:kern w:val="0"/>
          <w:sz w:val="24"/>
        </w:rPr>
        <w:t>scater</w:t>
      </w:r>
      <w:bookmarkEnd w:id="0"/>
      <w:bookmarkEnd w:id="1"/>
      <w:r>
        <w:rPr>
          <w:kern w:val="0"/>
          <w:sz w:val="24"/>
        </w:rPr>
        <w:fldChar w:fldCharType="begin"/>
      </w:r>
      <w:r>
        <w:rPr>
          <w:kern w:val="0"/>
          <w:sz w:val="24"/>
        </w:rPr>
        <w:instrText xml:space="preserve"> ADDIN EN.CITE &lt;EndNote&gt;&lt;Cite&gt;&lt;Author&gt;McCarthy&lt;/Author&gt;&lt;Year&gt;2017&lt;/Year&gt;&lt;RecNum&gt;67&lt;/RecNum&gt;&lt;DisplayText&gt;&lt;style face="superscript"&gt;[2]&lt;/style&gt;&lt;/DisplayText&gt;&lt;record&gt;&lt;rec-number&gt;67&lt;/rec-number&gt;&lt;foreign-keys&gt;&lt;key app="EN" db-id="9z0fzata9f0zfie2svm5evsbd2wst59p0sr9" timestamp="1616048140"&gt;67&lt;/key&gt;&lt;/foreign-keys&gt;&lt;ref-type name="Journal Article"&gt;17&lt;/ref-type&gt;&lt;contributors&gt;&lt;authors&gt;&lt;author&gt;McCarthy, Davis J&lt;/author&gt;&lt;author&gt;Campbell, Kieran R&lt;/author&gt;&lt;author&gt;Lun, Aaron T L&lt;/author&gt;&lt;author&gt;Wills, Quin F&lt;/author&gt;&lt;/authors&gt;&lt;/contributors&gt;&lt;titles&gt;&lt;title&gt;Scater: pre-processing, quality control, normalization and visualization of single-cell RNA-seq data in R&lt;/title&gt;&lt;secondary-title&gt;Bioinformatics&lt;/secondary-title&gt;&lt;/titles&gt;&lt;periodical&gt;&lt;full-title&gt;Bioinformatics&lt;/full-title&gt;&lt;abbr-1&gt;Bioinformatics (Oxford, England)&lt;/abbr-1&gt;&lt;/periodical&gt;&lt;pages&gt;1179-1186&lt;/pages&gt;&lt;volume&gt;33&lt;/volume&gt;&lt;number&gt;8&lt;/number&gt;&lt;dates&gt;&lt;year&gt;2017&lt;/year&gt;&lt;/dates&gt;&lt;isbn&gt;1367-4803&lt;/isbn&gt;&lt;urls&gt;&lt;related-urls&gt;&lt;url&gt;https://doi.org/10.1093/bioinformatics/btw777&lt;/url&gt;&lt;/related-urls&gt;&lt;/urls&gt;&lt;electronic-resource-num&gt;10.1093/bioinformatics/btw777&lt;/electronic-resource-num&gt;&lt;access-date&gt;3/18/2021&lt;/access-date&gt;&lt;/record&gt;&lt;/Cite&gt;&lt;/EndNote&gt;</w:instrText>
      </w:r>
      <w:r>
        <w:rPr>
          <w:kern w:val="0"/>
          <w:sz w:val="24"/>
        </w:rPr>
        <w:fldChar w:fldCharType="separate"/>
      </w:r>
      <w:r>
        <w:rPr>
          <w:kern w:val="0"/>
          <w:sz w:val="24"/>
          <w:vertAlign w:val="superscript"/>
        </w:rPr>
        <w:t>[2]</w:t>
      </w:r>
      <w:r>
        <w:rPr>
          <w:kern w:val="0"/>
          <w:sz w:val="24"/>
        </w:rPr>
        <w:fldChar w:fldCharType="end"/>
      </w:r>
      <w:r>
        <w:rPr>
          <w:rFonts w:hint="eastAsia"/>
          <w:kern w:val="0"/>
          <w:sz w:val="24"/>
        </w:rPr>
        <w:t>包统计细胞中基因的表达情况，并根据线粒体基因（</w:t>
      </w:r>
      <w:r>
        <w:rPr>
          <w:kern w:val="0"/>
          <w:sz w:val="24"/>
        </w:rPr>
        <w:t>&lt; 10%</w:t>
      </w:r>
      <w:r>
        <w:rPr>
          <w:rFonts w:hint="eastAsia"/>
          <w:kern w:val="0"/>
          <w:sz w:val="24"/>
        </w:rPr>
        <w:t>）和核糖体基因（</w:t>
      </w:r>
      <w:r>
        <w:rPr>
          <w:kern w:val="0"/>
          <w:sz w:val="24"/>
        </w:rPr>
        <w:t>&gt;5%</w:t>
      </w:r>
      <w:r>
        <w:rPr>
          <w:rFonts w:hint="eastAsia"/>
          <w:kern w:val="0"/>
          <w:sz w:val="24"/>
        </w:rPr>
        <w:t>）表达的比例，对细胞进行过滤。最后对各基因进行统计。</w:t>
      </w:r>
    </w:p>
    <w:p>
      <w:pPr>
        <w:pStyle w:val="3"/>
        <w:adjustRightInd w:val="0"/>
        <w:snapToGrid w:val="0"/>
        <w:spacing w:after="0" w:line="360" w:lineRule="auto"/>
        <w:rPr>
          <w:rFonts w:ascii="Times New Roman" w:hAnsi="Times New Roman" w:eastAsia="宋体" w:cs="Times New Roman"/>
        </w:rPr>
      </w:pPr>
      <w:r>
        <w:rPr>
          <w:rFonts w:hint="eastAsia" w:ascii="Times New Roman" w:hAnsi="Times New Roman" w:eastAsia="宋体" w:cs="Times New Roman"/>
        </w:rPr>
        <w:t>1.3、数据预处理</w:t>
      </w:r>
    </w:p>
    <w:p>
      <w:pPr>
        <w:widowControl/>
        <w:adjustRightInd w:val="0"/>
        <w:snapToGrid w:val="0"/>
        <w:spacing w:line="360" w:lineRule="auto"/>
        <w:ind w:firstLine="480" w:firstLineChars="200"/>
        <w:jc w:val="left"/>
        <w:rPr>
          <w:kern w:val="0"/>
          <w:sz w:val="24"/>
        </w:rPr>
      </w:pPr>
      <w:r>
        <w:rPr>
          <w:rFonts w:hint="eastAsia"/>
          <w:kern w:val="0"/>
          <w:sz w:val="24"/>
        </w:rPr>
        <w:t>利用</w:t>
      </w:r>
      <w:bookmarkStart w:id="2" w:name="OLE_LINK7"/>
      <w:bookmarkStart w:id="3" w:name="OLE_LINK6"/>
      <w:r>
        <w:rPr>
          <w:kern w:val="0"/>
          <w:sz w:val="24"/>
        </w:rPr>
        <w:t>Seura</w:t>
      </w:r>
      <w:bookmarkEnd w:id="2"/>
      <w:bookmarkEnd w:id="3"/>
      <w:r>
        <w:rPr>
          <w:kern w:val="0"/>
          <w:sz w:val="24"/>
        </w:rPr>
        <w:t>t</w:t>
      </w:r>
      <w:r>
        <w:rPr>
          <w:kern w:val="0"/>
          <w:sz w:val="24"/>
        </w:rPr>
        <w:fldChar w:fldCharType="begin"/>
      </w:r>
      <w:r>
        <w:rPr>
          <w:kern w:val="0"/>
          <w:sz w:val="24"/>
        </w:rPr>
        <w:instrText xml:space="preserve"> ADDIN EN.CITE &lt;EndNote&gt;&lt;Cite&gt;&lt;Author&gt;Hao&lt;/Author&gt;&lt;Year&gt;2020&lt;/Year&gt;&lt;RecNum&gt;68&lt;/RecNum&gt;&lt;DisplayText&gt;&lt;style face="superscript"&gt;[3]&lt;/style&gt;&lt;/DisplayText&gt;&lt;record&gt;&lt;rec-number&gt;68&lt;/rec-number&gt;&lt;foreign-keys&gt;&lt;key app="EN" db-id="9z0fzata9f0zfie2svm5evsbd2wst59p0sr9" timestamp="1616048476"&gt;68&lt;/key&gt;&lt;/foreign-keys&gt;&lt;ref-type name="Journal Article"&gt;17&lt;/ref-type&gt;&lt;contributors&gt;&lt;authors&gt;&lt;author&gt;Hao, Yuhan&lt;/author&gt;&lt;author&gt;Hao, Stephanie&lt;/author&gt;&lt;author&gt;Andersen-Nissen, Erica&lt;/author&gt;&lt;author&gt;Mauck, William M.&lt;/author&gt;&lt;author&gt;Zheng, Shiwei&lt;/author&gt;&lt;author&gt;Butler, Andrew&lt;/author&gt;&lt;author&gt;Lee, Maddie J.&lt;/author&gt;&lt;author&gt;Wilk, Aaron J.&lt;/author&gt;&lt;author&gt;Darby, Charlotte&lt;/author&gt;&lt;author&gt;Zagar, Michael&lt;/author&gt;&lt;author&gt;Hoffman, Paul&lt;/author&gt;&lt;author&gt;Stoeckius, Marlon&lt;/author&gt;&lt;author&gt;Papalexi, Efthymia&lt;/author&gt;&lt;author&gt;Mimitou, Eleni P.&lt;/author&gt;&lt;author&gt;Jain, Jaison&lt;/author&gt;&lt;author&gt;Srivastava, Avi&lt;/author&gt;&lt;author&gt;Stuart, Tim&lt;/author&gt;&lt;author&gt;Fleming, Lamar B.&lt;/author&gt;&lt;author&gt;Yeung, Bertrand&lt;/author&gt;&lt;author&gt;Rogers, Angela J.&lt;/author&gt;&lt;author&gt;McElrath, Juliana M.&lt;/author&gt;&lt;author&gt;Blish, Catherine A.&lt;/author&gt;&lt;author&gt;Gottardo, Raphael&lt;/author&gt;&lt;author&gt;Smibert, Peter&lt;/author&gt;&lt;author&gt;Satija, Rahul&lt;/author&gt;&lt;/authors&gt;&lt;/contributors&gt;&lt;titles&gt;&lt;title&gt;Integrated analysis of multimodal single-cell data&lt;/title&gt;&lt;secondary-title&gt;bioRxiv&lt;/secondary-title&gt;&lt;/titles&gt;&lt;periodical&gt;&lt;full-title&gt;bioRxiv&lt;/full-title&gt;&lt;/periodical&gt;&lt;pages&gt;2020.10.12.335331&lt;/pages&gt;&lt;dates&gt;&lt;year&gt;2020&lt;/year&gt;&lt;/dates&gt;&lt;urls&gt;&lt;related-urls&gt;&lt;url&gt;https://www.biorxiv.org/content/biorxiv/early/2020/10/12/2020.10.12.335331.full.pdf&lt;/url&gt;&lt;/related-urls&gt;&lt;/urls&gt;&lt;electronic-resource-num&gt;10.1101/2020.10.12.335331&lt;/electronic-resource-num&gt;&lt;/record&gt;&lt;/Cite&gt;&lt;/EndNote&gt;</w:instrText>
      </w:r>
      <w:r>
        <w:rPr>
          <w:kern w:val="0"/>
          <w:sz w:val="24"/>
        </w:rPr>
        <w:fldChar w:fldCharType="separate"/>
      </w:r>
      <w:r>
        <w:rPr>
          <w:kern w:val="0"/>
          <w:sz w:val="24"/>
          <w:vertAlign w:val="superscript"/>
        </w:rPr>
        <w:t>[3]</w:t>
      </w:r>
      <w:r>
        <w:rPr>
          <w:kern w:val="0"/>
          <w:sz w:val="24"/>
        </w:rPr>
        <w:fldChar w:fldCharType="end"/>
      </w:r>
      <w:r>
        <w:rPr>
          <w:rFonts w:hint="eastAsia"/>
          <w:kern w:val="0"/>
          <w:sz w:val="24"/>
        </w:rPr>
        <w:t>包中的</w:t>
      </w:r>
      <w:r>
        <w:rPr>
          <w:kern w:val="0"/>
          <w:sz w:val="24"/>
        </w:rPr>
        <w:t>NormalizeData</w:t>
      </w:r>
      <w:r>
        <w:rPr>
          <w:rFonts w:hint="eastAsia"/>
          <w:kern w:val="0"/>
          <w:sz w:val="24"/>
        </w:rPr>
        <w:t>对过滤后各样本的表达矩阵进行标准化。</w:t>
      </w:r>
    </w:p>
    <w:p>
      <w:pPr>
        <w:pStyle w:val="3"/>
        <w:adjustRightInd w:val="0"/>
        <w:snapToGrid w:val="0"/>
        <w:spacing w:after="0" w:line="360" w:lineRule="auto"/>
        <w:rPr>
          <w:rFonts w:ascii="Times New Roman" w:hAnsi="Times New Roman" w:eastAsia="宋体" w:cs="Times New Roman"/>
        </w:rPr>
      </w:pPr>
      <w:r>
        <w:rPr>
          <w:rFonts w:hint="eastAsia" w:ascii="Times New Roman" w:hAnsi="Times New Roman" w:eastAsia="宋体" w:cs="Times New Roman"/>
        </w:rPr>
        <w:t>1.4、主成分分析（PCA）</w:t>
      </w:r>
    </w:p>
    <w:p>
      <w:pPr>
        <w:widowControl/>
        <w:adjustRightInd w:val="0"/>
        <w:snapToGrid w:val="0"/>
        <w:spacing w:line="360" w:lineRule="auto"/>
        <w:ind w:firstLine="480" w:firstLineChars="200"/>
        <w:jc w:val="left"/>
        <w:rPr>
          <w:kern w:val="0"/>
          <w:sz w:val="24"/>
        </w:rPr>
      </w:pPr>
      <w:r>
        <w:rPr>
          <w:kern w:val="0"/>
          <w:sz w:val="24"/>
        </w:rPr>
        <w:t>利用Seurat包中的FindVariableFeatures筛选出细胞间差异最明显的前2000个基因。在下游分析中关注这些基因有助于突出单细胞数据集中的生物信号。然后利用Seurat包中的ScaleData对表达数据进行线性</w:t>
      </w:r>
      <w:r>
        <w:rPr>
          <w:rFonts w:hint="eastAsia"/>
          <w:kern w:val="0"/>
          <w:sz w:val="24"/>
        </w:rPr>
        <w:t>缩放</w:t>
      </w:r>
      <w:r>
        <w:rPr>
          <w:kern w:val="0"/>
          <w:sz w:val="24"/>
        </w:rPr>
        <w:t>。最后用Seurat包中的RunPCA进行线性降维分析（PCA）。</w:t>
      </w:r>
    </w:p>
    <w:p>
      <w:pPr>
        <w:pStyle w:val="3"/>
        <w:adjustRightInd w:val="0"/>
        <w:snapToGrid w:val="0"/>
        <w:spacing w:after="0" w:line="360" w:lineRule="auto"/>
        <w:rPr>
          <w:rFonts w:ascii="Times New Roman" w:hAnsi="Times New Roman" w:eastAsia="宋体" w:cs="Times New Roman"/>
        </w:rPr>
      </w:pPr>
      <w:r>
        <w:rPr>
          <w:rFonts w:hint="eastAsia" w:ascii="Times New Roman" w:hAnsi="Times New Roman" w:eastAsia="宋体" w:cs="Times New Roman"/>
        </w:rPr>
        <w:t>1.5、</w:t>
      </w:r>
      <w:r>
        <w:rPr>
          <w:rFonts w:ascii="Times New Roman" w:hAnsi="Times New Roman" w:eastAsia="宋体" w:cs="Times New Roman"/>
        </w:rPr>
        <w:t>细胞聚类</w:t>
      </w:r>
      <w:r>
        <w:rPr>
          <w:rFonts w:hint="eastAsia" w:ascii="Times New Roman" w:hAnsi="Times New Roman" w:eastAsia="宋体" w:cs="Times New Roman"/>
        </w:rPr>
        <w:t>及注释</w:t>
      </w:r>
    </w:p>
    <w:p>
      <w:pPr>
        <w:widowControl/>
        <w:adjustRightInd w:val="0"/>
        <w:snapToGrid w:val="0"/>
        <w:spacing w:line="360" w:lineRule="auto"/>
        <w:ind w:firstLine="480" w:firstLineChars="200"/>
        <w:jc w:val="left"/>
        <w:rPr>
          <w:kern w:val="0"/>
          <w:sz w:val="24"/>
        </w:rPr>
      </w:pPr>
      <w:r>
        <w:rPr>
          <w:kern w:val="0"/>
          <w:sz w:val="24"/>
        </w:rPr>
        <w:t>挑选取标准差较大的主成分（PC），用Seurat包中的FindNeighbors和FindClusters进行细胞聚类分析。然后用Seurat包中的</w:t>
      </w:r>
      <w:r>
        <w:rPr>
          <w:rFonts w:hint="eastAsia"/>
          <w:kern w:val="0"/>
          <w:sz w:val="24"/>
        </w:rPr>
        <w:t>RunUMAP进行非线性降维分析（</w:t>
      </w:r>
      <w:r>
        <w:rPr>
          <w:kern w:val="0"/>
          <w:sz w:val="24"/>
        </w:rPr>
        <w:t>UMAP</w:t>
      </w:r>
      <w:r>
        <w:rPr>
          <w:rFonts w:hint="eastAsia"/>
          <w:kern w:val="0"/>
          <w:sz w:val="24"/>
        </w:rPr>
        <w:t>）</w:t>
      </w:r>
      <w:r>
        <w:rPr>
          <w:kern w:val="0"/>
          <w:sz w:val="24"/>
        </w:rPr>
        <w:t>。</w:t>
      </w:r>
    </w:p>
    <w:p>
      <w:pPr>
        <w:pStyle w:val="3"/>
        <w:adjustRightInd w:val="0"/>
        <w:snapToGrid w:val="0"/>
        <w:spacing w:after="0" w:line="360" w:lineRule="auto"/>
        <w:rPr>
          <w:rFonts w:ascii="Times New Roman" w:hAnsi="Times New Roman" w:eastAsia="宋体" w:cs="Times New Roman"/>
        </w:rPr>
      </w:pPr>
      <w:r>
        <w:rPr>
          <w:rFonts w:hint="eastAsia" w:ascii="Times New Roman" w:hAnsi="Times New Roman" w:eastAsia="宋体" w:cs="Times New Roman"/>
        </w:rPr>
        <w:t>1.6、确定marker基因</w:t>
      </w:r>
    </w:p>
    <w:p>
      <w:pPr>
        <w:widowControl/>
        <w:adjustRightInd w:val="0"/>
        <w:snapToGrid w:val="0"/>
        <w:spacing w:line="360" w:lineRule="auto"/>
        <w:ind w:firstLine="480" w:firstLineChars="200"/>
        <w:jc w:val="left"/>
        <w:rPr>
          <w:kern w:val="0"/>
          <w:sz w:val="24"/>
        </w:rPr>
      </w:pPr>
      <w:r>
        <w:rPr>
          <w:rFonts w:hint="eastAsia"/>
          <w:kern w:val="0"/>
          <w:sz w:val="24"/>
        </w:rPr>
        <w:t>利用</w:t>
      </w:r>
      <w:r>
        <w:rPr>
          <w:kern w:val="0"/>
          <w:sz w:val="24"/>
        </w:rPr>
        <w:t>Seurat</w:t>
      </w:r>
      <w:r>
        <w:rPr>
          <w:rFonts w:hint="eastAsia"/>
          <w:kern w:val="0"/>
          <w:sz w:val="24"/>
        </w:rPr>
        <w:t>包中的</w:t>
      </w:r>
      <w:r>
        <w:rPr>
          <w:kern w:val="0"/>
          <w:sz w:val="24"/>
        </w:rPr>
        <w:t>FindMarkers</w:t>
      </w:r>
      <w:r>
        <w:rPr>
          <w:rFonts w:hint="eastAsia"/>
          <w:kern w:val="0"/>
          <w:sz w:val="24"/>
        </w:rPr>
        <w:t>计算各聚类与其他所有细胞的差异表达基因（</w:t>
      </w:r>
      <w:r>
        <w:rPr>
          <w:kern w:val="0"/>
          <w:sz w:val="24"/>
        </w:rPr>
        <w:t>log2FC</w:t>
      </w:r>
      <w:r>
        <w:rPr>
          <w:rFonts w:hint="eastAsia"/>
          <w:kern w:val="0"/>
          <w:sz w:val="24"/>
        </w:rPr>
        <w:t>大于等于</w:t>
      </w:r>
      <w:r>
        <w:rPr>
          <w:kern w:val="0"/>
          <w:sz w:val="24"/>
        </w:rPr>
        <w:t>0.1</w:t>
      </w:r>
      <w:r>
        <w:rPr>
          <w:rFonts w:hint="eastAsia"/>
          <w:kern w:val="0"/>
          <w:sz w:val="24"/>
        </w:rPr>
        <w:t>，细胞群最小表达比例</w:t>
      </w:r>
      <w:r>
        <w:rPr>
          <w:kern w:val="0"/>
          <w:sz w:val="24"/>
        </w:rPr>
        <w:t>0.25</w:t>
      </w:r>
      <w:r>
        <w:rPr>
          <w:rFonts w:hint="eastAsia"/>
          <w:kern w:val="0"/>
          <w:sz w:val="24"/>
        </w:rPr>
        <w:t>，</w:t>
      </w:r>
      <w:r>
        <w:rPr>
          <w:kern w:val="0"/>
          <w:sz w:val="24"/>
        </w:rPr>
        <w:t>p</w:t>
      </w:r>
      <w:r>
        <w:rPr>
          <w:rFonts w:hint="eastAsia"/>
          <w:kern w:val="0"/>
          <w:sz w:val="24"/>
        </w:rPr>
        <w:t>值小于等于</w:t>
      </w:r>
      <w:r>
        <w:rPr>
          <w:kern w:val="0"/>
          <w:sz w:val="24"/>
        </w:rPr>
        <w:t>0.05</w:t>
      </w:r>
      <w:r>
        <w:rPr>
          <w:rFonts w:hint="eastAsia"/>
          <w:kern w:val="0"/>
          <w:sz w:val="24"/>
        </w:rPr>
        <w:t>），从而获得</w:t>
      </w:r>
      <w:r>
        <w:rPr>
          <w:kern w:val="0"/>
          <w:sz w:val="24"/>
        </w:rPr>
        <w:t>marker</w:t>
      </w:r>
      <w:r>
        <w:rPr>
          <w:rFonts w:hint="eastAsia"/>
          <w:kern w:val="0"/>
          <w:sz w:val="24"/>
        </w:rPr>
        <w:t>基因（logFC前500个）。并根据已有m</w:t>
      </w:r>
      <w:r>
        <w:rPr>
          <w:kern w:val="0"/>
          <w:sz w:val="24"/>
        </w:rPr>
        <w:t>arker</w:t>
      </w:r>
      <w:r>
        <w:rPr>
          <w:rFonts w:hint="eastAsia"/>
          <w:kern w:val="0"/>
          <w:sz w:val="24"/>
        </w:rPr>
        <w:t>基因</w:t>
      </w:r>
      <w:r>
        <w:rPr>
          <w:kern w:val="0"/>
          <w:sz w:val="24"/>
        </w:rPr>
        <w:fldChar w:fldCharType="begin"/>
      </w:r>
      <w:r>
        <w:rPr>
          <w:kern w:val="0"/>
          <w:sz w:val="24"/>
        </w:rPr>
        <w:instrText xml:space="preserve"> ADDIN EN.CITE &lt;EndNote&gt;&lt;Cite&gt;&lt;Author&gt;Puthumana&lt;/Author&gt;&lt;Year&gt;2021&lt;/Year&gt;&lt;RecNum&gt;69&lt;/RecNum&gt;&lt;DisplayText&gt;&lt;style face="superscript"&gt;[4]&lt;/style&gt;&lt;/DisplayText&gt;&lt;record&gt;&lt;rec-number&gt;69&lt;/rec-number&gt;&lt;foreign-keys&gt;&lt;key app="EN" db-id="9z0fzata9f0zfie2svm5evsbd2wst59p0sr9" timestamp="1616048636"&gt;69&lt;/key&gt;&lt;/foreign-keys&gt;&lt;ref-type name="Journal Article"&gt;17&lt;/ref-type&gt;&lt;contributors&gt;&lt;authors&gt;&lt;author&gt;Puthumana, Jeremy&lt;/author&gt;&lt;author&gt;Thiessen-Philbrook, Heather&lt;/author&gt;&lt;author&gt;Xu, Leyuan&lt;/author&gt;&lt;author&gt;Coca, Steven G.&lt;/author&gt;&lt;author&gt;Garg, Amit X.&lt;/author&gt;&lt;author&gt;Himmelfarb, Jonathan&lt;/author&gt;&lt;author&gt;Bhatraju, Pavan K.&lt;/author&gt;&lt;author&gt;Ikizler, T. Alp&lt;/author&gt;&lt;author&gt;Siew, Edward D.&lt;/author&gt;&lt;author&gt;Ware, Lorraine B.&lt;/author&gt;&lt;author&gt;Liu, Kathleen D.&lt;/author&gt;&lt;author&gt;Go, Alan S.&lt;/author&gt;&lt;author&gt;Kaufman, James S.&lt;/author&gt;&lt;author&gt;Kimmel, Paul L.&lt;/author&gt;&lt;author&gt;Chinchilli, Vernon M.&lt;/author&gt;&lt;author&gt;Cantley, Lloyd G.&lt;/author&gt;&lt;author&gt;Parikh, Chirag R.&lt;/author&gt;&lt;/authors&gt;&lt;/contributors&gt;&lt;titles&gt;&lt;title&gt;Biomarkers of inflammation and repair in kidney disease progression&lt;/title&gt;&lt;secondary-title&gt;The Journal of Clinical Investigation&lt;/secondary-title&gt;&lt;/titles&gt;&lt;periodical&gt;&lt;full-title&gt;The Journal of Clinical Investigation&lt;/full-title&gt;&lt;/periodical&gt;&lt;volume&gt;131&lt;/volume&gt;&lt;number&gt;3&lt;/number&gt;&lt;dates&gt;&lt;year&gt;2021&lt;/year&gt;&lt;pub-dates&gt;&lt;date&gt;02/01/&lt;/date&gt;&lt;/pub-dates&gt;&lt;/dates&gt;&lt;publisher&gt;The American Society for Clinical Investigation&lt;/publisher&gt;&lt;isbn&gt;0021-9738&lt;/isbn&gt;&lt;urls&gt;&lt;related-urls&gt;&lt;url&gt;https://doi.org/10.1172/JCI139927&lt;/url&gt;&lt;/related-urls&gt;&lt;/urls&gt;&lt;electronic-resource-num&gt;10.1172/JCI139927&lt;/electronic-resource-num&gt;&lt;/record&gt;&lt;/Cite&gt;&lt;/EndNote&gt;</w:instrText>
      </w:r>
      <w:r>
        <w:rPr>
          <w:kern w:val="0"/>
          <w:sz w:val="24"/>
        </w:rPr>
        <w:fldChar w:fldCharType="separate"/>
      </w:r>
      <w:r>
        <w:rPr>
          <w:kern w:val="0"/>
          <w:sz w:val="24"/>
          <w:vertAlign w:val="superscript"/>
        </w:rPr>
        <w:t>[4]</w:t>
      </w:r>
      <w:r>
        <w:rPr>
          <w:kern w:val="0"/>
          <w:sz w:val="24"/>
        </w:rPr>
        <w:fldChar w:fldCharType="end"/>
      </w:r>
      <w:r>
        <w:rPr>
          <w:rFonts w:hint="eastAsia"/>
          <w:kern w:val="0"/>
          <w:sz w:val="24"/>
        </w:rPr>
        <w:t>对细胞进行标注并做聚类展示图。</w:t>
      </w:r>
    </w:p>
    <w:p>
      <w:pPr>
        <w:widowControl/>
        <w:adjustRightInd w:val="0"/>
        <w:snapToGrid w:val="0"/>
        <w:spacing w:line="360" w:lineRule="auto"/>
        <w:jc w:val="left"/>
        <w:rPr>
          <w:kern w:val="0"/>
          <w:sz w:val="24"/>
        </w:rPr>
      </w:pPr>
    </w:p>
    <w:p>
      <w:pPr>
        <w:pStyle w:val="3"/>
        <w:adjustRightInd w:val="0"/>
        <w:snapToGrid w:val="0"/>
        <w:spacing w:after="0" w:line="360" w:lineRule="auto"/>
        <w:rPr>
          <w:rFonts w:ascii="Times New Roman" w:hAnsi="Times New Roman" w:eastAsia="宋体" w:cs="Times New Roman"/>
        </w:rPr>
      </w:pPr>
      <w:r>
        <w:rPr>
          <w:rFonts w:hint="eastAsia" w:ascii="Times New Roman" w:hAnsi="Times New Roman" w:eastAsia="宋体" w:cs="Times New Roman"/>
        </w:rPr>
        <w:t>1.7、差异表达分析</w:t>
      </w:r>
    </w:p>
    <w:p>
      <w:pPr>
        <w:widowControl/>
        <w:adjustRightInd w:val="0"/>
        <w:snapToGrid w:val="0"/>
        <w:spacing w:line="360" w:lineRule="auto"/>
        <w:ind w:firstLine="480" w:firstLineChars="200"/>
        <w:jc w:val="left"/>
        <w:rPr>
          <w:kern w:val="0"/>
          <w:sz w:val="24"/>
        </w:rPr>
      </w:pPr>
      <w:r>
        <w:rPr>
          <w:rFonts w:hint="eastAsia"/>
          <w:kern w:val="0"/>
          <w:sz w:val="24"/>
        </w:rPr>
        <w:t>利用Seurat包中的FindMarkers进行差异表达分析（细胞群最小表达比例0.25）。</w:t>
      </w:r>
    </w:p>
    <w:p>
      <w:pPr>
        <w:pStyle w:val="3"/>
        <w:adjustRightInd w:val="0"/>
        <w:snapToGrid w:val="0"/>
        <w:spacing w:after="0" w:line="360" w:lineRule="auto"/>
        <w:rPr>
          <w:rFonts w:ascii="Times New Roman" w:hAnsi="Times New Roman" w:eastAsia="宋体" w:cs="Times New Roman"/>
        </w:rPr>
      </w:pPr>
      <w:bookmarkStart w:id="4" w:name="OLE_LINK3"/>
      <w:bookmarkStart w:id="5" w:name="OLE_LINK2"/>
      <w:r>
        <w:rPr>
          <w:rFonts w:hint="eastAsia" w:ascii="Times New Roman" w:hAnsi="Times New Roman" w:eastAsia="宋体" w:cs="Times New Roman"/>
        </w:rPr>
        <w:t>1.8、基因富集分析</w:t>
      </w:r>
    </w:p>
    <w:bookmarkEnd w:id="4"/>
    <w:bookmarkEnd w:id="5"/>
    <w:p>
      <w:pPr>
        <w:widowControl/>
        <w:adjustRightInd w:val="0"/>
        <w:snapToGrid w:val="0"/>
        <w:spacing w:line="360" w:lineRule="auto"/>
        <w:ind w:firstLine="480" w:firstLineChars="200"/>
        <w:jc w:val="left"/>
        <w:rPr>
          <w:kern w:val="0"/>
          <w:sz w:val="24"/>
        </w:rPr>
      </w:pPr>
      <w:r>
        <w:rPr>
          <w:kern w:val="0"/>
          <w:sz w:val="24"/>
        </w:rPr>
        <w:t>基于Gene Ontology</w:t>
      </w:r>
      <w:r>
        <w:rPr>
          <w:kern w:val="0"/>
          <w:sz w:val="24"/>
          <w:vertAlign w:val="superscript"/>
        </w:rPr>
        <w:fldChar w:fldCharType="begin">
          <w:fldData xml:space="preserve">PEVuZE5vdGU+PENpdGU+PEF1dGhvcj5Bc2hidXJuZXI8L0F1dGhvcj48WWVhcj4yMDAwPC9ZZWFy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</w:fldData>
        </w:fldChar>
      </w:r>
      <w:r>
        <w:rPr>
          <w:kern w:val="0"/>
          <w:sz w:val="24"/>
          <w:vertAlign w:val="superscript"/>
        </w:rPr>
        <w:instrText xml:space="preserve"> ADDIN EN.CITE </w:instrText>
      </w:r>
      <w:r>
        <w:rPr>
          <w:kern w:val="0"/>
          <w:sz w:val="24"/>
          <w:vertAlign w:val="superscript"/>
        </w:rPr>
        <w:fldChar w:fldCharType="begin">
          <w:fldData xml:space="preserve">PEVuZE5vdGU+PENpdGU+PEF1dGhvcj5Bc2hidXJuZXI8L0F1dGhvcj48WWVhcj4yMDAwPC9ZZWFy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</w:fldData>
        </w:fldChar>
      </w:r>
      <w:r>
        <w:rPr>
          <w:kern w:val="0"/>
          <w:sz w:val="24"/>
          <w:vertAlign w:val="superscript"/>
        </w:rPr>
        <w:instrText xml:space="preserve"> ADDIN EN.CITE.DATA </w:instrText>
      </w:r>
      <w:r>
        <w:rPr>
          <w:kern w:val="0"/>
          <w:sz w:val="24"/>
          <w:vertAlign w:val="superscript"/>
        </w:rPr>
        <w:fldChar w:fldCharType="end"/>
      </w:r>
      <w:r>
        <w:rPr>
          <w:kern w:val="0"/>
          <w:sz w:val="24"/>
          <w:vertAlign w:val="superscript"/>
        </w:rPr>
        <w:fldChar w:fldCharType="separate"/>
      </w:r>
      <w:r>
        <w:rPr>
          <w:kern w:val="0"/>
          <w:sz w:val="24"/>
          <w:vertAlign w:val="superscript"/>
        </w:rPr>
        <w:t>[</w:t>
      </w:r>
      <w:r>
        <w:rPr>
          <w:rFonts w:hint="eastAsia"/>
          <w:kern w:val="0"/>
          <w:sz w:val="24"/>
          <w:vertAlign w:val="superscript"/>
        </w:rPr>
        <w:t>5</w:t>
      </w:r>
      <w:r>
        <w:rPr>
          <w:kern w:val="0"/>
          <w:sz w:val="24"/>
          <w:vertAlign w:val="superscript"/>
        </w:rPr>
        <w:t>]</w:t>
      </w:r>
      <w:r>
        <w:rPr>
          <w:kern w:val="0"/>
          <w:sz w:val="24"/>
          <w:vertAlign w:val="superscript"/>
        </w:rPr>
        <w:fldChar w:fldCharType="end"/>
      </w:r>
      <w:r>
        <w:rPr>
          <w:kern w:val="0"/>
          <w:sz w:val="24"/>
        </w:rPr>
        <w:t>数据库，以及KEGG PATHWAY DATABASE</w:t>
      </w:r>
      <w:r>
        <w:rPr>
          <w:kern w:val="0"/>
          <w:sz w:val="24"/>
          <w:vertAlign w:val="superscript"/>
        </w:rPr>
        <w:fldChar w:fldCharType="begin"/>
      </w:r>
      <w:r>
        <w:rPr>
          <w:kern w:val="0"/>
          <w:sz w:val="24"/>
          <w:vertAlign w:val="superscript"/>
        </w:rPr>
        <w:instrText xml:space="preserve"> ADDIN EN.CITE &lt;EndNote&gt;&lt;Cite&gt;&lt;Author&gt;Kanehisa&lt;/Author&gt;&lt;Year&gt;2000&lt;/Year&gt;&lt;RecNum&gt;29&lt;/RecNum&gt;&lt;DisplayText&gt;&lt;style face="superscript"&gt;[8]&lt;/style&gt;&lt;/DisplayText&gt;&lt;record&gt;&lt;rec-number&gt;29&lt;/rec-number&gt;&lt;foreign-keys&gt;&lt;key app="EN" db-id="599w0z5pxe5t9bev2rj5fsdu0t0weftded0p" timestamp="1405487196"&gt;29&lt;/key&gt;&lt;/foreign-keys&gt;&lt;ref-type name="Journal Article"&gt;17&lt;/ref-type&gt;&lt;contributors&gt;&lt;authors&gt;&lt;author&gt;Kanehisa, M.&lt;/author&gt;&lt;author&gt;Goto, S.&lt;/author&gt;&lt;/authors&gt;&lt;/contributors&gt;&lt;auth-address&gt;Institute for Chemical Research, Kyoto University, Uji, Kyoto 611-0011, Japan. kanehisa@kuicr.kyoto-u.ac.jp&lt;/auth-address&gt;&lt;titles&gt;&lt;title&gt;KEGG: kyoto encyclopedia of genes and genomes&lt;/title&gt;&lt;secondary-title&gt;Nucleic Acids Res&lt;/secondary-title&gt;&lt;alt-title&gt;Nucleic acids research&lt;/alt-title&gt;&lt;/titles&gt;&lt;periodical&gt;&lt;full-title&gt;Nucleic Acids Res&lt;/full-title&gt;&lt;abbr-1&gt;Nucleic acids research&lt;/abbr-1&gt;&lt;/periodical&gt;&lt;alt-periodical&gt;&lt;full-title&gt;Nucleic Acids Res&lt;/full-title&gt;&lt;abbr-1&gt;Nucleic acids research&lt;/abbr-1&gt;&lt;/alt-periodical&gt;&lt;pages&gt;27-30&lt;/pages&gt;&lt;volume&gt;28&lt;/volume&gt;&lt;number&gt;1&lt;/number&gt;&lt;keywords&gt;&lt;keyword&gt;Animals&lt;/keyword&gt;&lt;keyword&gt;*Databases, Factual&lt;/keyword&gt;&lt;keyword&gt;Gene Expression&lt;/keyword&gt;&lt;keyword&gt;*Genome&lt;/keyword&gt;&lt;keyword&gt;Humans&lt;/keyword&gt;&lt;keyword&gt;Information Storage and Retrieval&lt;/keyword&gt;&lt;keyword&gt;Japan&lt;/keyword&gt;&lt;keyword&gt;Proteins/genetics/metabolism&lt;/keyword&gt;&lt;/keywords&gt;&lt;dates&gt;&lt;year&gt;2000&lt;/year&gt;&lt;pub-dates&gt;&lt;date&gt;Jan 1&lt;/date&gt;&lt;/pub-dates&gt;&lt;/dates&gt;&lt;isbn&gt;0305-1048 (Print)&amp;#xD;0305-1048 (Linking)&lt;/isbn&gt;&lt;accession-num&gt;10592173&lt;/accession-num&gt;&lt;urls&gt;&lt;related-urls&gt;&lt;url&gt;http://www.ncbi.nlm.nih.gov/pubmed/10592173&lt;/url&gt;&lt;/related-urls&gt;&lt;/urls&gt;&lt;custom2&gt;102409&lt;/custom2&gt;&lt;/record&gt;&lt;/Cite&gt;&lt;/EndNote&gt;</w:instrText>
      </w:r>
      <w:r>
        <w:rPr>
          <w:kern w:val="0"/>
          <w:sz w:val="24"/>
          <w:vertAlign w:val="superscript"/>
        </w:rPr>
        <w:fldChar w:fldCharType="separate"/>
      </w:r>
      <w:r>
        <w:rPr>
          <w:kern w:val="0"/>
          <w:sz w:val="24"/>
          <w:vertAlign w:val="superscript"/>
        </w:rPr>
        <w:t>[</w:t>
      </w:r>
      <w:r>
        <w:rPr>
          <w:rFonts w:hint="eastAsia"/>
          <w:kern w:val="0"/>
          <w:sz w:val="24"/>
          <w:vertAlign w:val="superscript"/>
        </w:rPr>
        <w:t>6</w:t>
      </w:r>
      <w:r>
        <w:rPr>
          <w:kern w:val="0"/>
          <w:sz w:val="24"/>
          <w:vertAlign w:val="superscript"/>
        </w:rPr>
        <w:t>]</w:t>
      </w:r>
      <w:r>
        <w:rPr>
          <w:kern w:val="0"/>
          <w:sz w:val="24"/>
          <w:vertAlign w:val="superscript"/>
        </w:rPr>
        <w:fldChar w:fldCharType="end"/>
      </w:r>
      <w:r>
        <w:rPr>
          <w:kern w:val="0"/>
          <w:sz w:val="24"/>
        </w:rPr>
        <w:t>生物化学通路的数据库，对</w:t>
      </w:r>
      <w:r>
        <w:rPr>
          <w:rFonts w:hint="eastAsia"/>
          <w:kern w:val="0"/>
          <w:sz w:val="24"/>
        </w:rPr>
        <w:t>候选</w:t>
      </w:r>
      <w:r>
        <w:rPr>
          <w:kern w:val="0"/>
          <w:sz w:val="24"/>
        </w:rPr>
        <w:t>基因进行了功能富集分析。利用统计学算法（Fisher’s exact test）来找出一组基因和哪些具体的功能条目联系最大，分析结果中每个条目都对应一个统计值P-value来表示显著性</w:t>
      </w:r>
      <w:r>
        <w:rPr>
          <w:rFonts w:hint="eastAsia"/>
          <w:kern w:val="0"/>
          <w:sz w:val="24"/>
        </w:rPr>
        <w:t>。</w:t>
      </w:r>
    </w:p>
    <w:p>
      <w:pPr>
        <w:pStyle w:val="3"/>
        <w:adjustRightInd w:val="0"/>
        <w:snapToGrid w:val="0"/>
        <w:spacing w:after="0" w:line="360" w:lineRule="auto"/>
        <w:rPr>
          <w:rFonts w:ascii="Times New Roman" w:hAnsi="Times New Roman" w:eastAsia="宋体" w:cs="Times New Roman"/>
        </w:rPr>
      </w:pPr>
      <w:r>
        <w:rPr>
          <w:rFonts w:hint="eastAsia" w:ascii="Times New Roman" w:hAnsi="Times New Roman" w:eastAsia="宋体" w:cs="Times New Roman"/>
        </w:rPr>
        <w:t>1.9、细胞间互作网络分析</w:t>
      </w:r>
    </w:p>
    <w:p>
      <w:pPr>
        <w:widowControl/>
        <w:adjustRightInd w:val="0"/>
        <w:snapToGrid w:val="0"/>
        <w:spacing w:line="360" w:lineRule="auto"/>
        <w:ind w:firstLine="480" w:firstLineChars="200"/>
        <w:jc w:val="left"/>
        <w:rPr>
          <w:kern w:val="0"/>
          <w:sz w:val="24"/>
        </w:rPr>
      </w:pPr>
      <w:r>
        <w:rPr>
          <w:rFonts w:hint="eastAsia"/>
          <w:kern w:val="0"/>
          <w:sz w:val="24"/>
        </w:rPr>
        <w:t>这里利用</w:t>
      </w:r>
      <w:r>
        <w:rPr>
          <w:kern w:val="0"/>
          <w:sz w:val="24"/>
        </w:rPr>
        <w:t>CellChat</w:t>
      </w:r>
      <w:r>
        <w:rPr>
          <w:kern w:val="0"/>
          <w:sz w:val="24"/>
        </w:rPr>
        <w:fldChar w:fldCharType="begin"/>
      </w:r>
      <w:r>
        <w:rPr>
          <w:kern w:val="0"/>
          <w:sz w:val="24"/>
        </w:rPr>
        <w:instrText xml:space="preserve"> ADDIN EN.CITE &lt;EndNote&gt;&lt;Cite&gt;&lt;Author&gt;Jin&lt;/Author&gt;&lt;Year&gt;2021&lt;/Year&gt;&lt;RecNum&gt;94&lt;/RecNum&gt;&lt;DisplayText&gt;&lt;style face="superscript"&gt;[5]&lt;/style&gt;&lt;/DisplayText&gt;&lt;record&gt;&lt;rec-number&gt;94&lt;/rec-number&gt;&lt;foreign-keys&gt;&lt;key app="EN" db-id="9z0fzata9f0zfie2svm5evsbd2wst59p0sr9" timestamp="1620368701"&gt;94&lt;/key&gt;&lt;/foreign-keys&gt;&lt;ref-type name="Journal Article"&gt;17&lt;/ref-type&gt;&lt;contributors&gt;&lt;authors&gt;&lt;author&gt;Jin, Suoqin&lt;/author&gt;&lt;author&gt;Guerrero-Juarez, Christian F.&lt;/author&gt;&lt;author&gt;Zhang, Lihua&lt;/author&gt;&lt;author&gt;Chang, Ivan&lt;/author&gt;&lt;author&gt;Ramos, Raul&lt;/author&gt;&lt;author&gt;Kuan, Chen-Hsiang&lt;/author&gt;&lt;author&gt;Myung, Peggy&lt;/author&gt;&lt;author&gt;Plikus, Maksim V.&lt;/author&gt;&lt;author&gt;Nie, Qing&lt;/author&gt;&lt;/authors&gt;&lt;/contributors&gt;&lt;titles&gt;&lt;title&gt;Inference and analysis of cell-cell communication using CellChat&lt;/title&gt;&lt;secondary-title&gt;Nature Communications&lt;/secondary-title&gt;&lt;/titles&gt;&lt;periodical&gt;&lt;full-title&gt;Nat Commun&lt;/full-title&gt;&lt;abbr-1&gt;Nature communications&lt;/abbr-1&gt;&lt;/periodical&gt;&lt;pages&gt;1088&lt;/pages&gt;&lt;volume&gt;12&lt;/volume&gt;&lt;number&gt;1&lt;/number&gt;&lt;dates&gt;&lt;year&gt;2021&lt;/year&gt;&lt;pub-dates&gt;&lt;date&gt;2021/02/17&lt;/date&gt;&lt;/pub-dates&gt;&lt;/dates&gt;&lt;isbn&gt;2041-1723&lt;/isbn&gt;&lt;urls&gt;&lt;related-urls&gt;&lt;url&gt;https://doi.org/10.1038/s41467-021-21246-9&lt;/url&gt;&lt;/related-urls&gt;&lt;/urls&gt;&lt;electronic-resource-num&gt;10.1038/s41467-021-21246-9&lt;/electronic-resource-num&gt;&lt;/record&gt;&lt;/Cite&gt;&lt;/EndNote&gt;</w:instrText>
      </w:r>
      <w:r>
        <w:rPr>
          <w:kern w:val="0"/>
          <w:sz w:val="24"/>
        </w:rPr>
        <w:fldChar w:fldCharType="separate"/>
      </w:r>
      <w:r>
        <w:rPr>
          <w:kern w:val="0"/>
          <w:sz w:val="24"/>
          <w:vertAlign w:val="superscript"/>
        </w:rPr>
        <w:t>[</w:t>
      </w:r>
      <w:r>
        <w:rPr>
          <w:rFonts w:hint="eastAsia"/>
          <w:kern w:val="0"/>
          <w:sz w:val="24"/>
          <w:vertAlign w:val="superscript"/>
        </w:rPr>
        <w:t>7</w:t>
      </w:r>
      <w:r>
        <w:rPr>
          <w:kern w:val="0"/>
          <w:sz w:val="24"/>
          <w:vertAlign w:val="superscript"/>
        </w:rPr>
        <w:t>]</w:t>
      </w:r>
      <w:r>
        <w:rPr>
          <w:kern w:val="0"/>
          <w:sz w:val="24"/>
        </w:rPr>
        <w:fldChar w:fldCharType="end"/>
      </w:r>
      <w:r>
        <w:rPr>
          <w:kern w:val="0"/>
          <w:sz w:val="24"/>
        </w:rPr>
        <w:t xml:space="preserve"> v1.1</w:t>
      </w:r>
      <w:r>
        <w:rPr>
          <w:rFonts w:hint="eastAsia"/>
          <w:kern w:val="0"/>
          <w:sz w:val="24"/>
        </w:rPr>
        <w:t>，根据各类细胞对应的受体配体基因表达值，推断细胞与细胞间的通信。然后获取细胞间的受体配体对网络关系。</w:t>
      </w:r>
    </w:p>
    <w:p>
      <w:pPr>
        <w:pStyle w:val="3"/>
        <w:adjustRightInd w:val="0"/>
        <w:snapToGrid w:val="0"/>
        <w:spacing w:after="0" w:line="360" w:lineRule="auto"/>
        <w:rPr>
          <w:rFonts w:ascii="Times New Roman" w:hAnsi="Times New Roman" w:eastAsia="宋体" w:cs="Times New Roman"/>
        </w:rPr>
      </w:pPr>
      <w:r>
        <w:rPr>
          <w:rFonts w:hint="eastAsia" w:ascii="Times New Roman" w:hAnsi="Times New Roman" w:eastAsia="宋体" w:cs="Times New Roman"/>
        </w:rPr>
        <w:t>1.10、转录因子调控分析（SCENIC）</w:t>
      </w:r>
    </w:p>
    <w:p>
      <w:pPr>
        <w:widowControl/>
        <w:adjustRightInd w:val="0"/>
        <w:snapToGrid w:val="0"/>
        <w:spacing w:line="360" w:lineRule="auto"/>
        <w:ind w:firstLine="480" w:firstLineChars="200"/>
        <w:jc w:val="left"/>
        <w:rPr>
          <w:kern w:val="0"/>
          <w:sz w:val="24"/>
        </w:rPr>
      </w:pPr>
      <w:r>
        <w:rPr>
          <w:rFonts w:hint="eastAsia"/>
          <w:kern w:val="0"/>
          <w:sz w:val="24"/>
        </w:rPr>
        <w:t>这里利用</w:t>
      </w:r>
      <w:r>
        <w:rPr>
          <w:kern w:val="0"/>
          <w:sz w:val="24"/>
        </w:rPr>
        <w:t>SCENIC</w:t>
      </w:r>
      <w:r>
        <w:rPr>
          <w:kern w:val="0"/>
          <w:sz w:val="24"/>
          <w:vertAlign w:val="superscript"/>
        </w:rPr>
        <w:fldChar w:fldCharType="begin"/>
      </w:r>
      <w:r>
        <w:rPr>
          <w:kern w:val="0"/>
          <w:sz w:val="24"/>
          <w:vertAlign w:val="superscript"/>
        </w:rPr>
        <w:instrText xml:space="preserve"> ADDIN EN.CITE &lt;EndNote&gt;&lt;Cite&gt;&lt;Author&gt;Aibar&lt;/Author&gt;&lt;Year&gt;2017&lt;/Year&gt;&lt;RecNum&gt;71&lt;/RecNum&gt;&lt;DisplayText&gt;&lt;style face="superscript"&gt;[10]&lt;/style&gt;&lt;/DisplayText&gt;&lt;record&gt;&lt;rec-number&gt;71&lt;/rec-number&gt;&lt;foreign-keys&gt;&lt;key app="EN" db-id="9z0fzata9f0zfie2svm5evsbd2wst59p0sr9" timestamp="1617674299"&gt;71&lt;/key&gt;&lt;/foreign-keys&gt;&lt;ref-type name="Journal Article"&gt;17&lt;/ref-type&gt;&lt;contributors&gt;&lt;authors&gt;&lt;author&gt;Aibar, Sara&lt;/author&gt;&lt;author&gt;González-Blas, Carmen Bravo&lt;/author&gt;&lt;author&gt;Moerman, Thomas&lt;/author&gt;&lt;author&gt;Huynh-Thu, Vân Anh&lt;/author&gt;&lt;author&gt;Imrichova, Hana&lt;/author&gt;&lt;author&gt;Hulselmans, Gert&lt;/author&gt;&lt;author&gt;Rambow, Florian&lt;/author&gt;&lt;author&gt;Marine, Jean-Christophe&lt;/author&gt;&lt;author&gt;Geurts, Pierre&lt;/author&gt;&lt;author&gt;Aerts, Jan&lt;/author&gt;&lt;author&gt;van den Oord, Joost&lt;/author&gt;&lt;author&gt;Atak, Zeynep Kalender&lt;/author&gt;&lt;author&gt;Wouters, Jasper&lt;/author&gt;&lt;author&gt;Aerts, Stein&lt;/author&gt;&lt;/authors&gt;&lt;/contributors&gt;&lt;titles&gt;&lt;title&gt;SCENIC: single-cell regulatory network inference and clustering&lt;/title&gt;&lt;secondary-title&gt;Nature Methods&lt;/secondary-title&gt;&lt;/titles&gt;&lt;periodical&gt;&lt;full-title&gt;Nature Methods&lt;/full-title&gt;&lt;/periodical&gt;&lt;pages&gt;1083-1086&lt;/pages&gt;&lt;volume&gt;14&lt;/volume&gt;&lt;number&gt;11&lt;/number&gt;&lt;dates&gt;&lt;year&gt;2017&lt;/year&gt;&lt;pub-dates&gt;&lt;date&gt;2017/11/01&lt;/date&gt;&lt;/pub-dates&gt;&lt;/dates&gt;&lt;isbn&gt;1548-7105&lt;/isbn&gt;&lt;urls&gt;&lt;related-urls&gt;&lt;url&gt;https://doi.org/10.1038/nmeth.4463&lt;/url&gt;&lt;/related-urls&gt;&lt;/urls&gt;&lt;electronic-resource-num&gt;10.1038/nmeth.4463&lt;/electronic-resource-num&gt;&lt;/record&gt;&lt;/Cite&gt;&lt;/EndNote&gt;</w:instrText>
      </w:r>
      <w:r>
        <w:rPr>
          <w:kern w:val="0"/>
          <w:sz w:val="24"/>
          <w:vertAlign w:val="superscript"/>
        </w:rPr>
        <w:fldChar w:fldCharType="separate"/>
      </w:r>
      <w:r>
        <w:rPr>
          <w:kern w:val="0"/>
          <w:sz w:val="24"/>
          <w:vertAlign w:val="superscript"/>
        </w:rPr>
        <w:t>[</w:t>
      </w:r>
      <w:r>
        <w:rPr>
          <w:rFonts w:hint="eastAsia"/>
          <w:kern w:val="0"/>
          <w:sz w:val="24"/>
          <w:vertAlign w:val="superscript"/>
        </w:rPr>
        <w:t>8</w:t>
      </w:r>
      <w:r>
        <w:rPr>
          <w:kern w:val="0"/>
          <w:sz w:val="24"/>
          <w:vertAlign w:val="superscript"/>
        </w:rPr>
        <w:t>]</w:t>
      </w:r>
      <w:r>
        <w:rPr>
          <w:kern w:val="0"/>
          <w:sz w:val="24"/>
          <w:vertAlign w:val="superscript"/>
        </w:rPr>
        <w:fldChar w:fldCharType="end"/>
      </w:r>
      <w:r>
        <w:rPr>
          <w:rFonts w:hint="eastAsia"/>
          <w:kern w:val="0"/>
          <w:sz w:val="24"/>
        </w:rPr>
        <w:t>，根据相应的数据，推断其中对应各转录因子的调控活性。</w:t>
      </w: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pStyle w:val="2"/>
        <w:numPr>
          <w:ilvl w:val="0"/>
          <w:numId w:val="1"/>
        </w:numPr>
        <w:adjustRightInd w:val="0"/>
        <w:snapToGrid w:val="0"/>
        <w:spacing w:before="0" w:after="0" w:line="360" w:lineRule="auto"/>
        <w:jc w:val="left"/>
        <w:rPr>
          <w:rFonts w:ascii="Times New Roman" w:hAnsi="Times New Roman" w:cs="Times New Roman"/>
          <w:kern w:val="0"/>
          <w:sz w:val="36"/>
          <w:szCs w:val="32"/>
        </w:rPr>
      </w:pPr>
      <w:r>
        <w:rPr>
          <w:rFonts w:ascii="Times New Roman" w:hAnsi="Times New Roman" w:cs="Times New Roman"/>
          <w:kern w:val="0"/>
          <w:sz w:val="36"/>
          <w:szCs w:val="32"/>
        </w:rPr>
        <w:t>分析结果</w:t>
      </w:r>
    </w:p>
    <w:p>
      <w:pPr>
        <w:pStyle w:val="3"/>
        <w:adjustRightInd w:val="0"/>
        <w:snapToGrid w:val="0"/>
        <w:spacing w:after="0" w:line="360" w:lineRule="auto"/>
      </w:pPr>
      <w:r>
        <w:rPr>
          <w:rFonts w:hint="eastAsia" w:ascii="Times New Roman" w:hAnsi="Times New Roman" w:eastAsia="宋体" w:cs="Times New Roman"/>
        </w:rPr>
        <w:t>2.1、</w:t>
      </w:r>
      <w:r>
        <w:rPr>
          <w:rFonts w:hint="eastAsia"/>
        </w:rPr>
        <w:t>建立糖尿病视网膜病变的单细胞图谱</w:t>
      </w:r>
    </w:p>
    <w:p>
      <w:pPr>
        <w:adjustRightInd w:val="0"/>
        <w:snapToGrid w:val="0"/>
        <w:spacing w:line="360" w:lineRule="auto"/>
        <w:jc w:val="left"/>
        <w:rPr>
          <w:sz w:val="24"/>
        </w:rPr>
      </w:pPr>
      <w:r>
        <w:rPr>
          <w:rFonts w:hint="eastAsia"/>
          <w:sz w:val="24"/>
        </w:rPr>
        <w:t>数据来源：GEO：GSE178121</w:t>
      </w:r>
    </w:p>
    <w:p>
      <w:pPr>
        <w:pStyle w:val="4"/>
        <w:adjustRightInd w:val="0"/>
        <w:snapToGrid w:val="0"/>
        <w:spacing w:before="0" w:line="360" w:lineRule="auto"/>
        <w:rPr>
          <w:kern w:val="0"/>
          <w:sz w:val="32"/>
          <w:szCs w:val="32"/>
        </w:rPr>
      </w:pPr>
      <w:r>
        <w:rPr>
          <w:rFonts w:hint="eastAsia" w:ascii="Times New Roman" w:hAnsi="Times New Roman" w:eastAsia="宋体" w:cs="Times New Roman"/>
          <w:kern w:val="0"/>
          <w:sz w:val="28"/>
          <w:szCs w:val="28"/>
        </w:rPr>
        <w:t>2.1.1、</w:t>
      </w:r>
      <w:r>
        <w:rPr>
          <w:rFonts w:hint="eastAsia" w:ascii="Times New Roman" w:hAnsi="Times New Roman" w:cs="Times New Roman"/>
          <w:kern w:val="0"/>
          <w:sz w:val="28"/>
          <w:szCs w:val="28"/>
        </w:rPr>
        <w:t>质量控制QC</w:t>
      </w:r>
    </w:p>
    <w:p>
      <w:pPr>
        <w:widowControl/>
        <w:adjustRightInd w:val="0"/>
        <w:snapToGrid w:val="0"/>
        <w:spacing w:line="360" w:lineRule="auto"/>
        <w:ind w:firstLine="480" w:firstLineChars="200"/>
        <w:jc w:val="left"/>
        <w:rPr>
          <w:kern w:val="0"/>
          <w:sz w:val="24"/>
        </w:rPr>
      </w:pPr>
      <w:r>
        <w:rPr>
          <w:rFonts w:hint="eastAsia"/>
          <w:kern w:val="0"/>
          <w:sz w:val="24"/>
        </w:rPr>
        <w:t>首先用</w:t>
      </w:r>
      <w:r>
        <w:rPr>
          <w:kern w:val="0"/>
          <w:sz w:val="24"/>
        </w:rPr>
        <w:t>R</w:t>
      </w:r>
      <w:r>
        <w:rPr>
          <w:rFonts w:hint="eastAsia"/>
          <w:kern w:val="0"/>
          <w:sz w:val="24"/>
        </w:rPr>
        <w:t>包</w:t>
      </w:r>
      <w:r>
        <w:rPr>
          <w:kern w:val="0"/>
          <w:sz w:val="24"/>
        </w:rPr>
        <w:t>DropletUtils</w:t>
      </w:r>
      <w:r>
        <w:rPr>
          <w:rFonts w:hint="eastAsia"/>
          <w:kern w:val="0"/>
          <w:sz w:val="24"/>
        </w:rPr>
        <w:t>中的</w:t>
      </w:r>
      <w:r>
        <w:rPr>
          <w:kern w:val="0"/>
          <w:sz w:val="24"/>
        </w:rPr>
        <w:t>barcodeRanks</w:t>
      </w:r>
      <w:r>
        <w:rPr>
          <w:rFonts w:hint="eastAsia"/>
          <w:kern w:val="0"/>
          <w:sz w:val="24"/>
        </w:rPr>
        <w:t>统计各</w:t>
      </w:r>
      <w:r>
        <w:rPr>
          <w:kern w:val="0"/>
          <w:sz w:val="24"/>
        </w:rPr>
        <w:t>barcode</w:t>
      </w:r>
      <w:r>
        <w:rPr>
          <w:rFonts w:hint="eastAsia"/>
          <w:kern w:val="0"/>
          <w:sz w:val="24"/>
        </w:rPr>
        <w:t>（对应每个细胞）的表达情况。再用</w:t>
      </w:r>
      <w:r>
        <w:rPr>
          <w:kern w:val="0"/>
          <w:sz w:val="24"/>
        </w:rPr>
        <w:t>emptyDrops</w:t>
      </w:r>
      <w:r>
        <w:rPr>
          <w:rFonts w:hint="eastAsia"/>
          <w:kern w:val="0"/>
          <w:sz w:val="24"/>
        </w:rPr>
        <w:t>过滤掉没有任何基因表达的</w:t>
      </w:r>
      <w:r>
        <w:rPr>
          <w:kern w:val="0"/>
          <w:sz w:val="24"/>
        </w:rPr>
        <w:t>barcode</w:t>
      </w:r>
      <w:r>
        <w:rPr>
          <w:rFonts w:hint="eastAsia"/>
          <w:kern w:val="0"/>
          <w:sz w:val="24"/>
        </w:rPr>
        <w:t>（该</w:t>
      </w:r>
      <w:r>
        <w:rPr>
          <w:kern w:val="0"/>
          <w:sz w:val="24"/>
        </w:rPr>
        <w:t>barcode</w:t>
      </w:r>
      <w:r>
        <w:rPr>
          <w:rFonts w:hint="eastAsia"/>
          <w:kern w:val="0"/>
          <w:sz w:val="24"/>
        </w:rPr>
        <w:t>中可能不包含任何细胞）。</w:t>
      </w:r>
    </w:p>
    <w:p>
      <w:pPr>
        <w:adjustRightInd w:val="0"/>
        <w:snapToGrid w:val="0"/>
        <w:spacing w:line="360" w:lineRule="auto"/>
        <w:jc w:val="left"/>
        <w:rPr>
          <w:sz w:val="24"/>
        </w:rPr>
      </w:pPr>
      <w:r>
        <w:rPr>
          <w:rFonts w:hint="eastAsia"/>
          <w:sz w:val="24"/>
        </w:rPr>
        <w:t>结果文件夹：</w:t>
      </w:r>
      <w:r>
        <w:rPr>
          <w:sz w:val="24"/>
        </w:rPr>
        <w:t>QC</w:t>
      </w:r>
    </w:p>
    <w:p>
      <w:pPr>
        <w:widowControl/>
        <w:adjustRightInd w:val="0"/>
        <w:snapToGrid w:val="0"/>
        <w:spacing w:line="360" w:lineRule="auto"/>
        <w:jc w:val="left"/>
        <w:rPr>
          <w:kern w:val="0"/>
          <w:sz w:val="24"/>
        </w:rPr>
      </w:pPr>
      <w:r>
        <w:rPr>
          <w:rFonts w:hint="eastAsia"/>
          <w:sz w:val="24"/>
        </w:rPr>
        <w:t>注：这里以</w:t>
      </w:r>
      <w:r>
        <w:rPr>
          <w:sz w:val="24"/>
        </w:rPr>
        <w:t>GSM</w:t>
      </w:r>
      <w:r>
        <w:rPr>
          <w:rFonts w:hint="eastAsia"/>
          <w:sz w:val="24"/>
        </w:rPr>
        <w:t>5380581为例展示结果</w:t>
      </w:r>
    </w:p>
    <w:p>
      <w:pPr>
        <w:widowControl/>
        <w:adjustRightInd w:val="0"/>
        <w:snapToGrid w:val="0"/>
        <w:spacing w:line="360" w:lineRule="auto"/>
        <w:jc w:val="center"/>
        <w:rPr>
          <w:kern w:val="0"/>
          <w:sz w:val="24"/>
        </w:rPr>
      </w:pPr>
      <w:r>
        <w:rPr>
          <w:rFonts w:hint="eastAsia"/>
          <w:kern w:val="0"/>
          <w:sz w:val="24"/>
        </w:rPr>
        <w:drawing>
          <wp:inline distT="0" distB="0" distL="114300" distR="114300">
            <wp:extent cx="5198745" cy="5198745"/>
            <wp:effectExtent l="0" t="0" r="1905" b="1905"/>
            <wp:docPr id="1" name="图片 1" descr="SRR14804689_UMI_count_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RR14804689_UMI_count_depth"/>
                    <pic:cNvPicPr>
                      <a:picLocks noChangeAspect="1"/>
                    </pic:cNvPicPr>
                  </pic:nvPicPr>
                  <pic:blipFill>
                    <a:blip r:embed="rId4"/>
                    <a:stretch>
                      <a:fillRect/>
                    </a:stretch>
                  </pic:blipFill>
                  <pic:spPr>
                    <a:xfrm>
                      <a:off x="0" y="0"/>
                      <a:ext cx="5198745" cy="5198745"/>
                    </a:xfrm>
                    <a:prstGeom prst="rect">
                      <a:avLst/>
                    </a:prstGeom>
                  </pic:spPr>
                </pic:pic>
              </a:graphicData>
            </a:graphic>
          </wp:inline>
        </w:drawing>
      </w:r>
    </w:p>
    <w:p>
      <w:pPr>
        <w:adjustRightInd w:val="0"/>
        <w:snapToGrid w:val="0"/>
        <w:spacing w:line="360" w:lineRule="auto"/>
        <w:jc w:val="center"/>
        <w:rPr>
          <w:sz w:val="22"/>
        </w:rPr>
      </w:pPr>
      <w:r>
        <w:rPr>
          <w:rFonts w:hint="eastAsia"/>
          <w:sz w:val="22"/>
        </w:rPr>
        <w:t>细胞表达情况图</w:t>
      </w:r>
    </w:p>
    <w:p>
      <w:pPr>
        <w:widowControl/>
        <w:adjustRightInd w:val="0"/>
        <w:snapToGrid w:val="0"/>
        <w:spacing w:line="360" w:lineRule="auto"/>
        <w:jc w:val="center"/>
        <w:rPr>
          <w:kern w:val="0"/>
          <w:sz w:val="24"/>
        </w:rPr>
      </w:pPr>
    </w:p>
    <w:p>
      <w:pPr>
        <w:widowControl/>
        <w:adjustRightInd w:val="0"/>
        <w:snapToGrid w:val="0"/>
        <w:spacing w:line="360" w:lineRule="auto"/>
        <w:ind w:firstLine="480" w:firstLineChars="200"/>
        <w:jc w:val="left"/>
        <w:rPr>
          <w:kern w:val="0"/>
          <w:sz w:val="24"/>
        </w:rPr>
      </w:pPr>
      <w:r>
        <w:rPr>
          <w:rFonts w:hint="eastAsia"/>
          <w:kern w:val="0"/>
          <w:sz w:val="24"/>
        </w:rPr>
        <w:t>接下来用</w:t>
      </w:r>
      <w:r>
        <w:rPr>
          <w:kern w:val="0"/>
          <w:sz w:val="24"/>
        </w:rPr>
        <w:t>scater</w:t>
      </w:r>
      <w:r>
        <w:rPr>
          <w:rFonts w:hint="eastAsia"/>
          <w:kern w:val="0"/>
          <w:sz w:val="24"/>
        </w:rPr>
        <w:t>包中的</w:t>
      </w:r>
      <w:r>
        <w:rPr>
          <w:kern w:val="0"/>
          <w:sz w:val="24"/>
        </w:rPr>
        <w:t>perCellQCMetrics</w:t>
      </w:r>
      <w:r>
        <w:rPr>
          <w:rFonts w:hint="eastAsia"/>
          <w:kern w:val="0"/>
          <w:sz w:val="24"/>
        </w:rPr>
        <w:t>对表达数据进行统计。</w:t>
      </w:r>
    </w:p>
    <w:p>
      <w:pPr>
        <w:widowControl/>
        <w:adjustRightInd w:val="0"/>
        <w:snapToGrid w:val="0"/>
        <w:spacing w:line="360" w:lineRule="auto"/>
        <w:jc w:val="center"/>
        <w:rPr>
          <w:kern w:val="0"/>
          <w:sz w:val="24"/>
        </w:rPr>
      </w:pPr>
      <w:r>
        <w:rPr>
          <w:rFonts w:hint="eastAsia"/>
          <w:kern w:val="0"/>
          <w:sz w:val="24"/>
        </w:rPr>
        <w:drawing>
          <wp:inline distT="0" distB="0" distL="114300" distR="114300">
            <wp:extent cx="5240655" cy="5240655"/>
            <wp:effectExtent l="0" t="0" r="17145" b="17145"/>
            <wp:docPr id="3" name="图片 3"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1)"/>
                    <pic:cNvPicPr>
                      <a:picLocks noChangeAspect="1"/>
                    </pic:cNvPicPr>
                  </pic:nvPicPr>
                  <pic:blipFill>
                    <a:blip r:embed="rId5"/>
                    <a:stretch>
                      <a:fillRect/>
                    </a:stretch>
                  </pic:blipFill>
                  <pic:spPr>
                    <a:xfrm>
                      <a:off x="0" y="0"/>
                      <a:ext cx="5240655" cy="5240655"/>
                    </a:xfrm>
                    <a:prstGeom prst="rect">
                      <a:avLst/>
                    </a:prstGeom>
                  </pic:spPr>
                </pic:pic>
              </a:graphicData>
            </a:graphic>
          </wp:inline>
        </w:drawing>
      </w:r>
    </w:p>
    <w:p>
      <w:pPr>
        <w:adjustRightInd w:val="0"/>
        <w:snapToGrid w:val="0"/>
        <w:spacing w:line="360" w:lineRule="auto"/>
        <w:jc w:val="center"/>
        <w:rPr>
          <w:sz w:val="22"/>
        </w:rPr>
      </w:pPr>
      <w:r>
        <w:rPr>
          <w:rFonts w:hint="eastAsia"/>
          <w:sz w:val="22"/>
        </w:rPr>
        <w:t>基因表达统计</w:t>
      </w:r>
    </w:p>
    <w:p>
      <w:pPr>
        <w:adjustRightInd w:val="0"/>
        <w:snapToGrid w:val="0"/>
        <w:spacing w:line="360" w:lineRule="auto"/>
        <w:jc w:val="center"/>
        <w:rPr>
          <w:sz w:val="22"/>
        </w:rPr>
      </w:pPr>
    </w:p>
    <w:p>
      <w:pPr>
        <w:pStyle w:val="4"/>
        <w:adjustRightInd w:val="0"/>
        <w:snapToGrid w:val="0"/>
        <w:spacing w:before="0" w:line="360" w:lineRule="auto"/>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2.1.2、细胞过滤</w:t>
      </w:r>
    </w:p>
    <w:p>
      <w:pPr>
        <w:adjustRightInd w:val="0"/>
        <w:snapToGrid w:val="0"/>
        <w:spacing w:line="360" w:lineRule="auto"/>
        <w:ind w:firstLine="504"/>
        <w:jc w:val="left"/>
        <w:rPr>
          <w:rFonts w:ascii="Times New Roman" w:hAnsi="Times New Roman" w:eastAsia="宋体" w:cs="Times New Roman"/>
          <w:kern w:val="0"/>
          <w:sz w:val="24"/>
        </w:rPr>
      </w:pPr>
      <w:r>
        <w:rPr>
          <w:rFonts w:hint="eastAsia" w:ascii="Times New Roman" w:hAnsi="Times New Roman" w:eastAsia="宋体" w:cs="Times New Roman"/>
          <w:kern w:val="0"/>
          <w:sz w:val="24"/>
        </w:rPr>
        <w:t>首先过滤掉表达基因（UMI）数小于200的细胞。然后统计线粒体及核糖体基因在每个细胞中表达的比例，并保留线粒体表达比例小于10%且核糖体基因表达比例大于5%的细胞。结果在QC文件夹中。</w:t>
      </w:r>
    </w:p>
    <w:p>
      <w:pPr>
        <w:widowControl/>
        <w:adjustRightInd w:val="0"/>
        <w:snapToGrid w:val="0"/>
        <w:spacing w:line="360" w:lineRule="auto"/>
        <w:jc w:val="center"/>
        <w:rPr>
          <w:kern w:val="0"/>
          <w:sz w:val="24"/>
        </w:rPr>
      </w:pPr>
      <w:r>
        <w:rPr>
          <w:rFonts w:hint="eastAsia"/>
          <w:kern w:val="0"/>
          <w:sz w:val="24"/>
        </w:rPr>
        <w:drawing>
          <wp:inline distT="0" distB="0" distL="114300" distR="114300">
            <wp:extent cx="5233035" cy="5233035"/>
            <wp:effectExtent l="0" t="0" r="5715" b="571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6"/>
                    <a:stretch>
                      <a:fillRect/>
                    </a:stretch>
                  </pic:blipFill>
                  <pic:spPr>
                    <a:xfrm>
                      <a:off x="0" y="0"/>
                      <a:ext cx="5233035" cy="5233035"/>
                    </a:xfrm>
                    <a:prstGeom prst="rect">
                      <a:avLst/>
                    </a:prstGeom>
                  </pic:spPr>
                </pic:pic>
              </a:graphicData>
            </a:graphic>
          </wp:inline>
        </w:drawing>
      </w:r>
    </w:p>
    <w:p>
      <w:pPr>
        <w:adjustRightInd w:val="0"/>
        <w:snapToGrid w:val="0"/>
        <w:spacing w:line="360" w:lineRule="auto"/>
        <w:jc w:val="center"/>
        <w:rPr>
          <w:sz w:val="24"/>
        </w:rPr>
      </w:pPr>
      <w:r>
        <w:rPr>
          <w:rFonts w:hint="eastAsia"/>
          <w:sz w:val="24"/>
        </w:rPr>
        <w:t>各种基因所占比例统计图</w:t>
      </w:r>
    </w:p>
    <w:p>
      <w:pPr>
        <w:pStyle w:val="4"/>
        <w:adjustRightInd w:val="0"/>
        <w:snapToGrid w:val="0"/>
        <w:spacing w:before="0" w:line="360" w:lineRule="auto"/>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2.1.3、去除双细胞</w:t>
      </w:r>
    </w:p>
    <w:p>
      <w:pPr>
        <w:adjustRightInd w:val="0"/>
        <w:snapToGrid w:val="0"/>
        <w:spacing w:line="360" w:lineRule="auto"/>
        <w:ind w:firstLine="504"/>
        <w:jc w:val="left"/>
        <w:rPr>
          <w:kern w:val="0"/>
          <w:sz w:val="24"/>
        </w:rPr>
      </w:pPr>
      <w:r>
        <w:rPr>
          <w:rFonts w:hint="eastAsia"/>
          <w:kern w:val="0"/>
          <w:sz w:val="24"/>
        </w:rPr>
        <w:t>最后用</w:t>
      </w:r>
      <w:r>
        <w:rPr>
          <w:kern w:val="0"/>
          <w:sz w:val="24"/>
        </w:rPr>
        <w:t>DoubletFinder</w:t>
      </w:r>
      <w:r>
        <w:rPr>
          <w:rFonts w:hint="eastAsia"/>
          <w:kern w:val="0"/>
          <w:sz w:val="24"/>
        </w:rPr>
        <w:t>包计算并去除双细胞。结果在QC文件夹中。</w:t>
      </w:r>
    </w:p>
    <w:p>
      <w:pPr>
        <w:widowControl/>
        <w:adjustRightInd w:val="0"/>
        <w:snapToGrid w:val="0"/>
        <w:spacing w:line="360" w:lineRule="auto"/>
        <w:jc w:val="center"/>
        <w:rPr>
          <w:kern w:val="0"/>
          <w:sz w:val="24"/>
        </w:rPr>
      </w:pPr>
      <w:r>
        <w:rPr>
          <w:rFonts w:hint="eastAsia"/>
          <w:kern w:val="0"/>
          <w:sz w:val="24"/>
        </w:rPr>
        <w:drawing>
          <wp:inline distT="0" distB="0" distL="114300" distR="114300">
            <wp:extent cx="2294890" cy="2294890"/>
            <wp:effectExtent l="0" t="0" r="10160" b="10160"/>
            <wp:docPr id="21" name="图片 21" descr="SRR14804689_doublet_vio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RR14804689_doublet_violin"/>
                    <pic:cNvPicPr>
                      <a:picLocks noChangeAspect="1"/>
                    </pic:cNvPicPr>
                  </pic:nvPicPr>
                  <pic:blipFill>
                    <a:blip r:embed="rId7"/>
                    <a:stretch>
                      <a:fillRect/>
                    </a:stretch>
                  </pic:blipFill>
                  <pic:spPr>
                    <a:xfrm>
                      <a:off x="0" y="0"/>
                      <a:ext cx="2294890" cy="2294890"/>
                    </a:xfrm>
                    <a:prstGeom prst="rect">
                      <a:avLst/>
                    </a:prstGeom>
                  </pic:spPr>
                </pic:pic>
              </a:graphicData>
            </a:graphic>
          </wp:inline>
        </w:drawing>
      </w:r>
    </w:p>
    <w:p>
      <w:pPr>
        <w:adjustRightInd w:val="0"/>
        <w:snapToGrid w:val="0"/>
        <w:spacing w:line="360" w:lineRule="auto"/>
        <w:jc w:val="center"/>
        <w:rPr>
          <w:kern w:val="0"/>
          <w:sz w:val="24"/>
        </w:rPr>
      </w:pPr>
      <w:r>
        <w:rPr>
          <w:rFonts w:hint="eastAsia"/>
          <w:sz w:val="22"/>
        </w:rPr>
        <w:t>双细胞确定结果图</w:t>
      </w:r>
    </w:p>
    <w:p>
      <w:pPr>
        <w:pStyle w:val="4"/>
        <w:adjustRightInd w:val="0"/>
        <w:snapToGrid w:val="0"/>
        <w:spacing w:before="0" w:line="360" w:lineRule="auto"/>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2.1.4、主成分分析（PCA）</w:t>
      </w:r>
    </w:p>
    <w:p>
      <w:pPr>
        <w:adjustRightInd w:val="0"/>
        <w:snapToGrid w:val="0"/>
        <w:spacing w:line="360" w:lineRule="auto"/>
        <w:ind w:firstLine="504"/>
        <w:jc w:val="left"/>
        <w:rPr>
          <w:kern w:val="0"/>
          <w:sz w:val="24"/>
        </w:rPr>
      </w:pPr>
      <w:r>
        <w:rPr>
          <w:rFonts w:hint="eastAsia"/>
          <w:kern w:val="0"/>
          <w:sz w:val="24"/>
        </w:rPr>
        <w:t>用</w:t>
      </w:r>
      <w:r>
        <w:rPr>
          <w:kern w:val="0"/>
          <w:sz w:val="24"/>
        </w:rPr>
        <w:t>Seurat</w:t>
      </w:r>
      <w:r>
        <w:rPr>
          <w:rFonts w:hint="eastAsia"/>
          <w:kern w:val="0"/>
          <w:sz w:val="24"/>
        </w:rPr>
        <w:t>包中的</w:t>
      </w:r>
      <w:r>
        <w:rPr>
          <w:kern w:val="0"/>
          <w:sz w:val="24"/>
        </w:rPr>
        <w:t>ScaleData</w:t>
      </w:r>
      <w:r>
        <w:rPr>
          <w:rFonts w:hint="eastAsia"/>
          <w:kern w:val="0"/>
          <w:sz w:val="24"/>
        </w:rPr>
        <w:t>对数据进行线性缩放后，再用</w:t>
      </w:r>
      <w:r>
        <w:rPr>
          <w:kern w:val="0"/>
          <w:sz w:val="24"/>
        </w:rPr>
        <w:t>RunPCA</w:t>
      </w:r>
      <w:r>
        <w:rPr>
          <w:rFonts w:hint="eastAsia"/>
          <w:kern w:val="0"/>
          <w:sz w:val="24"/>
        </w:rPr>
        <w:t>对数据执行</w:t>
      </w:r>
      <w:r>
        <w:rPr>
          <w:kern w:val="0"/>
          <w:sz w:val="24"/>
        </w:rPr>
        <w:t>PCA</w:t>
      </w:r>
      <w:r>
        <w:rPr>
          <w:rFonts w:hint="eastAsia"/>
          <w:kern w:val="0"/>
          <w:sz w:val="24"/>
        </w:rPr>
        <w:t>进行降维分析。并筛选SD较大的PC进行后续分析。</w:t>
      </w:r>
    </w:p>
    <w:p>
      <w:pPr>
        <w:adjustRightInd w:val="0"/>
        <w:snapToGrid w:val="0"/>
        <w:spacing w:line="360" w:lineRule="auto"/>
        <w:jc w:val="left"/>
        <w:rPr>
          <w:kern w:val="0"/>
          <w:sz w:val="24"/>
        </w:rPr>
      </w:pPr>
      <w:r>
        <w:rPr>
          <w:rFonts w:hint="eastAsia"/>
          <w:kern w:val="0"/>
          <w:sz w:val="24"/>
        </w:rPr>
        <w:t>结果文件夹：cluster</w:t>
      </w:r>
    </w:p>
    <w:p>
      <w:pPr>
        <w:widowControl/>
        <w:adjustRightInd w:val="0"/>
        <w:snapToGrid w:val="0"/>
        <w:spacing w:line="360" w:lineRule="auto"/>
        <w:jc w:val="center"/>
        <w:rPr>
          <w:kern w:val="0"/>
          <w:sz w:val="24"/>
        </w:rPr>
      </w:pPr>
      <w:r>
        <w:rPr>
          <w:rFonts w:hint="eastAsia"/>
          <w:kern w:val="0"/>
          <w:sz w:val="24"/>
        </w:rPr>
        <w:drawing>
          <wp:inline distT="0" distB="0" distL="114300" distR="114300">
            <wp:extent cx="3688080" cy="3073400"/>
            <wp:effectExtent l="0" t="0" r="7620" b="0"/>
            <wp:docPr id="4" name="图片 4" descr="pca_top_g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ca_top_gene"/>
                    <pic:cNvPicPr>
                      <a:picLocks noChangeAspect="1"/>
                    </pic:cNvPicPr>
                  </pic:nvPicPr>
                  <pic:blipFill>
                    <a:blip r:embed="rId8"/>
                    <a:stretch>
                      <a:fillRect/>
                    </a:stretch>
                  </pic:blipFill>
                  <pic:spPr>
                    <a:xfrm>
                      <a:off x="0" y="0"/>
                      <a:ext cx="3688080" cy="3073400"/>
                    </a:xfrm>
                    <a:prstGeom prst="rect">
                      <a:avLst/>
                    </a:prstGeom>
                  </pic:spPr>
                </pic:pic>
              </a:graphicData>
            </a:graphic>
          </wp:inline>
        </w:drawing>
      </w:r>
    </w:p>
    <w:p>
      <w:pPr>
        <w:adjustRightInd w:val="0"/>
        <w:snapToGrid w:val="0"/>
        <w:spacing w:line="360" w:lineRule="auto"/>
        <w:jc w:val="center"/>
        <w:rPr>
          <w:kern w:val="0"/>
          <w:sz w:val="22"/>
          <w:lang w:val="en-GB"/>
        </w:rPr>
      </w:pPr>
      <w:r>
        <w:rPr>
          <w:kern w:val="0"/>
          <w:sz w:val="22"/>
          <w:lang w:val="en-GB"/>
        </w:rPr>
        <w:t>Top2</w:t>
      </w:r>
      <w:r>
        <w:rPr>
          <w:rFonts w:hint="eastAsia"/>
          <w:kern w:val="0"/>
          <w:sz w:val="22"/>
          <w:lang w:val="en-GB"/>
        </w:rPr>
        <w:t>主成分基因贡献度</w:t>
      </w:r>
    </w:p>
    <w:p>
      <w:pPr>
        <w:adjustRightInd w:val="0"/>
        <w:snapToGrid w:val="0"/>
        <w:spacing w:line="360" w:lineRule="auto"/>
        <w:jc w:val="center"/>
        <w:rPr>
          <w:kern w:val="0"/>
          <w:sz w:val="22"/>
          <w:lang w:val="en-GB"/>
        </w:rPr>
      </w:pPr>
    </w:p>
    <w:p>
      <w:pPr>
        <w:adjustRightInd w:val="0"/>
        <w:snapToGrid w:val="0"/>
        <w:spacing w:line="360" w:lineRule="auto"/>
        <w:jc w:val="center"/>
        <w:rPr>
          <w:kern w:val="0"/>
          <w:sz w:val="22"/>
          <w:lang w:val="en-GB"/>
        </w:rPr>
      </w:pPr>
      <w:r>
        <w:rPr>
          <w:rFonts w:hint="eastAsia"/>
          <w:kern w:val="0"/>
          <w:sz w:val="22"/>
          <w:lang w:val="en-GB"/>
        </w:rPr>
        <w:drawing>
          <wp:inline distT="0" distB="0" distL="114300" distR="114300">
            <wp:extent cx="3825240" cy="3188970"/>
            <wp:effectExtent l="0" t="0" r="3810" b="11430"/>
            <wp:docPr id="8" name="图片 8" descr="pca_by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ca_by_group"/>
                    <pic:cNvPicPr>
                      <a:picLocks noChangeAspect="1"/>
                    </pic:cNvPicPr>
                  </pic:nvPicPr>
                  <pic:blipFill>
                    <a:blip r:embed="rId9"/>
                    <a:stretch>
                      <a:fillRect/>
                    </a:stretch>
                  </pic:blipFill>
                  <pic:spPr>
                    <a:xfrm>
                      <a:off x="0" y="0"/>
                      <a:ext cx="3825240" cy="3188970"/>
                    </a:xfrm>
                    <a:prstGeom prst="rect">
                      <a:avLst/>
                    </a:prstGeom>
                  </pic:spPr>
                </pic:pic>
              </a:graphicData>
            </a:graphic>
          </wp:inline>
        </w:drawing>
      </w:r>
    </w:p>
    <w:p>
      <w:pPr>
        <w:adjustRightInd w:val="0"/>
        <w:snapToGrid w:val="0"/>
        <w:spacing w:line="360" w:lineRule="auto"/>
        <w:jc w:val="center"/>
        <w:rPr>
          <w:kern w:val="0"/>
          <w:sz w:val="22"/>
          <w:lang w:val="en-GB"/>
        </w:rPr>
      </w:pPr>
      <w:r>
        <w:rPr>
          <w:rFonts w:hint="eastAsia"/>
          <w:kern w:val="0"/>
          <w:sz w:val="22"/>
          <w:lang w:val="en-GB"/>
        </w:rPr>
        <w:t>PCA图</w:t>
      </w:r>
    </w:p>
    <w:p>
      <w:pPr>
        <w:adjustRightInd w:val="0"/>
        <w:snapToGrid w:val="0"/>
        <w:spacing w:line="360" w:lineRule="auto"/>
        <w:rPr>
          <w:kern w:val="0"/>
          <w:sz w:val="22"/>
          <w:lang w:val="en-GB"/>
        </w:rPr>
      </w:pPr>
    </w:p>
    <w:p>
      <w:pPr>
        <w:widowControl/>
        <w:adjustRightInd w:val="0"/>
        <w:snapToGrid w:val="0"/>
        <w:spacing w:line="360" w:lineRule="auto"/>
        <w:jc w:val="center"/>
        <w:rPr>
          <w:kern w:val="0"/>
          <w:sz w:val="24"/>
        </w:rPr>
      </w:pPr>
      <w:r>
        <w:rPr>
          <w:rFonts w:hint="eastAsia"/>
          <w:kern w:val="0"/>
          <w:sz w:val="24"/>
        </w:rPr>
        <w:drawing>
          <wp:inline distT="0" distB="0" distL="114300" distR="114300">
            <wp:extent cx="3648075" cy="3648075"/>
            <wp:effectExtent l="0" t="0" r="0" b="0"/>
            <wp:docPr id="5" name="图片 5" descr="pca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ca_select"/>
                    <pic:cNvPicPr>
                      <a:picLocks noChangeAspect="1"/>
                    </pic:cNvPicPr>
                  </pic:nvPicPr>
                  <pic:blipFill>
                    <a:blip r:embed="rId10"/>
                    <a:stretch>
                      <a:fillRect/>
                    </a:stretch>
                  </pic:blipFill>
                  <pic:spPr>
                    <a:xfrm>
                      <a:off x="0" y="0"/>
                      <a:ext cx="3648075" cy="3648075"/>
                    </a:xfrm>
                    <a:prstGeom prst="rect">
                      <a:avLst/>
                    </a:prstGeom>
                  </pic:spPr>
                </pic:pic>
              </a:graphicData>
            </a:graphic>
          </wp:inline>
        </w:drawing>
      </w:r>
    </w:p>
    <w:p>
      <w:pPr>
        <w:adjustRightInd w:val="0"/>
        <w:snapToGrid w:val="0"/>
        <w:spacing w:line="360" w:lineRule="auto"/>
        <w:jc w:val="center"/>
        <w:rPr>
          <w:kern w:val="0"/>
          <w:sz w:val="24"/>
        </w:rPr>
      </w:pPr>
      <w:r>
        <w:rPr>
          <w:kern w:val="0"/>
          <w:sz w:val="22"/>
          <w:lang w:val="en-GB"/>
        </w:rPr>
        <w:t>P</w:t>
      </w:r>
      <w:r>
        <w:rPr>
          <w:rFonts w:hint="eastAsia"/>
          <w:kern w:val="0"/>
          <w:sz w:val="22"/>
          <w:lang w:val="en-GB"/>
        </w:rPr>
        <w:t>c筛选图（top</w:t>
      </w:r>
      <w:r>
        <w:rPr>
          <w:rFonts w:hint="eastAsia"/>
          <w:kern w:val="0"/>
          <w:sz w:val="22"/>
        </w:rPr>
        <w:t xml:space="preserve">9 </w:t>
      </w:r>
      <w:r>
        <w:rPr>
          <w:rFonts w:hint="eastAsia"/>
          <w:kern w:val="0"/>
          <w:sz w:val="22"/>
          <w:lang w:val="en-GB"/>
        </w:rPr>
        <w:t>pc）</w:t>
      </w:r>
    </w:p>
    <w:p>
      <w:pPr>
        <w:widowControl/>
        <w:adjustRightInd w:val="0"/>
        <w:snapToGrid w:val="0"/>
        <w:spacing w:line="360" w:lineRule="auto"/>
        <w:jc w:val="center"/>
        <w:rPr>
          <w:kern w:val="0"/>
          <w:sz w:val="24"/>
        </w:rPr>
      </w:pPr>
      <w:r>
        <w:rPr>
          <w:rFonts w:hint="eastAsia"/>
          <w:kern w:val="0"/>
          <w:sz w:val="22"/>
          <w:lang w:val="en-GB"/>
        </w:rPr>
        <w:drawing>
          <wp:inline distT="0" distB="0" distL="114300" distR="114300">
            <wp:extent cx="4145915" cy="4145915"/>
            <wp:effectExtent l="0" t="0" r="6985" b="6985"/>
            <wp:docPr id="6" name="图片 6" descr="pca_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ca_heatmap"/>
                    <pic:cNvPicPr>
                      <a:picLocks noChangeAspect="1"/>
                    </pic:cNvPicPr>
                  </pic:nvPicPr>
                  <pic:blipFill>
                    <a:blip r:embed="rId11"/>
                    <a:stretch>
                      <a:fillRect/>
                    </a:stretch>
                  </pic:blipFill>
                  <pic:spPr>
                    <a:xfrm>
                      <a:off x="0" y="0"/>
                      <a:ext cx="4145915" cy="4145915"/>
                    </a:xfrm>
                    <a:prstGeom prst="rect">
                      <a:avLst/>
                    </a:prstGeom>
                  </pic:spPr>
                </pic:pic>
              </a:graphicData>
            </a:graphic>
          </wp:inline>
        </w:drawing>
      </w:r>
    </w:p>
    <w:p>
      <w:pPr>
        <w:widowControl/>
        <w:adjustRightInd w:val="0"/>
        <w:snapToGrid w:val="0"/>
        <w:spacing w:line="360" w:lineRule="auto"/>
        <w:jc w:val="center"/>
        <w:rPr>
          <w:kern w:val="0"/>
          <w:sz w:val="24"/>
        </w:rPr>
      </w:pPr>
      <w:r>
        <w:rPr>
          <w:rFonts w:hint="eastAsia"/>
          <w:kern w:val="0"/>
          <w:sz w:val="22"/>
          <w:lang w:val="en-GB"/>
        </w:rPr>
        <w:t>以及</w:t>
      </w:r>
      <w:r>
        <w:rPr>
          <w:rFonts w:hint="eastAsia"/>
          <w:kern w:val="0"/>
          <w:sz w:val="22"/>
        </w:rPr>
        <w:t>Top9主成分热图。</w:t>
      </w:r>
    </w:p>
    <w:p>
      <w:pPr>
        <w:pStyle w:val="4"/>
        <w:adjustRightInd w:val="0"/>
        <w:snapToGrid w:val="0"/>
        <w:spacing w:before="0" w:line="360" w:lineRule="auto"/>
        <w:rPr>
          <w:rFonts w:ascii="Times New Roman" w:hAnsi="Times New Roman" w:eastAsia="宋体" w:cs="Times New Roman"/>
          <w:kern w:val="0"/>
          <w:sz w:val="28"/>
          <w:szCs w:val="28"/>
        </w:rPr>
      </w:pPr>
    </w:p>
    <w:p>
      <w:pPr>
        <w:pStyle w:val="4"/>
        <w:adjustRightInd w:val="0"/>
        <w:snapToGrid w:val="0"/>
        <w:spacing w:before="0" w:line="360" w:lineRule="auto"/>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2.1.5、细胞聚类分群</w:t>
      </w:r>
    </w:p>
    <w:p>
      <w:pPr>
        <w:adjustRightInd w:val="0"/>
        <w:snapToGrid w:val="0"/>
        <w:spacing w:line="360" w:lineRule="auto"/>
        <w:ind w:firstLine="504"/>
        <w:jc w:val="left"/>
        <w:rPr>
          <w:kern w:val="0"/>
          <w:sz w:val="24"/>
        </w:rPr>
      </w:pPr>
      <w:r>
        <w:rPr>
          <w:rFonts w:hint="eastAsia"/>
          <w:kern w:val="0"/>
          <w:sz w:val="24"/>
        </w:rPr>
        <w:t>这里利用UMAP和tSNE法，根据上述PCA中筛选出的PC对细胞进行聚类并标注展示。然后计算各聚类中的marker基因。</w:t>
      </w:r>
    </w:p>
    <w:p>
      <w:pPr>
        <w:adjustRightInd w:val="0"/>
        <w:snapToGrid w:val="0"/>
        <w:spacing w:line="360" w:lineRule="auto"/>
        <w:jc w:val="left"/>
        <w:rPr>
          <w:kern w:val="0"/>
          <w:sz w:val="24"/>
        </w:rPr>
      </w:pPr>
      <w:r>
        <w:rPr>
          <w:rFonts w:hint="eastAsia"/>
          <w:kern w:val="0"/>
          <w:sz w:val="24"/>
        </w:rPr>
        <w:t>结果文件夹：cluster</w:t>
      </w:r>
    </w:p>
    <w:p>
      <w:pPr>
        <w:widowControl/>
        <w:adjustRightInd w:val="0"/>
        <w:snapToGrid w:val="0"/>
        <w:spacing w:line="360" w:lineRule="auto"/>
        <w:jc w:val="left"/>
        <w:rPr>
          <w:kern w:val="0"/>
          <w:sz w:val="24"/>
        </w:rPr>
      </w:pPr>
      <w:r>
        <w:rPr>
          <w:rFonts w:hint="eastAsia"/>
          <w:kern w:val="0"/>
          <w:sz w:val="24"/>
        </w:rPr>
        <w:drawing>
          <wp:inline distT="0" distB="0" distL="114300" distR="114300">
            <wp:extent cx="2594610" cy="2396490"/>
            <wp:effectExtent l="0" t="0" r="15240" b="3810"/>
            <wp:docPr id="9" name="图片 9" descr="U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MAP"/>
                    <pic:cNvPicPr>
                      <a:picLocks noChangeAspect="1"/>
                    </pic:cNvPicPr>
                  </pic:nvPicPr>
                  <pic:blipFill>
                    <a:blip r:embed="rId12"/>
                    <a:stretch>
                      <a:fillRect/>
                    </a:stretch>
                  </pic:blipFill>
                  <pic:spPr>
                    <a:xfrm>
                      <a:off x="0" y="0"/>
                      <a:ext cx="2594610" cy="2396490"/>
                    </a:xfrm>
                    <a:prstGeom prst="rect">
                      <a:avLst/>
                    </a:prstGeom>
                  </pic:spPr>
                </pic:pic>
              </a:graphicData>
            </a:graphic>
          </wp:inline>
        </w:drawing>
      </w:r>
      <w:r>
        <w:rPr>
          <w:rFonts w:hint="eastAsia"/>
          <w:kern w:val="0"/>
          <w:sz w:val="24"/>
        </w:rPr>
        <w:drawing>
          <wp:inline distT="0" distB="0" distL="114300" distR="114300">
            <wp:extent cx="2595245" cy="2396490"/>
            <wp:effectExtent l="0" t="0" r="14605" b="3810"/>
            <wp:docPr id="22" name="图片 22" descr="TS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SNE"/>
                    <pic:cNvPicPr>
                      <a:picLocks noChangeAspect="1"/>
                    </pic:cNvPicPr>
                  </pic:nvPicPr>
                  <pic:blipFill>
                    <a:blip r:embed="rId13"/>
                    <a:stretch>
                      <a:fillRect/>
                    </a:stretch>
                  </pic:blipFill>
                  <pic:spPr>
                    <a:xfrm>
                      <a:off x="0" y="0"/>
                      <a:ext cx="2595245" cy="2396490"/>
                    </a:xfrm>
                    <a:prstGeom prst="rect">
                      <a:avLst/>
                    </a:prstGeom>
                  </pic:spPr>
                </pic:pic>
              </a:graphicData>
            </a:graphic>
          </wp:inline>
        </w:drawing>
      </w:r>
    </w:p>
    <w:p>
      <w:pPr>
        <w:widowControl/>
        <w:adjustRightInd w:val="0"/>
        <w:snapToGrid w:val="0"/>
        <w:spacing w:line="360" w:lineRule="auto"/>
        <w:jc w:val="left"/>
        <w:rPr>
          <w:sz w:val="22"/>
        </w:rPr>
      </w:pPr>
      <w:r>
        <w:rPr>
          <w:rFonts w:hint="eastAsia"/>
          <w:kern w:val="0"/>
          <w:sz w:val="24"/>
        </w:rPr>
        <w:drawing>
          <wp:inline distT="0" distB="0" distL="114300" distR="114300">
            <wp:extent cx="2613660" cy="2460625"/>
            <wp:effectExtent l="0" t="0" r="15240" b="15875"/>
            <wp:docPr id="10" name="图片 10" descr="UMAP_by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MAP_by_group"/>
                    <pic:cNvPicPr>
                      <a:picLocks noChangeAspect="1"/>
                    </pic:cNvPicPr>
                  </pic:nvPicPr>
                  <pic:blipFill>
                    <a:blip r:embed="rId14"/>
                    <a:stretch>
                      <a:fillRect/>
                    </a:stretch>
                  </pic:blipFill>
                  <pic:spPr>
                    <a:xfrm>
                      <a:off x="0" y="0"/>
                      <a:ext cx="2613660" cy="2460625"/>
                    </a:xfrm>
                    <a:prstGeom prst="rect">
                      <a:avLst/>
                    </a:prstGeom>
                  </pic:spPr>
                </pic:pic>
              </a:graphicData>
            </a:graphic>
          </wp:inline>
        </w:drawing>
      </w:r>
      <w:r>
        <w:rPr>
          <w:rFonts w:hint="eastAsia"/>
          <w:kern w:val="0"/>
          <w:sz w:val="24"/>
        </w:rPr>
        <w:drawing>
          <wp:inline distT="0" distB="0" distL="114300" distR="114300">
            <wp:extent cx="2593340" cy="2440940"/>
            <wp:effectExtent l="0" t="0" r="16510" b="16510"/>
            <wp:docPr id="23" name="图片 23" descr="TSNE_by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SNE_by_group"/>
                    <pic:cNvPicPr>
                      <a:picLocks noChangeAspect="1"/>
                    </pic:cNvPicPr>
                  </pic:nvPicPr>
                  <pic:blipFill>
                    <a:blip r:embed="rId15"/>
                    <a:stretch>
                      <a:fillRect/>
                    </a:stretch>
                  </pic:blipFill>
                  <pic:spPr>
                    <a:xfrm>
                      <a:off x="0" y="0"/>
                      <a:ext cx="2593340" cy="2440940"/>
                    </a:xfrm>
                    <a:prstGeom prst="rect">
                      <a:avLst/>
                    </a:prstGeom>
                  </pic:spPr>
                </pic:pic>
              </a:graphicData>
            </a:graphic>
          </wp:inline>
        </w:drawing>
      </w:r>
    </w:p>
    <w:p>
      <w:pPr>
        <w:widowControl/>
        <w:adjustRightInd w:val="0"/>
        <w:snapToGrid w:val="0"/>
        <w:spacing w:line="360" w:lineRule="auto"/>
        <w:jc w:val="left"/>
        <w:rPr>
          <w:sz w:val="22"/>
        </w:rPr>
      </w:pPr>
      <w:r>
        <w:rPr>
          <w:rFonts w:hint="eastAsia"/>
          <w:sz w:val="22"/>
        </w:rPr>
        <w:drawing>
          <wp:inline distT="0" distB="0" distL="114300" distR="114300">
            <wp:extent cx="2586990" cy="2105660"/>
            <wp:effectExtent l="0" t="0" r="3810" b="8890"/>
            <wp:docPr id="24" name="图片 24" descr="UMAP_by_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MAP_by_sample"/>
                    <pic:cNvPicPr>
                      <a:picLocks noChangeAspect="1"/>
                    </pic:cNvPicPr>
                  </pic:nvPicPr>
                  <pic:blipFill>
                    <a:blip r:embed="rId16"/>
                    <a:stretch>
                      <a:fillRect/>
                    </a:stretch>
                  </pic:blipFill>
                  <pic:spPr>
                    <a:xfrm>
                      <a:off x="0" y="0"/>
                      <a:ext cx="2586990" cy="2105660"/>
                    </a:xfrm>
                    <a:prstGeom prst="rect">
                      <a:avLst/>
                    </a:prstGeom>
                  </pic:spPr>
                </pic:pic>
              </a:graphicData>
            </a:graphic>
          </wp:inline>
        </w:drawing>
      </w:r>
      <w:r>
        <w:rPr>
          <w:rFonts w:hint="eastAsia"/>
          <w:sz w:val="22"/>
        </w:rPr>
        <w:drawing>
          <wp:inline distT="0" distB="0" distL="114300" distR="114300">
            <wp:extent cx="2658745" cy="2162810"/>
            <wp:effectExtent l="0" t="0" r="8255" b="8890"/>
            <wp:docPr id="25" name="图片 25" descr="TSNE_by_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SNE_by_sample"/>
                    <pic:cNvPicPr>
                      <a:picLocks noChangeAspect="1"/>
                    </pic:cNvPicPr>
                  </pic:nvPicPr>
                  <pic:blipFill>
                    <a:blip r:embed="rId17"/>
                    <a:stretch>
                      <a:fillRect/>
                    </a:stretch>
                  </pic:blipFill>
                  <pic:spPr>
                    <a:xfrm>
                      <a:off x="0" y="0"/>
                      <a:ext cx="2658745" cy="2162810"/>
                    </a:xfrm>
                    <a:prstGeom prst="rect">
                      <a:avLst/>
                    </a:prstGeom>
                  </pic:spPr>
                </pic:pic>
              </a:graphicData>
            </a:graphic>
          </wp:inline>
        </w:drawing>
      </w:r>
    </w:p>
    <w:p>
      <w:pPr>
        <w:widowControl/>
        <w:adjustRightInd w:val="0"/>
        <w:snapToGrid w:val="0"/>
        <w:spacing w:line="360" w:lineRule="auto"/>
        <w:jc w:val="center"/>
        <w:rPr>
          <w:b/>
          <w:kern w:val="0"/>
          <w:sz w:val="28"/>
          <w:szCs w:val="28"/>
        </w:rPr>
      </w:pPr>
      <w:r>
        <w:rPr>
          <w:rFonts w:hint="eastAsia"/>
          <w:sz w:val="22"/>
        </w:rPr>
        <w:t>细胞聚类结果图</w:t>
      </w:r>
    </w:p>
    <w:p>
      <w:pPr>
        <w:pStyle w:val="4"/>
        <w:adjustRightInd w:val="0"/>
        <w:snapToGrid w:val="0"/>
        <w:spacing w:before="0" w:line="360" w:lineRule="auto"/>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2.1.6、确定细胞类型</w:t>
      </w:r>
    </w:p>
    <w:p>
      <w:pPr>
        <w:adjustRightInd w:val="0"/>
        <w:snapToGrid w:val="0"/>
        <w:spacing w:line="360" w:lineRule="auto"/>
        <w:ind w:firstLine="480" w:firstLineChars="200"/>
        <w:jc w:val="left"/>
        <w:rPr>
          <w:kern w:val="0"/>
          <w:sz w:val="24"/>
        </w:rPr>
      </w:pPr>
      <w:r>
        <w:rPr>
          <w:rFonts w:hint="eastAsia"/>
          <w:kern w:val="0"/>
          <w:sz w:val="24"/>
        </w:rPr>
        <w:t>为了对聚类得到的细胞群进行身份鉴定，本研究结合细胞群经典marker及各细胞的标记基因及各细胞聚类的标记基因来确定各聚类的细胞类型。</w:t>
      </w:r>
    </w:p>
    <w:p>
      <w:pPr>
        <w:adjustRightInd w:val="0"/>
        <w:snapToGrid w:val="0"/>
        <w:spacing w:line="360" w:lineRule="auto"/>
        <w:jc w:val="left"/>
        <w:rPr>
          <w:kern w:val="0"/>
          <w:sz w:val="24"/>
        </w:rPr>
      </w:pPr>
      <w:r>
        <w:rPr>
          <w:rFonts w:hint="eastAsia"/>
          <w:kern w:val="0"/>
          <w:sz w:val="24"/>
        </w:rPr>
        <w:t>结果文件夹：c</w:t>
      </w:r>
      <w:r>
        <w:rPr>
          <w:kern w:val="0"/>
          <w:sz w:val="24"/>
        </w:rPr>
        <w:t>ell_typ</w:t>
      </w:r>
      <w:r>
        <w:rPr>
          <w:rFonts w:hint="eastAsia"/>
          <w:kern w:val="0"/>
          <w:sz w:val="24"/>
        </w:rPr>
        <w:t>e</w:t>
      </w:r>
    </w:p>
    <w:p>
      <w:pPr>
        <w:widowControl/>
        <w:adjustRightInd w:val="0"/>
        <w:snapToGrid w:val="0"/>
        <w:spacing w:line="360" w:lineRule="auto"/>
        <w:jc w:val="center"/>
        <w:rPr>
          <w:kern w:val="0"/>
          <w:sz w:val="24"/>
        </w:rPr>
      </w:pPr>
      <w:r>
        <w:rPr>
          <w:rFonts w:hint="eastAsia"/>
          <w:kern w:val="0"/>
          <w:sz w:val="24"/>
        </w:rPr>
        <w:drawing>
          <wp:inline distT="0" distB="0" distL="114300" distR="114300">
            <wp:extent cx="5186045" cy="3623310"/>
            <wp:effectExtent l="0" t="0" r="14605" b="15240"/>
            <wp:docPr id="7" name="图片 7" descr="UMAP_cell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MAP_cell_type"/>
                    <pic:cNvPicPr>
                      <a:picLocks noChangeAspect="1"/>
                    </pic:cNvPicPr>
                  </pic:nvPicPr>
                  <pic:blipFill>
                    <a:blip r:embed="rId18"/>
                    <a:stretch>
                      <a:fillRect/>
                    </a:stretch>
                  </pic:blipFill>
                  <pic:spPr>
                    <a:xfrm>
                      <a:off x="0" y="0"/>
                      <a:ext cx="5186045" cy="3623310"/>
                    </a:xfrm>
                    <a:prstGeom prst="rect">
                      <a:avLst/>
                    </a:prstGeom>
                  </pic:spPr>
                </pic:pic>
              </a:graphicData>
            </a:graphic>
          </wp:inline>
        </w:drawing>
      </w:r>
      <w:r>
        <w:rPr>
          <w:rFonts w:hint="eastAsia"/>
          <w:kern w:val="0"/>
          <w:sz w:val="24"/>
        </w:rPr>
        <w:drawing>
          <wp:inline distT="0" distB="0" distL="114300" distR="114300">
            <wp:extent cx="5070475" cy="3540125"/>
            <wp:effectExtent l="0" t="0" r="15875" b="3175"/>
            <wp:docPr id="26" name="图片 26" descr="tSNE_cell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SNE_cell_type"/>
                    <pic:cNvPicPr>
                      <a:picLocks noChangeAspect="1"/>
                    </pic:cNvPicPr>
                  </pic:nvPicPr>
                  <pic:blipFill>
                    <a:blip r:embed="rId19"/>
                    <a:stretch>
                      <a:fillRect/>
                    </a:stretch>
                  </pic:blipFill>
                  <pic:spPr>
                    <a:xfrm>
                      <a:off x="0" y="0"/>
                      <a:ext cx="5070475" cy="3540125"/>
                    </a:xfrm>
                    <a:prstGeom prst="rect">
                      <a:avLst/>
                    </a:prstGeom>
                  </pic:spPr>
                </pic:pic>
              </a:graphicData>
            </a:graphic>
          </wp:inline>
        </w:drawing>
      </w:r>
    </w:p>
    <w:p>
      <w:pPr>
        <w:adjustRightInd w:val="0"/>
        <w:snapToGrid w:val="0"/>
        <w:spacing w:line="360" w:lineRule="auto"/>
        <w:rPr>
          <w:kern w:val="0"/>
          <w:sz w:val="24"/>
        </w:rPr>
      </w:pPr>
    </w:p>
    <w:p>
      <w:pPr>
        <w:adjustRightInd w:val="0"/>
        <w:snapToGrid w:val="0"/>
        <w:spacing w:line="360" w:lineRule="auto"/>
        <w:jc w:val="center"/>
        <w:rPr>
          <w:kern w:val="0"/>
          <w:sz w:val="24"/>
        </w:rPr>
      </w:pPr>
      <w:r>
        <w:rPr>
          <w:rFonts w:hint="eastAsia"/>
          <w:kern w:val="0"/>
          <w:sz w:val="24"/>
        </w:rPr>
        <w:drawing>
          <wp:inline distT="0" distB="0" distL="114300" distR="114300">
            <wp:extent cx="5269230" cy="2529205"/>
            <wp:effectExtent l="0" t="0" r="7620" b="4445"/>
            <wp:docPr id="27" name="图片 27" descr="UMAP_split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MAP_split_group"/>
                    <pic:cNvPicPr>
                      <a:picLocks noChangeAspect="1"/>
                    </pic:cNvPicPr>
                  </pic:nvPicPr>
                  <pic:blipFill>
                    <a:blip r:embed="rId20"/>
                    <a:stretch>
                      <a:fillRect/>
                    </a:stretch>
                  </pic:blipFill>
                  <pic:spPr>
                    <a:xfrm>
                      <a:off x="0" y="0"/>
                      <a:ext cx="5269230" cy="2529205"/>
                    </a:xfrm>
                    <a:prstGeom prst="rect">
                      <a:avLst/>
                    </a:prstGeom>
                  </pic:spPr>
                </pic:pic>
              </a:graphicData>
            </a:graphic>
          </wp:inline>
        </w:drawing>
      </w:r>
    </w:p>
    <w:p>
      <w:pPr>
        <w:adjustRightInd w:val="0"/>
        <w:snapToGrid w:val="0"/>
        <w:spacing w:line="360" w:lineRule="auto"/>
        <w:jc w:val="center"/>
        <w:rPr>
          <w:kern w:val="0"/>
          <w:sz w:val="24"/>
        </w:rPr>
      </w:pPr>
      <w:r>
        <w:rPr>
          <w:rFonts w:hint="eastAsia"/>
          <w:kern w:val="0"/>
          <w:sz w:val="24"/>
        </w:rPr>
        <w:drawing>
          <wp:inline distT="0" distB="0" distL="114300" distR="114300">
            <wp:extent cx="5269230" cy="2529205"/>
            <wp:effectExtent l="0" t="0" r="7620" b="4445"/>
            <wp:docPr id="28" name="图片 28" descr="TSNE_split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SNE_split_group"/>
                    <pic:cNvPicPr>
                      <a:picLocks noChangeAspect="1"/>
                    </pic:cNvPicPr>
                  </pic:nvPicPr>
                  <pic:blipFill>
                    <a:blip r:embed="rId21"/>
                    <a:stretch>
                      <a:fillRect/>
                    </a:stretch>
                  </pic:blipFill>
                  <pic:spPr>
                    <a:xfrm>
                      <a:off x="0" y="0"/>
                      <a:ext cx="5269230" cy="2529205"/>
                    </a:xfrm>
                    <a:prstGeom prst="rect">
                      <a:avLst/>
                    </a:prstGeom>
                  </pic:spPr>
                </pic:pic>
              </a:graphicData>
            </a:graphic>
          </wp:inline>
        </w:drawing>
      </w:r>
    </w:p>
    <w:p>
      <w:pPr>
        <w:adjustRightInd w:val="0"/>
        <w:snapToGrid w:val="0"/>
        <w:spacing w:line="360" w:lineRule="auto"/>
        <w:jc w:val="center"/>
        <w:rPr>
          <w:kern w:val="0"/>
          <w:sz w:val="24"/>
        </w:rPr>
      </w:pPr>
      <w:r>
        <w:rPr>
          <w:rFonts w:hint="eastAsia"/>
          <w:kern w:val="0"/>
          <w:sz w:val="24"/>
        </w:rPr>
        <w:t>各聚类细胞类型</w:t>
      </w:r>
    </w:p>
    <w:p>
      <w:pPr>
        <w:widowControl/>
        <w:adjustRightInd w:val="0"/>
        <w:snapToGrid w:val="0"/>
        <w:spacing w:line="360" w:lineRule="auto"/>
        <w:jc w:val="center"/>
        <w:rPr>
          <w:kern w:val="0"/>
          <w:sz w:val="24"/>
        </w:rPr>
      </w:pPr>
      <w:r>
        <w:rPr>
          <w:rFonts w:hint="eastAsia"/>
          <w:kern w:val="0"/>
          <w:sz w:val="24"/>
        </w:rPr>
        <w:drawing>
          <wp:inline distT="0" distB="0" distL="114300" distR="114300">
            <wp:extent cx="3118485" cy="2767330"/>
            <wp:effectExtent l="0" t="0" r="5715" b="13970"/>
            <wp:docPr id="13" name="图片 13" descr="used_marker_gene_dot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sed_marker_gene_dotplot"/>
                    <pic:cNvPicPr>
                      <a:picLocks noChangeAspect="1"/>
                    </pic:cNvPicPr>
                  </pic:nvPicPr>
                  <pic:blipFill>
                    <a:blip r:embed="rId22"/>
                    <a:stretch>
                      <a:fillRect/>
                    </a:stretch>
                  </pic:blipFill>
                  <pic:spPr>
                    <a:xfrm>
                      <a:off x="0" y="0"/>
                      <a:ext cx="3118485" cy="2767330"/>
                    </a:xfrm>
                    <a:prstGeom prst="rect">
                      <a:avLst/>
                    </a:prstGeom>
                  </pic:spPr>
                </pic:pic>
              </a:graphicData>
            </a:graphic>
          </wp:inline>
        </w:drawing>
      </w:r>
    </w:p>
    <w:p>
      <w:pPr>
        <w:adjustRightInd w:val="0"/>
        <w:snapToGrid w:val="0"/>
        <w:spacing w:line="360" w:lineRule="auto"/>
        <w:jc w:val="center"/>
        <w:rPr>
          <w:kern w:val="0"/>
          <w:sz w:val="24"/>
        </w:rPr>
      </w:pPr>
      <w:r>
        <w:rPr>
          <w:rFonts w:hint="eastAsia"/>
          <w:sz w:val="22"/>
        </w:rPr>
        <w:t>鉴定细胞所用marker基因在各类细胞中的表达情况图</w:t>
      </w: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r>
        <w:rPr>
          <w:rFonts w:hint="eastAsia"/>
          <w:kern w:val="0"/>
          <w:sz w:val="24"/>
        </w:rPr>
        <w:drawing>
          <wp:inline distT="0" distB="0" distL="114300" distR="114300">
            <wp:extent cx="5266690" cy="2926080"/>
            <wp:effectExtent l="0" t="0" r="10160" b="7620"/>
            <wp:docPr id="30" name="图片 30" descr="marker_gene_cluster_violin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marker_gene_cluster_violin_plot"/>
                    <pic:cNvPicPr>
                      <a:picLocks noChangeAspect="1"/>
                    </pic:cNvPicPr>
                  </pic:nvPicPr>
                  <pic:blipFill>
                    <a:blip r:embed="rId23"/>
                    <a:stretch>
                      <a:fillRect/>
                    </a:stretch>
                  </pic:blipFill>
                  <pic:spPr>
                    <a:xfrm>
                      <a:off x="0" y="0"/>
                      <a:ext cx="5266690" cy="2926080"/>
                    </a:xfrm>
                    <a:prstGeom prst="rect">
                      <a:avLst/>
                    </a:prstGeom>
                  </pic:spPr>
                </pic:pic>
              </a:graphicData>
            </a:graphic>
          </wp:inline>
        </w:drawing>
      </w:r>
      <w:r>
        <w:rPr>
          <w:rFonts w:hint="eastAsia"/>
          <w:kern w:val="0"/>
          <w:sz w:val="24"/>
        </w:rPr>
        <w:t xml:space="preserve"> </w:t>
      </w:r>
    </w:p>
    <w:p>
      <w:pPr>
        <w:widowControl/>
        <w:adjustRightInd w:val="0"/>
        <w:snapToGrid w:val="0"/>
        <w:spacing w:line="360" w:lineRule="auto"/>
        <w:jc w:val="center"/>
        <w:rPr>
          <w:kern w:val="0"/>
          <w:sz w:val="24"/>
        </w:rPr>
      </w:pPr>
      <w:r>
        <w:rPr>
          <w:rFonts w:hint="eastAsia"/>
          <w:kern w:val="0"/>
          <w:sz w:val="24"/>
        </w:rPr>
        <w:drawing>
          <wp:inline distT="0" distB="0" distL="114300" distR="114300">
            <wp:extent cx="4597400" cy="5016500"/>
            <wp:effectExtent l="0" t="0" r="12700" b="12700"/>
            <wp:docPr id="29" name="图片 29" descr="marker_gene_cell_type_violin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arker_gene_cell_type_violin_plot"/>
                    <pic:cNvPicPr>
                      <a:picLocks noChangeAspect="1"/>
                    </pic:cNvPicPr>
                  </pic:nvPicPr>
                  <pic:blipFill>
                    <a:blip r:embed="rId24"/>
                    <a:stretch>
                      <a:fillRect/>
                    </a:stretch>
                  </pic:blipFill>
                  <pic:spPr>
                    <a:xfrm>
                      <a:off x="0" y="0"/>
                      <a:ext cx="4597400" cy="5016500"/>
                    </a:xfrm>
                    <a:prstGeom prst="rect">
                      <a:avLst/>
                    </a:prstGeom>
                  </pic:spPr>
                </pic:pic>
              </a:graphicData>
            </a:graphic>
          </wp:inline>
        </w:drawing>
      </w:r>
    </w:p>
    <w:p>
      <w:pPr>
        <w:adjustRightInd w:val="0"/>
        <w:snapToGrid w:val="0"/>
        <w:spacing w:line="360" w:lineRule="auto"/>
        <w:jc w:val="center"/>
        <w:rPr>
          <w:sz w:val="22"/>
        </w:rPr>
      </w:pPr>
      <w:r>
        <w:rPr>
          <w:rFonts w:hint="eastAsia"/>
          <w:sz w:val="22"/>
        </w:rPr>
        <w:t>鉴定细胞所用marker基因在各聚类和细胞中的表达情况小提琴图</w:t>
      </w:r>
    </w:p>
    <w:p>
      <w:pPr>
        <w:widowControl/>
        <w:jc w:val="left"/>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2.1.7、差异表达分析</w:t>
      </w:r>
    </w:p>
    <w:p>
      <w:pPr>
        <w:adjustRightInd w:val="0"/>
        <w:snapToGrid w:val="0"/>
        <w:spacing w:line="360" w:lineRule="auto"/>
        <w:ind w:firstLine="504"/>
        <w:jc w:val="left"/>
        <w:rPr>
          <w:sz w:val="24"/>
        </w:rPr>
      </w:pPr>
      <w:r>
        <w:rPr>
          <w:rFonts w:hint="eastAsia"/>
          <w:sz w:val="24"/>
        </w:rPr>
        <w:t>这里</w:t>
      </w:r>
      <w:r>
        <w:rPr>
          <w:sz w:val="24"/>
        </w:rPr>
        <w:t>根据</w:t>
      </w:r>
      <w:r>
        <w:rPr>
          <w:rFonts w:hint="eastAsia"/>
          <w:sz w:val="24"/>
        </w:rPr>
        <w:t>i</w:t>
      </w:r>
      <w:r>
        <w:rPr>
          <w:sz w:val="24"/>
        </w:rPr>
        <w:t xml:space="preserve">mmune </w:t>
      </w:r>
      <w:r>
        <w:rPr>
          <w:rFonts w:hint="eastAsia"/>
          <w:sz w:val="24"/>
        </w:rPr>
        <w:t>c</w:t>
      </w:r>
      <w:r>
        <w:rPr>
          <w:sz w:val="24"/>
        </w:rPr>
        <w:t>ells</w:t>
      </w:r>
      <w:r>
        <w:rPr>
          <w:rFonts w:hint="eastAsia"/>
          <w:sz w:val="24"/>
        </w:rPr>
        <w:t>中各细胞的表达及分组情况，利用Seurat包中的FindMarkers进行差异表达分析，并筛选出差异表达基因（</w:t>
      </w:r>
      <w:r>
        <w:rPr>
          <w:rFonts w:hint="eastAsia"/>
          <w:sz w:val="24"/>
          <w:lang w:val="en-US" w:eastAsia="zh-CN"/>
        </w:rPr>
        <w:t>FC&gt;1.5</w:t>
      </w:r>
      <w:r>
        <w:rPr>
          <w:rFonts w:hint="eastAsia"/>
          <w:sz w:val="24"/>
        </w:rPr>
        <w:t>，p</w:t>
      </w:r>
      <w:r>
        <w:rPr>
          <w:sz w:val="24"/>
        </w:rPr>
        <w:t>&lt;0.05</w:t>
      </w:r>
      <w:r>
        <w:rPr>
          <w:rFonts w:hint="eastAsia"/>
          <w:sz w:val="24"/>
        </w:rPr>
        <w:t>）。这里展示的结果是利用Seurat包中的FindMarkers对Müller glia细胞进行差异表达分析。</w:t>
      </w:r>
      <w:bookmarkStart w:id="7" w:name="_GoBack"/>
      <w:bookmarkEnd w:id="7"/>
    </w:p>
    <w:p>
      <w:pPr>
        <w:adjustRightInd w:val="0"/>
        <w:snapToGrid w:val="0"/>
        <w:spacing w:line="360" w:lineRule="auto"/>
        <w:jc w:val="left"/>
        <w:rPr>
          <w:sz w:val="24"/>
        </w:rPr>
      </w:pPr>
      <w:r>
        <w:rPr>
          <w:rFonts w:hint="eastAsia"/>
          <w:sz w:val="24"/>
        </w:rPr>
        <w:t>结果文件夹：</w:t>
      </w:r>
      <w:r>
        <w:rPr>
          <w:sz w:val="24"/>
        </w:rPr>
        <w:t>diff</w:t>
      </w:r>
      <w:r>
        <w:rPr>
          <w:rFonts w:hint="eastAsia"/>
          <w:sz w:val="24"/>
        </w:rPr>
        <w:t>/Müller_glia/diff_exp</w:t>
      </w:r>
    </w:p>
    <w:p>
      <w:pPr>
        <w:pStyle w:val="15"/>
        <w:spacing w:before="156" w:after="156"/>
        <w:ind w:firstLine="0" w:firstLineChars="0"/>
        <w:jc w:val="left"/>
        <w:rPr>
          <w:sz w:val="24"/>
        </w:rPr>
      </w:pPr>
      <w:r>
        <w:rPr>
          <w:rFonts w:hint="eastAsia"/>
          <w:sz w:val="24"/>
        </w:rPr>
        <w:t>差异基因统计总览表</w:t>
      </w:r>
    </w:p>
    <w:tbl>
      <w:tblPr>
        <w:tblStyle w:val="9"/>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40"/>
        <w:gridCol w:w="638"/>
        <w:gridCol w:w="470"/>
        <w:gridCol w:w="904"/>
        <w:gridCol w:w="493"/>
        <w:gridCol w:w="773"/>
        <w:gridCol w:w="518"/>
        <w:gridCol w:w="60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0" w:type="auto"/>
            <w:gridSpan w:val="2"/>
            <w:tcBorders>
              <w:top w:val="single" w:color="auto" w:sz="8" w:space="0"/>
              <w:bottom w:val="single" w:color="auto" w:sz="8" w:space="0"/>
            </w:tcBorders>
          </w:tcPr>
          <w:p>
            <w:pPr>
              <w:widowControl/>
              <w:adjustRightInd w:val="0"/>
              <w:snapToGrid w:val="0"/>
              <w:spacing w:line="300" w:lineRule="exact"/>
              <w:jc w:val="center"/>
              <w:rPr>
                <w:rFonts w:eastAsia="宋体"/>
                <w:b/>
                <w:bCs/>
              </w:rPr>
            </w:pPr>
            <w:r>
              <w:rPr>
                <w:rFonts w:hint="eastAsia" w:eastAsia="宋体"/>
                <w:b/>
                <w:bCs/>
              </w:rPr>
              <w:t>数据信息</w:t>
            </w:r>
          </w:p>
        </w:tc>
        <w:tc>
          <w:tcPr>
            <w:tcW w:w="0" w:type="auto"/>
            <w:gridSpan w:val="2"/>
            <w:tcBorders>
              <w:top w:val="single" w:color="auto" w:sz="8" w:space="0"/>
              <w:bottom w:val="single" w:color="auto" w:sz="8" w:space="0"/>
            </w:tcBorders>
          </w:tcPr>
          <w:p>
            <w:pPr>
              <w:widowControl/>
              <w:adjustRightInd w:val="0"/>
              <w:snapToGrid w:val="0"/>
              <w:spacing w:line="300" w:lineRule="exact"/>
              <w:jc w:val="center"/>
              <w:rPr>
                <w:rFonts w:eastAsia="宋体"/>
                <w:b/>
                <w:bCs/>
              </w:rPr>
            </w:pPr>
            <w:r>
              <w:rPr>
                <w:rFonts w:hint="eastAsia" w:eastAsia="宋体"/>
                <w:b/>
                <w:bCs/>
              </w:rPr>
              <w:t>差异阈值</w:t>
            </w:r>
          </w:p>
        </w:tc>
        <w:tc>
          <w:tcPr>
            <w:tcW w:w="0" w:type="auto"/>
            <w:gridSpan w:val="2"/>
            <w:tcBorders>
              <w:top w:val="single" w:color="auto" w:sz="8" w:space="0"/>
              <w:bottom w:val="single" w:color="auto" w:sz="8" w:space="0"/>
            </w:tcBorders>
          </w:tcPr>
          <w:p>
            <w:pPr>
              <w:widowControl/>
              <w:jc w:val="center"/>
              <w:rPr>
                <w:rFonts w:ascii="Calibri" w:hAnsi="Calibri" w:eastAsia="等线"/>
                <w:b/>
                <w:bCs/>
              </w:rPr>
            </w:pPr>
            <w:r>
              <w:rPr>
                <w:rFonts w:hint="eastAsia" w:ascii="Calibri" w:hAnsi="Calibri" w:eastAsia="等线"/>
                <w:b/>
                <w:bCs/>
              </w:rPr>
              <w:t>差异基因数</w:t>
            </w:r>
          </w:p>
        </w:tc>
        <w:tc>
          <w:tcPr>
            <w:tcW w:w="0" w:type="auto"/>
            <w:gridSpan w:val="2"/>
            <w:tcBorders>
              <w:top w:val="single" w:color="auto" w:sz="8" w:space="0"/>
              <w:bottom w:val="single" w:color="auto" w:sz="8" w:space="0"/>
            </w:tcBorders>
          </w:tcPr>
          <w:p>
            <w:pPr>
              <w:widowControl/>
              <w:jc w:val="center"/>
              <w:rPr>
                <w:rFonts w:ascii="Calibri" w:hAnsi="Calibri" w:eastAsia="等线"/>
                <w:b/>
                <w:bCs/>
              </w:rPr>
            </w:pPr>
            <w:r>
              <w:rPr>
                <w:rFonts w:hint="eastAsia" w:ascii="Calibri" w:hAnsi="Calibri" w:eastAsia="等线"/>
                <w:b/>
                <w:bCs/>
              </w:rPr>
              <w:t>样本数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0" w:type="auto"/>
            <w:tcBorders>
              <w:top w:val="single" w:color="auto" w:sz="8" w:space="0"/>
              <w:bottom w:val="single" w:color="auto" w:sz="8" w:space="0"/>
            </w:tcBorders>
          </w:tcPr>
          <w:p>
            <w:pPr>
              <w:widowControl/>
              <w:adjustRightInd w:val="0"/>
              <w:snapToGrid w:val="0"/>
              <w:spacing w:line="300" w:lineRule="exact"/>
              <w:jc w:val="center"/>
              <w:rPr>
                <w:rFonts w:eastAsia="宋体"/>
                <w:b/>
                <w:bCs/>
              </w:rPr>
            </w:pPr>
            <w:r>
              <w:rPr>
                <w:rFonts w:hint="eastAsia" w:eastAsia="宋体"/>
                <w:b/>
                <w:bCs/>
              </w:rPr>
              <w:t>数据来源</w:t>
            </w:r>
          </w:p>
        </w:tc>
        <w:tc>
          <w:tcPr>
            <w:tcW w:w="0" w:type="auto"/>
            <w:tcBorders>
              <w:top w:val="single" w:color="auto" w:sz="8" w:space="0"/>
              <w:bottom w:val="single" w:color="auto" w:sz="8" w:space="0"/>
            </w:tcBorders>
          </w:tcPr>
          <w:p>
            <w:pPr>
              <w:widowControl/>
              <w:adjustRightInd w:val="0"/>
              <w:snapToGrid w:val="0"/>
              <w:spacing w:line="300" w:lineRule="exact"/>
              <w:jc w:val="center"/>
              <w:rPr>
                <w:rFonts w:eastAsia="宋体"/>
                <w:b/>
                <w:bCs/>
              </w:rPr>
            </w:pPr>
            <w:r>
              <w:rPr>
                <w:rFonts w:hint="eastAsia" w:eastAsia="宋体"/>
                <w:b/>
                <w:bCs/>
              </w:rPr>
              <w:t>平台</w:t>
            </w:r>
          </w:p>
        </w:tc>
        <w:tc>
          <w:tcPr>
            <w:tcW w:w="0" w:type="auto"/>
            <w:tcBorders>
              <w:top w:val="single" w:color="auto" w:sz="8" w:space="0"/>
              <w:bottom w:val="single" w:color="auto" w:sz="8" w:space="0"/>
            </w:tcBorders>
          </w:tcPr>
          <w:p>
            <w:pPr>
              <w:widowControl/>
              <w:adjustRightInd w:val="0"/>
              <w:snapToGrid w:val="0"/>
              <w:spacing w:line="300" w:lineRule="exact"/>
              <w:jc w:val="center"/>
              <w:rPr>
                <w:rFonts w:eastAsia="宋体"/>
                <w:b/>
                <w:bCs/>
              </w:rPr>
            </w:pPr>
            <w:r>
              <w:rPr>
                <w:rFonts w:eastAsia="宋体"/>
                <w:b/>
                <w:bCs/>
              </w:rPr>
              <w:t>FC</w:t>
            </w:r>
          </w:p>
        </w:tc>
        <w:tc>
          <w:tcPr>
            <w:tcW w:w="0" w:type="auto"/>
            <w:tcBorders>
              <w:top w:val="single" w:color="auto" w:sz="8" w:space="0"/>
              <w:bottom w:val="single" w:color="auto" w:sz="8" w:space="0"/>
            </w:tcBorders>
          </w:tcPr>
          <w:p>
            <w:pPr>
              <w:widowControl/>
              <w:adjustRightInd w:val="0"/>
              <w:snapToGrid w:val="0"/>
              <w:spacing w:line="300" w:lineRule="exact"/>
              <w:jc w:val="center"/>
              <w:rPr>
                <w:rFonts w:eastAsia="宋体"/>
                <w:b/>
                <w:bCs/>
              </w:rPr>
            </w:pPr>
            <w:r>
              <w:rPr>
                <w:rFonts w:hint="eastAsia"/>
                <w:b/>
                <w:bCs/>
              </w:rPr>
              <w:t>q</w:t>
            </w:r>
            <w:r>
              <w:rPr>
                <w:rFonts w:hint="eastAsia" w:eastAsia="宋体"/>
                <w:b/>
                <w:bCs/>
              </w:rPr>
              <w:t>_value</w:t>
            </w:r>
          </w:p>
        </w:tc>
        <w:tc>
          <w:tcPr>
            <w:tcW w:w="0" w:type="auto"/>
            <w:tcBorders>
              <w:top w:val="single" w:color="auto" w:sz="8" w:space="0"/>
              <w:bottom w:val="single" w:color="auto" w:sz="8" w:space="0"/>
            </w:tcBorders>
          </w:tcPr>
          <w:p>
            <w:pPr>
              <w:widowControl/>
              <w:adjustRightInd w:val="0"/>
              <w:snapToGrid w:val="0"/>
              <w:spacing w:line="300" w:lineRule="exact"/>
              <w:jc w:val="center"/>
              <w:rPr>
                <w:rFonts w:eastAsia="宋体"/>
                <w:b/>
                <w:bCs/>
              </w:rPr>
            </w:pPr>
            <w:r>
              <w:rPr>
                <w:rFonts w:eastAsia="宋体"/>
                <w:b/>
                <w:bCs/>
              </w:rPr>
              <w:t>U</w:t>
            </w:r>
            <w:r>
              <w:rPr>
                <w:rFonts w:hint="eastAsia" w:eastAsia="宋体"/>
                <w:b/>
                <w:bCs/>
              </w:rPr>
              <w:t>p</w:t>
            </w:r>
          </w:p>
        </w:tc>
        <w:tc>
          <w:tcPr>
            <w:tcW w:w="0" w:type="auto"/>
            <w:tcBorders>
              <w:top w:val="single" w:color="auto" w:sz="8" w:space="0"/>
              <w:bottom w:val="single" w:color="auto" w:sz="8" w:space="0"/>
            </w:tcBorders>
          </w:tcPr>
          <w:p>
            <w:pPr>
              <w:widowControl/>
              <w:adjustRightInd w:val="0"/>
              <w:snapToGrid w:val="0"/>
              <w:spacing w:line="300" w:lineRule="exact"/>
              <w:jc w:val="center"/>
              <w:rPr>
                <w:rFonts w:eastAsia="宋体"/>
                <w:b/>
                <w:bCs/>
              </w:rPr>
            </w:pPr>
            <w:r>
              <w:rPr>
                <w:rFonts w:eastAsia="宋体"/>
                <w:b/>
                <w:bCs/>
              </w:rPr>
              <w:t>D</w:t>
            </w:r>
            <w:r>
              <w:rPr>
                <w:rFonts w:hint="eastAsia" w:eastAsia="宋体"/>
                <w:b/>
                <w:bCs/>
              </w:rPr>
              <w:t>own</w:t>
            </w:r>
          </w:p>
        </w:tc>
        <w:tc>
          <w:tcPr>
            <w:tcW w:w="0" w:type="auto"/>
            <w:tcBorders>
              <w:top w:val="single" w:color="auto" w:sz="8" w:space="0"/>
              <w:bottom w:val="single" w:color="auto" w:sz="8" w:space="0"/>
            </w:tcBorders>
          </w:tcPr>
          <w:p>
            <w:pPr>
              <w:widowControl/>
              <w:adjustRightInd w:val="0"/>
              <w:snapToGrid w:val="0"/>
              <w:spacing w:line="300" w:lineRule="exact"/>
              <w:jc w:val="center"/>
              <w:rPr>
                <w:rFonts w:eastAsia="宋体"/>
                <w:b/>
                <w:bCs/>
              </w:rPr>
            </w:pPr>
            <w:r>
              <w:rPr>
                <w:rFonts w:hint="eastAsia" w:eastAsia="宋体"/>
                <w:b/>
                <w:bCs/>
              </w:rPr>
              <w:t>STZ</w:t>
            </w:r>
          </w:p>
        </w:tc>
        <w:tc>
          <w:tcPr>
            <w:tcW w:w="0" w:type="auto"/>
            <w:tcBorders>
              <w:top w:val="single" w:color="auto" w:sz="8" w:space="0"/>
              <w:bottom w:val="single" w:color="auto" w:sz="8" w:space="0"/>
            </w:tcBorders>
          </w:tcPr>
          <w:p>
            <w:pPr>
              <w:widowControl/>
              <w:adjustRightInd w:val="0"/>
              <w:snapToGrid w:val="0"/>
              <w:spacing w:line="300" w:lineRule="exact"/>
              <w:jc w:val="center"/>
              <w:rPr>
                <w:rFonts w:eastAsia="宋体"/>
                <w:b/>
                <w:bCs/>
              </w:rPr>
            </w:pPr>
            <w:r>
              <w:rPr>
                <w:rFonts w:hint="eastAsia" w:eastAsia="宋体"/>
                <w:b/>
                <w:bCs/>
              </w:rPr>
              <w:t>CON</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0" w:type="auto"/>
            <w:tcBorders>
              <w:top w:val="single" w:color="auto" w:sz="8" w:space="0"/>
              <w:bottom w:val="single" w:color="auto" w:sz="8" w:space="0"/>
            </w:tcBorders>
          </w:tcPr>
          <w:p>
            <w:pPr>
              <w:pStyle w:val="16"/>
              <w:bidi w:val="0"/>
            </w:pPr>
            <w:r>
              <w:rPr>
                <w:rFonts w:hint="eastAsia"/>
              </w:rPr>
              <w:t>GSE178121</w:t>
            </w:r>
          </w:p>
        </w:tc>
        <w:tc>
          <w:tcPr>
            <w:tcW w:w="0" w:type="auto"/>
            <w:tcBorders>
              <w:top w:val="single" w:color="auto" w:sz="8" w:space="0"/>
              <w:bottom w:val="single" w:color="auto" w:sz="8" w:space="0"/>
            </w:tcBorders>
          </w:tcPr>
          <w:p>
            <w:pPr>
              <w:pStyle w:val="16"/>
              <w:bidi w:val="0"/>
            </w:pPr>
            <w:r>
              <w:rPr>
                <w:rFonts w:hint="eastAsia"/>
              </w:rPr>
              <w:t>测序</w:t>
            </w:r>
          </w:p>
        </w:tc>
        <w:tc>
          <w:tcPr>
            <w:tcW w:w="0" w:type="auto"/>
            <w:tcBorders>
              <w:top w:val="single" w:color="auto" w:sz="8" w:space="0"/>
              <w:bottom w:val="single" w:color="auto" w:sz="8" w:space="0"/>
            </w:tcBorders>
            <w:vAlign w:val="center"/>
          </w:tcPr>
          <w:p>
            <w:pPr>
              <w:pStyle w:val="16"/>
              <w:bidi w:val="0"/>
              <w:jc w:val="both"/>
            </w:pPr>
            <w:r>
              <w:t>1.</w:t>
            </w:r>
            <w:r>
              <w:rPr>
                <w:rFonts w:hint="eastAsia"/>
              </w:rPr>
              <w:t>5</w:t>
            </w:r>
          </w:p>
        </w:tc>
        <w:tc>
          <w:tcPr>
            <w:tcW w:w="0" w:type="auto"/>
            <w:tcBorders>
              <w:top w:val="single" w:color="auto" w:sz="8" w:space="0"/>
              <w:bottom w:val="single" w:color="auto" w:sz="8" w:space="0"/>
            </w:tcBorders>
            <w:vAlign w:val="center"/>
          </w:tcPr>
          <w:p>
            <w:pPr>
              <w:pStyle w:val="16"/>
              <w:bidi w:val="0"/>
            </w:pPr>
            <w:r>
              <w:t>0.05</w:t>
            </w:r>
          </w:p>
        </w:tc>
        <w:tc>
          <w:tcPr>
            <w:tcW w:w="0" w:type="auto"/>
            <w:tcBorders>
              <w:top w:val="single" w:color="auto" w:sz="8" w:space="0"/>
              <w:bottom w:val="single" w:color="auto" w:sz="8" w:space="0"/>
            </w:tcBorders>
          </w:tcPr>
          <w:p>
            <w:pPr>
              <w:pStyle w:val="16"/>
              <w:bidi w:val="0"/>
            </w:pPr>
            <w:r>
              <w:rPr>
                <w:rFonts w:hint="eastAsia"/>
              </w:rPr>
              <w:t>61</w:t>
            </w:r>
          </w:p>
        </w:tc>
        <w:tc>
          <w:tcPr>
            <w:tcW w:w="0" w:type="auto"/>
            <w:tcBorders>
              <w:top w:val="single" w:color="auto" w:sz="8" w:space="0"/>
              <w:bottom w:val="single" w:color="auto" w:sz="8" w:space="0"/>
            </w:tcBorders>
          </w:tcPr>
          <w:p>
            <w:pPr>
              <w:pStyle w:val="16"/>
              <w:bidi w:val="0"/>
              <w:ind w:firstLine="200" w:firstLineChars="100"/>
              <w:jc w:val="both"/>
            </w:pPr>
            <w:r>
              <w:rPr>
                <w:rFonts w:hint="eastAsia"/>
              </w:rPr>
              <w:t>32</w:t>
            </w:r>
          </w:p>
        </w:tc>
        <w:tc>
          <w:tcPr>
            <w:tcW w:w="0" w:type="auto"/>
            <w:tcBorders>
              <w:top w:val="single" w:color="auto" w:sz="8" w:space="0"/>
              <w:bottom w:val="single" w:color="auto" w:sz="8" w:space="0"/>
            </w:tcBorders>
          </w:tcPr>
          <w:p>
            <w:pPr>
              <w:pStyle w:val="16"/>
              <w:bidi w:val="0"/>
            </w:pPr>
            <w:r>
              <w:rPr>
                <w:rFonts w:hint="eastAsia"/>
              </w:rPr>
              <w:t>1</w:t>
            </w:r>
          </w:p>
        </w:tc>
        <w:tc>
          <w:tcPr>
            <w:tcW w:w="0" w:type="auto"/>
            <w:tcBorders>
              <w:top w:val="single" w:color="auto" w:sz="8" w:space="0"/>
              <w:bottom w:val="single" w:color="auto" w:sz="8" w:space="0"/>
            </w:tcBorders>
          </w:tcPr>
          <w:p>
            <w:pPr>
              <w:pStyle w:val="16"/>
              <w:bidi w:val="0"/>
            </w:pPr>
            <w:r>
              <w:rPr>
                <w:rFonts w:hint="eastAsia"/>
              </w:rPr>
              <w:t>1</w:t>
            </w:r>
          </w:p>
        </w:tc>
      </w:tr>
    </w:tbl>
    <w:p>
      <w:pPr>
        <w:adjustRightInd w:val="0"/>
        <w:snapToGrid w:val="0"/>
        <w:spacing w:line="360" w:lineRule="auto"/>
        <w:jc w:val="left"/>
        <w:rPr>
          <w:sz w:val="24"/>
        </w:rPr>
      </w:pPr>
      <w:r>
        <w:rPr>
          <w:rFonts w:hint="eastAsia"/>
          <w:sz w:val="24"/>
        </w:rPr>
        <w:t xml:space="preserve"> </w:t>
      </w:r>
    </w:p>
    <w:p>
      <w:pPr>
        <w:adjustRightInd w:val="0"/>
        <w:snapToGrid w:val="0"/>
        <w:spacing w:line="360" w:lineRule="auto"/>
        <w:jc w:val="left"/>
        <w:rPr>
          <w:sz w:val="24"/>
        </w:rPr>
      </w:pPr>
      <w:r>
        <w:rPr>
          <w:rFonts w:hint="eastAsia"/>
          <w:sz w:val="24"/>
        </w:rPr>
        <w:t>STZ vs CON 部分差异表达结果表</w:t>
      </w:r>
    </w:p>
    <w:tbl>
      <w:tblPr>
        <w:tblStyle w:val="8"/>
        <w:tblW w:w="7620" w:type="dxa"/>
        <w:jc w:val="center"/>
        <w:tblLayout w:type="autofit"/>
        <w:tblCellMar>
          <w:top w:w="0" w:type="dxa"/>
          <w:left w:w="108" w:type="dxa"/>
          <w:bottom w:w="0" w:type="dxa"/>
          <w:right w:w="108" w:type="dxa"/>
        </w:tblCellMar>
      </w:tblPr>
      <w:tblGrid>
        <w:gridCol w:w="1525"/>
        <w:gridCol w:w="1525"/>
        <w:gridCol w:w="1525"/>
        <w:gridCol w:w="1525"/>
        <w:gridCol w:w="1525"/>
      </w:tblGrid>
      <w:tr>
        <w:tblPrEx>
          <w:tblCellMar>
            <w:top w:w="0" w:type="dxa"/>
            <w:left w:w="108" w:type="dxa"/>
            <w:bottom w:w="0" w:type="dxa"/>
            <w:right w:w="108" w:type="dxa"/>
          </w:tblCellMar>
        </w:tblPrEx>
        <w:trPr>
          <w:trHeight w:val="270" w:hRule="atLeast"/>
          <w:jc w:val="center"/>
        </w:trPr>
        <w:tc>
          <w:tcPr>
            <w:tcW w:w="1525" w:type="dxa"/>
            <w:tcBorders>
              <w:top w:val="single" w:color="auto" w:sz="4" w:space="0"/>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b/>
                <w:bCs/>
                <w:color w:val="000000"/>
                <w:sz w:val="20"/>
                <w:szCs w:val="20"/>
              </w:rPr>
            </w:pPr>
            <w:r>
              <w:rPr>
                <w:rFonts w:ascii="Times New Roman" w:hAnsi="Times New Roman" w:eastAsia="宋体" w:cs="Times New Roman"/>
                <w:b/>
                <w:bCs/>
                <w:color w:val="000000"/>
                <w:kern w:val="0"/>
                <w:sz w:val="20"/>
                <w:szCs w:val="20"/>
                <w:lang w:bidi="ar"/>
              </w:rPr>
              <w:t>Gene_Name</w:t>
            </w:r>
          </w:p>
        </w:tc>
        <w:tc>
          <w:tcPr>
            <w:tcW w:w="1525" w:type="dxa"/>
            <w:tcBorders>
              <w:top w:val="single" w:color="auto" w:sz="4" w:space="0"/>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b/>
                <w:bCs/>
                <w:color w:val="000000"/>
                <w:sz w:val="20"/>
                <w:szCs w:val="20"/>
              </w:rPr>
            </w:pPr>
            <w:r>
              <w:rPr>
                <w:rFonts w:ascii="Times New Roman" w:hAnsi="Times New Roman" w:eastAsia="宋体" w:cs="Times New Roman"/>
                <w:b/>
                <w:bCs/>
                <w:color w:val="000000"/>
                <w:kern w:val="0"/>
                <w:sz w:val="20"/>
                <w:szCs w:val="20"/>
                <w:lang w:bidi="ar"/>
              </w:rPr>
              <w:t>log2FC</w:t>
            </w:r>
          </w:p>
        </w:tc>
        <w:tc>
          <w:tcPr>
            <w:tcW w:w="1525" w:type="dxa"/>
            <w:tcBorders>
              <w:top w:val="single" w:color="auto" w:sz="4" w:space="0"/>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b/>
                <w:bCs/>
                <w:color w:val="000000"/>
                <w:sz w:val="20"/>
                <w:szCs w:val="20"/>
              </w:rPr>
            </w:pPr>
            <w:r>
              <w:rPr>
                <w:rFonts w:ascii="Times New Roman" w:hAnsi="Times New Roman" w:eastAsia="宋体" w:cs="Times New Roman"/>
                <w:b/>
                <w:bCs/>
                <w:color w:val="000000"/>
                <w:kern w:val="0"/>
                <w:sz w:val="20"/>
                <w:szCs w:val="20"/>
                <w:lang w:bidi="ar"/>
              </w:rPr>
              <w:t>FC</w:t>
            </w:r>
          </w:p>
        </w:tc>
        <w:tc>
          <w:tcPr>
            <w:tcW w:w="1525" w:type="dxa"/>
            <w:tcBorders>
              <w:top w:val="single" w:color="auto" w:sz="4" w:space="0"/>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b/>
                <w:bCs/>
                <w:color w:val="000000"/>
                <w:sz w:val="20"/>
                <w:szCs w:val="20"/>
              </w:rPr>
            </w:pPr>
            <w:r>
              <w:rPr>
                <w:rFonts w:ascii="Times New Roman" w:hAnsi="Times New Roman" w:eastAsia="宋体" w:cs="Times New Roman"/>
                <w:b/>
                <w:bCs/>
                <w:color w:val="000000"/>
                <w:kern w:val="0"/>
                <w:sz w:val="20"/>
                <w:szCs w:val="20"/>
                <w:lang w:bidi="ar"/>
              </w:rPr>
              <w:t>p_value</w:t>
            </w:r>
          </w:p>
        </w:tc>
        <w:tc>
          <w:tcPr>
            <w:tcW w:w="1525" w:type="dxa"/>
            <w:tcBorders>
              <w:top w:val="single" w:color="auto" w:sz="4" w:space="0"/>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b/>
                <w:bCs/>
                <w:color w:val="000000"/>
                <w:sz w:val="20"/>
                <w:szCs w:val="20"/>
              </w:rPr>
            </w:pPr>
            <w:r>
              <w:rPr>
                <w:rFonts w:ascii="Times New Roman" w:hAnsi="Times New Roman" w:eastAsia="宋体" w:cs="Times New Roman"/>
                <w:b/>
                <w:bCs/>
                <w:color w:val="000000"/>
                <w:kern w:val="0"/>
                <w:sz w:val="20"/>
                <w:szCs w:val="20"/>
                <w:lang w:bidi="ar"/>
              </w:rPr>
              <w:t>q_value</w:t>
            </w:r>
          </w:p>
        </w:tc>
      </w:tr>
      <w:tr>
        <w:tblPrEx>
          <w:tblCellMar>
            <w:top w:w="0" w:type="dxa"/>
            <w:left w:w="108" w:type="dxa"/>
            <w:bottom w:w="0" w:type="dxa"/>
            <w:right w:w="108" w:type="dxa"/>
          </w:tblCellMar>
        </w:tblPrEx>
        <w:trPr>
          <w:trHeight w:val="270" w:hRule="atLeast"/>
          <w:jc w:val="center"/>
        </w:trPr>
        <w:tc>
          <w:tcPr>
            <w:tcW w:w="0" w:type="auto"/>
            <w:tcBorders>
              <w:top w:val="single" w:color="auto" w:sz="4" w:space="0"/>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Pcp2</w:t>
            </w:r>
          </w:p>
        </w:tc>
        <w:tc>
          <w:tcPr>
            <w:tcW w:w="0" w:type="auto"/>
            <w:tcBorders>
              <w:top w:val="single" w:color="auto" w:sz="4" w:space="0"/>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2.250954738</w:t>
            </w:r>
          </w:p>
        </w:tc>
        <w:tc>
          <w:tcPr>
            <w:tcW w:w="0" w:type="auto"/>
            <w:tcBorders>
              <w:top w:val="single" w:color="auto" w:sz="4" w:space="0"/>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4.759977447</w:t>
            </w:r>
          </w:p>
        </w:tc>
        <w:tc>
          <w:tcPr>
            <w:tcW w:w="0" w:type="auto"/>
            <w:tcBorders>
              <w:top w:val="single" w:color="auto" w:sz="4" w:space="0"/>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1.23392E-90</w:t>
            </w:r>
          </w:p>
        </w:tc>
        <w:tc>
          <w:tcPr>
            <w:tcW w:w="0" w:type="auto"/>
            <w:tcBorders>
              <w:top w:val="single" w:color="auto" w:sz="4" w:space="0"/>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2.29977E-86</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Pde6h</w:t>
            </w:r>
          </w:p>
        </w:tc>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1.88217492</w:t>
            </w:r>
          </w:p>
        </w:tc>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3.686303665</w:t>
            </w:r>
          </w:p>
        </w:tc>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1.98411E-69</w:t>
            </w:r>
          </w:p>
        </w:tc>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3.69797E-65</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Opn1mw</w:t>
            </w:r>
          </w:p>
        </w:tc>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1.849189503</w:t>
            </w:r>
          </w:p>
        </w:tc>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3.602977152</w:t>
            </w:r>
          </w:p>
        </w:tc>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1.30103E-51</w:t>
            </w:r>
          </w:p>
        </w:tc>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2.42487E-47</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Gng13</w:t>
            </w:r>
          </w:p>
        </w:tc>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1.776723174</w:t>
            </w:r>
          </w:p>
        </w:tc>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3.426470281</w:t>
            </w:r>
          </w:p>
        </w:tc>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4.86119E-61</w:t>
            </w:r>
          </w:p>
        </w:tc>
        <w:tc>
          <w:tcPr>
            <w:tcW w:w="0" w:type="auto"/>
            <w:tcBorders>
              <w:top w:val="nil"/>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9.06029E-57</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Pcp4</w:t>
            </w:r>
          </w:p>
        </w:tc>
        <w:tc>
          <w:tcPr>
            <w:tcW w:w="0" w:type="auto"/>
            <w:tcBorders>
              <w:top w:val="nil"/>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1.644955623</w:t>
            </w:r>
          </w:p>
        </w:tc>
        <w:tc>
          <w:tcPr>
            <w:tcW w:w="0" w:type="auto"/>
            <w:tcBorders>
              <w:top w:val="nil"/>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3.127382372</w:t>
            </w:r>
          </w:p>
        </w:tc>
        <w:tc>
          <w:tcPr>
            <w:tcW w:w="0" w:type="auto"/>
            <w:tcBorders>
              <w:top w:val="nil"/>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8.23715E-48</w:t>
            </w:r>
          </w:p>
        </w:tc>
        <w:tc>
          <w:tcPr>
            <w:tcW w:w="0" w:type="auto"/>
            <w:tcBorders>
              <w:top w:val="nil"/>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color w:val="000000"/>
                <w:sz w:val="20"/>
                <w:szCs w:val="20"/>
              </w:rPr>
            </w:pPr>
            <w:r>
              <w:rPr>
                <w:rFonts w:ascii="Times New Roman" w:hAnsi="Times New Roman" w:eastAsia="宋体" w:cs="Times New Roman"/>
                <w:color w:val="000000"/>
                <w:kern w:val="0"/>
                <w:sz w:val="20"/>
                <w:szCs w:val="20"/>
                <w:lang w:bidi="ar"/>
              </w:rPr>
              <w:t>1.53524E-43</w:t>
            </w:r>
          </w:p>
        </w:tc>
      </w:tr>
    </w:tbl>
    <w:p>
      <w:pPr>
        <w:adjustRightInd w:val="0"/>
        <w:snapToGrid w:val="0"/>
        <w:spacing w:line="360" w:lineRule="auto"/>
        <w:jc w:val="left"/>
        <w:rPr>
          <w:sz w:val="24"/>
        </w:rPr>
      </w:pPr>
    </w:p>
    <w:p>
      <w:pPr>
        <w:adjustRightInd w:val="0"/>
        <w:snapToGrid w:val="0"/>
        <w:spacing w:line="360" w:lineRule="auto"/>
        <w:jc w:val="center"/>
        <w:rPr>
          <w:sz w:val="24"/>
        </w:rPr>
      </w:pPr>
      <w:r>
        <w:rPr>
          <w:rFonts w:hint="eastAsia"/>
          <w:sz w:val="24"/>
        </w:rPr>
        <w:drawing>
          <wp:inline distT="0" distB="0" distL="114300" distR="114300">
            <wp:extent cx="2977515" cy="3227070"/>
            <wp:effectExtent l="0" t="0" r="13335" b="11430"/>
            <wp:docPr id="16" name="图片 16" descr="volcano_STZ_vs_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volcano_STZ_vs_CON"/>
                    <pic:cNvPicPr>
                      <a:picLocks noChangeAspect="1"/>
                    </pic:cNvPicPr>
                  </pic:nvPicPr>
                  <pic:blipFill>
                    <a:blip r:embed="rId25"/>
                    <a:stretch>
                      <a:fillRect/>
                    </a:stretch>
                  </pic:blipFill>
                  <pic:spPr>
                    <a:xfrm>
                      <a:off x="0" y="0"/>
                      <a:ext cx="2977515" cy="3227070"/>
                    </a:xfrm>
                    <a:prstGeom prst="rect">
                      <a:avLst/>
                    </a:prstGeom>
                  </pic:spPr>
                </pic:pic>
              </a:graphicData>
            </a:graphic>
          </wp:inline>
        </w:drawing>
      </w:r>
    </w:p>
    <w:p>
      <w:pPr>
        <w:adjustRightInd w:val="0"/>
        <w:snapToGrid w:val="0"/>
        <w:spacing w:line="360" w:lineRule="auto"/>
        <w:jc w:val="center"/>
        <w:rPr>
          <w:sz w:val="22"/>
        </w:rPr>
      </w:pPr>
      <w:r>
        <w:rPr>
          <w:rFonts w:hint="eastAsia"/>
          <w:sz w:val="22"/>
        </w:rPr>
        <w:t>差异表达火山图</w:t>
      </w:r>
    </w:p>
    <w:p>
      <w:pPr>
        <w:widowControl/>
        <w:jc w:val="left"/>
        <w:rPr>
          <w:kern w:val="0"/>
          <w:sz w:val="28"/>
          <w:szCs w:val="28"/>
        </w:rPr>
      </w:pPr>
      <w:r>
        <w:rPr>
          <w:sz w:val="24"/>
        </w:rPr>
        <w:br w:type="page"/>
      </w:r>
      <w:r>
        <w:rPr>
          <w:rFonts w:hint="eastAsia" w:ascii="Times New Roman" w:hAnsi="Times New Roman" w:eastAsia="宋体" w:cs="Times New Roman"/>
          <w:b/>
          <w:kern w:val="0"/>
          <w:sz w:val="28"/>
          <w:szCs w:val="28"/>
        </w:rPr>
        <w:t>2.1.8、差异表达基因功能富集分析</w:t>
      </w:r>
    </w:p>
    <w:p>
      <w:pPr>
        <w:adjustRightInd w:val="0"/>
        <w:snapToGrid w:val="0"/>
        <w:spacing w:line="360" w:lineRule="auto"/>
        <w:ind w:firstLine="432"/>
        <w:rPr>
          <w:sz w:val="24"/>
        </w:rPr>
      </w:pPr>
      <w:r>
        <w:rPr>
          <w:rFonts w:hint="eastAsia"/>
          <w:sz w:val="24"/>
        </w:rPr>
        <w:t>这里利用上述Müller glia差异表达基因进行GO、KEGG富集分析。这里只以Müller glia中KEGG富集结果进行展示，其他结果见相应文件。基因功能分3类：Biological Process (BP)、Molecular Function (MF)、 Cellular Component (CC)。</w:t>
      </w:r>
    </w:p>
    <w:p>
      <w:pPr>
        <w:adjustRightInd w:val="0"/>
        <w:snapToGrid w:val="0"/>
        <w:spacing w:after="100" w:line="360" w:lineRule="auto"/>
        <w:rPr>
          <w:sz w:val="24"/>
        </w:rPr>
      </w:pPr>
      <w:r>
        <w:rPr>
          <w:rFonts w:hint="eastAsia"/>
          <w:sz w:val="24"/>
        </w:rPr>
        <w:t>结果文件夹：</w:t>
      </w:r>
      <w:r>
        <w:rPr>
          <w:sz w:val="24"/>
        </w:rPr>
        <w:t xml:space="preserve"> diff</w:t>
      </w:r>
      <w:r>
        <w:rPr>
          <w:rFonts w:hint="eastAsia"/>
          <w:sz w:val="24"/>
        </w:rPr>
        <w:t>/Müller_glia</w:t>
      </w:r>
      <w:r>
        <w:rPr>
          <w:sz w:val="24"/>
        </w:rPr>
        <w:t>/functions</w:t>
      </w:r>
    </w:p>
    <w:p>
      <w:pPr>
        <w:pStyle w:val="17"/>
        <w:adjustRightInd w:val="0"/>
        <w:snapToGrid w:val="0"/>
        <w:spacing w:line="360" w:lineRule="auto"/>
        <w:ind w:left="0" w:firstLine="0"/>
        <w:outlineLvl w:val="1"/>
        <w:rPr>
          <w:rFonts w:eastAsia="宋体"/>
          <w:sz w:val="24"/>
        </w:rPr>
      </w:pPr>
      <w:r>
        <w:rPr>
          <w:rFonts w:eastAsia="宋体"/>
          <w:sz w:val="24"/>
        </w:rPr>
        <w:t>注：这里只以差异交集基因中KEGG图例富集结果进行展示，其他结果见相应文件。</w:t>
      </w:r>
    </w:p>
    <w:p>
      <w:pPr>
        <w:pStyle w:val="17"/>
        <w:adjustRightInd w:val="0"/>
        <w:snapToGrid w:val="0"/>
        <w:spacing w:line="360" w:lineRule="auto"/>
        <w:ind w:left="0" w:firstLine="0"/>
        <w:outlineLvl w:val="1"/>
        <w:rPr>
          <w:rFonts w:eastAsia="宋体"/>
          <w:sz w:val="24"/>
        </w:rPr>
      </w:pPr>
      <w:r>
        <w:rPr>
          <w:rFonts w:hint="eastAsia" w:eastAsia="宋体"/>
          <w:sz w:val="24"/>
        </w:rPr>
        <w:t>KEGG富集部分结果表</w:t>
      </w:r>
    </w:p>
    <w:tbl>
      <w:tblPr>
        <w:tblStyle w:val="8"/>
        <w:tblW w:w="8429" w:type="dxa"/>
        <w:tblInd w:w="93" w:type="dxa"/>
        <w:tblLayout w:type="fixed"/>
        <w:tblCellMar>
          <w:top w:w="0" w:type="dxa"/>
          <w:left w:w="108" w:type="dxa"/>
          <w:bottom w:w="0" w:type="dxa"/>
          <w:right w:w="108" w:type="dxa"/>
        </w:tblCellMar>
      </w:tblPr>
      <w:tblGrid>
        <w:gridCol w:w="1161"/>
        <w:gridCol w:w="3627"/>
        <w:gridCol w:w="1077"/>
        <w:gridCol w:w="1043"/>
        <w:gridCol w:w="1521"/>
      </w:tblGrid>
      <w:tr>
        <w:tblPrEx>
          <w:tblCellMar>
            <w:top w:w="0" w:type="dxa"/>
            <w:left w:w="108" w:type="dxa"/>
            <w:bottom w:w="0" w:type="dxa"/>
            <w:right w:w="108" w:type="dxa"/>
          </w:tblCellMar>
        </w:tblPrEx>
        <w:trPr>
          <w:trHeight w:val="270" w:hRule="atLeast"/>
        </w:trPr>
        <w:tc>
          <w:tcPr>
            <w:tcW w:w="1161" w:type="dxa"/>
            <w:tcBorders>
              <w:top w:val="single" w:color="auto" w:sz="4" w:space="0"/>
              <w:left w:val="nil"/>
              <w:bottom w:val="single" w:color="auto" w:sz="4" w:space="0"/>
              <w:right w:val="nil"/>
            </w:tcBorders>
            <w:shd w:val="clear" w:color="auto" w:fill="auto"/>
            <w:noWrap/>
            <w:vAlign w:val="center"/>
          </w:tcPr>
          <w:p>
            <w:pPr>
              <w:adjustRightInd w:val="0"/>
              <w:snapToGrid w:val="0"/>
              <w:spacing w:line="360" w:lineRule="auto"/>
              <w:rPr>
                <w:rFonts w:ascii="Times New Roman" w:hAnsi="Times New Roman" w:cs="Times New Roman"/>
                <w:b/>
                <w:sz w:val="22"/>
                <w:szCs w:val="22"/>
              </w:rPr>
            </w:pPr>
            <w:r>
              <w:rPr>
                <w:rFonts w:hint="eastAsia" w:ascii="Times New Roman" w:hAnsi="Times New Roman" w:cs="Times New Roman"/>
                <w:b/>
                <w:sz w:val="22"/>
                <w:szCs w:val="22"/>
              </w:rPr>
              <w:t>ID</w:t>
            </w:r>
          </w:p>
        </w:tc>
        <w:tc>
          <w:tcPr>
            <w:tcW w:w="3627" w:type="dxa"/>
            <w:tcBorders>
              <w:top w:val="single" w:color="auto" w:sz="4" w:space="0"/>
              <w:left w:val="nil"/>
              <w:bottom w:val="single" w:color="auto" w:sz="4" w:space="0"/>
              <w:right w:val="nil"/>
            </w:tcBorders>
            <w:shd w:val="clear" w:color="auto" w:fill="auto"/>
            <w:noWrap/>
            <w:vAlign w:val="center"/>
          </w:tcPr>
          <w:p>
            <w:pPr>
              <w:adjustRightInd w:val="0"/>
              <w:snapToGrid w:val="0"/>
              <w:spacing w:line="360" w:lineRule="auto"/>
              <w:rPr>
                <w:rFonts w:ascii="Times New Roman" w:hAnsi="Times New Roman" w:cs="Times New Roman"/>
                <w:b/>
                <w:sz w:val="22"/>
                <w:szCs w:val="22"/>
              </w:rPr>
            </w:pPr>
            <w:r>
              <w:rPr>
                <w:rFonts w:hint="eastAsia" w:ascii="Times New Roman" w:hAnsi="Times New Roman" w:cs="Times New Roman"/>
                <w:b/>
                <w:sz w:val="22"/>
                <w:szCs w:val="22"/>
              </w:rPr>
              <w:t>Term</w:t>
            </w:r>
          </w:p>
        </w:tc>
        <w:tc>
          <w:tcPr>
            <w:tcW w:w="1077" w:type="dxa"/>
            <w:tcBorders>
              <w:top w:val="single" w:color="auto" w:sz="4" w:space="0"/>
              <w:left w:val="nil"/>
              <w:bottom w:val="single" w:color="auto" w:sz="4" w:space="0"/>
              <w:right w:val="nil"/>
            </w:tcBorders>
            <w:shd w:val="clear" w:color="auto" w:fill="auto"/>
            <w:noWrap/>
            <w:vAlign w:val="center"/>
          </w:tcPr>
          <w:p>
            <w:pPr>
              <w:adjustRightInd w:val="0"/>
              <w:snapToGrid w:val="0"/>
              <w:spacing w:line="360" w:lineRule="auto"/>
              <w:rPr>
                <w:rFonts w:ascii="Times New Roman" w:hAnsi="Times New Roman" w:cs="Times New Roman"/>
                <w:b/>
                <w:sz w:val="22"/>
                <w:szCs w:val="22"/>
              </w:rPr>
            </w:pPr>
            <w:r>
              <w:rPr>
                <w:rFonts w:hint="eastAsia" w:ascii="Times New Roman" w:hAnsi="Times New Roman" w:cs="Times New Roman"/>
                <w:b/>
                <w:sz w:val="22"/>
                <w:szCs w:val="22"/>
              </w:rPr>
              <w:t>p_value</w:t>
            </w:r>
          </w:p>
        </w:tc>
        <w:tc>
          <w:tcPr>
            <w:tcW w:w="1043" w:type="dxa"/>
            <w:tcBorders>
              <w:top w:val="single" w:color="auto" w:sz="4" w:space="0"/>
              <w:left w:val="nil"/>
              <w:bottom w:val="single" w:color="auto" w:sz="4" w:space="0"/>
              <w:right w:val="nil"/>
            </w:tcBorders>
            <w:shd w:val="clear" w:color="auto" w:fill="auto"/>
            <w:noWrap/>
            <w:vAlign w:val="center"/>
          </w:tcPr>
          <w:p>
            <w:pPr>
              <w:adjustRightInd w:val="0"/>
              <w:snapToGrid w:val="0"/>
              <w:spacing w:line="360" w:lineRule="auto"/>
              <w:rPr>
                <w:rFonts w:ascii="Times New Roman" w:hAnsi="Times New Roman" w:cs="Times New Roman"/>
                <w:b/>
                <w:sz w:val="22"/>
                <w:szCs w:val="22"/>
              </w:rPr>
            </w:pPr>
            <w:r>
              <w:rPr>
                <w:rFonts w:hint="eastAsia" w:ascii="Times New Roman" w:hAnsi="Times New Roman" w:cs="Times New Roman"/>
                <w:b/>
                <w:sz w:val="22"/>
                <w:szCs w:val="22"/>
              </w:rPr>
              <w:t>fdr</w:t>
            </w:r>
          </w:p>
        </w:tc>
        <w:tc>
          <w:tcPr>
            <w:tcW w:w="1521" w:type="dxa"/>
            <w:tcBorders>
              <w:top w:val="single" w:color="auto" w:sz="4" w:space="0"/>
              <w:left w:val="nil"/>
              <w:bottom w:val="single" w:color="auto" w:sz="4" w:space="0"/>
              <w:right w:val="nil"/>
            </w:tcBorders>
            <w:shd w:val="clear" w:color="auto" w:fill="auto"/>
            <w:noWrap/>
            <w:vAlign w:val="center"/>
          </w:tcPr>
          <w:p>
            <w:pPr>
              <w:adjustRightInd w:val="0"/>
              <w:snapToGrid w:val="0"/>
              <w:spacing w:line="360" w:lineRule="auto"/>
              <w:rPr>
                <w:rFonts w:ascii="Times New Roman" w:hAnsi="Times New Roman" w:cs="Times New Roman"/>
                <w:b/>
                <w:sz w:val="22"/>
                <w:szCs w:val="22"/>
              </w:rPr>
            </w:pPr>
            <w:r>
              <w:rPr>
                <w:rFonts w:hint="eastAsia" w:ascii="Times New Roman" w:hAnsi="Times New Roman" w:cs="Times New Roman"/>
                <w:b/>
                <w:sz w:val="22"/>
                <w:szCs w:val="22"/>
              </w:rPr>
              <w:t>Enrichment_Score</w:t>
            </w:r>
          </w:p>
        </w:tc>
      </w:tr>
      <w:tr>
        <w:tblPrEx>
          <w:tblCellMar>
            <w:top w:w="0" w:type="dxa"/>
            <w:left w:w="108" w:type="dxa"/>
            <w:bottom w:w="0" w:type="dxa"/>
            <w:right w:w="108" w:type="dxa"/>
          </w:tblCellMar>
        </w:tblPrEx>
        <w:trPr>
          <w:trHeight w:val="270" w:hRule="atLeast"/>
        </w:trPr>
        <w:tc>
          <w:tcPr>
            <w:tcW w:w="1161" w:type="dxa"/>
            <w:tcBorders>
              <w:top w:val="single" w:color="auto" w:sz="4" w:space="0"/>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mmu04744</w:t>
            </w:r>
          </w:p>
        </w:tc>
        <w:tc>
          <w:tcPr>
            <w:tcW w:w="3627" w:type="dxa"/>
            <w:tcBorders>
              <w:top w:val="single" w:color="auto" w:sz="4" w:space="0"/>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Phototransduction</w:t>
            </w:r>
          </w:p>
        </w:tc>
        <w:tc>
          <w:tcPr>
            <w:tcW w:w="1077" w:type="dxa"/>
            <w:tcBorders>
              <w:top w:val="single" w:color="auto" w:sz="4" w:space="0"/>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1.86E-18</w:t>
            </w:r>
          </w:p>
        </w:tc>
        <w:tc>
          <w:tcPr>
            <w:tcW w:w="1043" w:type="dxa"/>
            <w:tcBorders>
              <w:top w:val="single" w:color="auto" w:sz="4" w:space="0"/>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2.87E-16</w:t>
            </w:r>
          </w:p>
        </w:tc>
        <w:tc>
          <w:tcPr>
            <w:tcW w:w="1521" w:type="dxa"/>
            <w:tcBorders>
              <w:top w:val="single" w:color="auto" w:sz="4" w:space="0"/>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17.72932297</w:t>
            </w:r>
          </w:p>
        </w:tc>
      </w:tr>
      <w:tr>
        <w:tblPrEx>
          <w:tblCellMar>
            <w:top w:w="0" w:type="dxa"/>
            <w:left w:w="108" w:type="dxa"/>
            <w:bottom w:w="0" w:type="dxa"/>
            <w:right w:w="108" w:type="dxa"/>
          </w:tblCellMar>
        </w:tblPrEx>
        <w:trPr>
          <w:trHeight w:val="380" w:hRule="atLeast"/>
        </w:trPr>
        <w:tc>
          <w:tcPr>
            <w:tcW w:w="1161"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mmu04371</w:t>
            </w:r>
          </w:p>
        </w:tc>
        <w:tc>
          <w:tcPr>
            <w:tcW w:w="3627"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Apelin_signaling_pathway</w:t>
            </w:r>
          </w:p>
        </w:tc>
        <w:tc>
          <w:tcPr>
            <w:tcW w:w="1077"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1.20E-07</w:t>
            </w:r>
          </w:p>
        </w:tc>
        <w:tc>
          <w:tcPr>
            <w:tcW w:w="1043"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9.23E-06</w:t>
            </w:r>
          </w:p>
        </w:tc>
        <w:tc>
          <w:tcPr>
            <w:tcW w:w="1521"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6.921200304</w:t>
            </w:r>
          </w:p>
        </w:tc>
      </w:tr>
      <w:tr>
        <w:tblPrEx>
          <w:tblCellMar>
            <w:top w:w="0" w:type="dxa"/>
            <w:left w:w="108" w:type="dxa"/>
            <w:bottom w:w="0" w:type="dxa"/>
            <w:right w:w="108" w:type="dxa"/>
          </w:tblCellMar>
        </w:tblPrEx>
        <w:trPr>
          <w:trHeight w:val="270" w:hRule="atLeast"/>
        </w:trPr>
        <w:tc>
          <w:tcPr>
            <w:tcW w:w="1161"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mmu04723</w:t>
            </w:r>
          </w:p>
        </w:tc>
        <w:tc>
          <w:tcPr>
            <w:tcW w:w="3627"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Retrograde_endocannabinoid_signaling</w:t>
            </w:r>
          </w:p>
        </w:tc>
        <w:tc>
          <w:tcPr>
            <w:tcW w:w="1077"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2.33E-07</w:t>
            </w:r>
          </w:p>
        </w:tc>
        <w:tc>
          <w:tcPr>
            <w:tcW w:w="1043"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1.20E-05</w:t>
            </w:r>
          </w:p>
        </w:tc>
        <w:tc>
          <w:tcPr>
            <w:tcW w:w="1521"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6.632637994</w:t>
            </w:r>
          </w:p>
        </w:tc>
      </w:tr>
      <w:tr>
        <w:tblPrEx>
          <w:tblCellMar>
            <w:top w:w="0" w:type="dxa"/>
            <w:left w:w="108" w:type="dxa"/>
            <w:bottom w:w="0" w:type="dxa"/>
            <w:right w:w="108" w:type="dxa"/>
          </w:tblCellMar>
        </w:tblPrEx>
        <w:trPr>
          <w:trHeight w:val="270" w:hRule="atLeast"/>
        </w:trPr>
        <w:tc>
          <w:tcPr>
            <w:tcW w:w="1161"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mmu04724</w:t>
            </w:r>
          </w:p>
        </w:tc>
        <w:tc>
          <w:tcPr>
            <w:tcW w:w="3627"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Glutamatergic_synapse</w:t>
            </w:r>
          </w:p>
        </w:tc>
        <w:tc>
          <w:tcPr>
            <w:tcW w:w="1077"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3.64E-07</w:t>
            </w:r>
          </w:p>
        </w:tc>
        <w:tc>
          <w:tcPr>
            <w:tcW w:w="1043"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1.40E-05</w:t>
            </w:r>
          </w:p>
        </w:tc>
        <w:tc>
          <w:tcPr>
            <w:tcW w:w="1521"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6.439336212</w:t>
            </w:r>
          </w:p>
        </w:tc>
      </w:tr>
      <w:tr>
        <w:tblPrEx>
          <w:tblCellMar>
            <w:top w:w="0" w:type="dxa"/>
            <w:left w:w="108" w:type="dxa"/>
            <w:bottom w:w="0" w:type="dxa"/>
            <w:right w:w="108" w:type="dxa"/>
          </w:tblCellMar>
        </w:tblPrEx>
        <w:trPr>
          <w:trHeight w:val="270" w:hRule="atLeast"/>
        </w:trPr>
        <w:tc>
          <w:tcPr>
            <w:tcW w:w="1161"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mmu05167</w:t>
            </w:r>
          </w:p>
        </w:tc>
        <w:tc>
          <w:tcPr>
            <w:tcW w:w="3627"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Kaposi_sarcoma-associated_herpesvirus_infection</w:t>
            </w:r>
          </w:p>
        </w:tc>
        <w:tc>
          <w:tcPr>
            <w:tcW w:w="1077"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5.68E-07</w:t>
            </w:r>
          </w:p>
        </w:tc>
        <w:tc>
          <w:tcPr>
            <w:tcW w:w="1043"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1.75E-05</w:t>
            </w:r>
          </w:p>
        </w:tc>
        <w:tc>
          <w:tcPr>
            <w:tcW w:w="1521" w:type="dxa"/>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6.245861979</w:t>
            </w:r>
          </w:p>
        </w:tc>
      </w:tr>
      <w:tr>
        <w:tblPrEx>
          <w:tblCellMar>
            <w:top w:w="0" w:type="dxa"/>
            <w:left w:w="108" w:type="dxa"/>
            <w:bottom w:w="0" w:type="dxa"/>
            <w:right w:w="108" w:type="dxa"/>
          </w:tblCellMar>
        </w:tblPrEx>
        <w:trPr>
          <w:trHeight w:val="270" w:hRule="atLeast"/>
        </w:trPr>
        <w:tc>
          <w:tcPr>
            <w:tcW w:w="1161" w:type="dxa"/>
            <w:tcBorders>
              <w:top w:val="nil"/>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mmu04926</w:t>
            </w:r>
          </w:p>
        </w:tc>
        <w:tc>
          <w:tcPr>
            <w:tcW w:w="3627" w:type="dxa"/>
            <w:tcBorders>
              <w:top w:val="nil"/>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Relaxin_signaling_pathway</w:t>
            </w:r>
          </w:p>
        </w:tc>
        <w:tc>
          <w:tcPr>
            <w:tcW w:w="1077" w:type="dxa"/>
            <w:tcBorders>
              <w:top w:val="nil"/>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1.01E-06</w:t>
            </w:r>
          </w:p>
        </w:tc>
        <w:tc>
          <w:tcPr>
            <w:tcW w:w="1043" w:type="dxa"/>
            <w:tcBorders>
              <w:top w:val="nil"/>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2.24E-05</w:t>
            </w:r>
          </w:p>
        </w:tc>
        <w:tc>
          <w:tcPr>
            <w:tcW w:w="1521" w:type="dxa"/>
            <w:tcBorders>
              <w:top w:val="nil"/>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5.997763125</w:t>
            </w:r>
          </w:p>
        </w:tc>
      </w:tr>
    </w:tbl>
    <w:p>
      <w:pPr>
        <w:widowControl/>
        <w:adjustRightInd w:val="0"/>
        <w:snapToGrid w:val="0"/>
        <w:spacing w:line="360" w:lineRule="auto"/>
        <w:jc w:val="left"/>
        <w:rPr>
          <w:kern w:val="0"/>
          <w:sz w:val="24"/>
        </w:rPr>
      </w:pPr>
    </w:p>
    <w:p>
      <w:pPr>
        <w:widowControl/>
        <w:adjustRightInd w:val="0"/>
        <w:snapToGrid w:val="0"/>
        <w:spacing w:line="360" w:lineRule="auto"/>
        <w:jc w:val="center"/>
        <w:rPr>
          <w:kern w:val="0"/>
          <w:sz w:val="24"/>
        </w:rPr>
      </w:pPr>
      <w:r>
        <w:rPr>
          <w:rFonts w:hint="eastAsia"/>
          <w:kern w:val="0"/>
          <w:sz w:val="24"/>
        </w:rPr>
        <w:drawing>
          <wp:inline distT="0" distB="0" distL="114300" distR="114300">
            <wp:extent cx="4382135" cy="3756660"/>
            <wp:effectExtent l="0" t="0" r="18415" b="15240"/>
            <wp:docPr id="17" name="图片 17" descr="KEGG_ESDot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EGG_ESDotPlot"/>
                    <pic:cNvPicPr>
                      <a:picLocks noChangeAspect="1"/>
                    </pic:cNvPicPr>
                  </pic:nvPicPr>
                  <pic:blipFill>
                    <a:blip r:embed="rId26"/>
                    <a:stretch>
                      <a:fillRect/>
                    </a:stretch>
                  </pic:blipFill>
                  <pic:spPr>
                    <a:xfrm>
                      <a:off x="0" y="0"/>
                      <a:ext cx="4382135" cy="3756660"/>
                    </a:xfrm>
                    <a:prstGeom prst="rect">
                      <a:avLst/>
                    </a:prstGeom>
                  </pic:spPr>
                </pic:pic>
              </a:graphicData>
            </a:graphic>
          </wp:inline>
        </w:drawing>
      </w:r>
    </w:p>
    <w:p>
      <w:pPr>
        <w:pStyle w:val="17"/>
        <w:adjustRightInd w:val="0"/>
        <w:snapToGrid w:val="0"/>
        <w:ind w:left="0" w:firstLine="0"/>
        <w:jc w:val="center"/>
        <w:outlineLvl w:val="1"/>
        <w:rPr>
          <w:kern w:val="0"/>
          <w:sz w:val="24"/>
        </w:rPr>
      </w:pPr>
      <w:r>
        <w:rPr>
          <w:rFonts w:hint="eastAsia"/>
          <w:sz w:val="22"/>
        </w:rPr>
        <w:t>富集结果图气泡图</w:t>
      </w:r>
    </w:p>
    <w:p>
      <w:pPr>
        <w:widowControl/>
        <w:adjustRightInd w:val="0"/>
        <w:snapToGrid w:val="0"/>
        <w:spacing w:line="360" w:lineRule="auto"/>
        <w:jc w:val="center"/>
        <w:rPr>
          <w:kern w:val="0"/>
          <w:sz w:val="24"/>
        </w:rPr>
      </w:pPr>
      <w:r>
        <w:rPr>
          <w:rFonts w:hint="eastAsia"/>
          <w:kern w:val="0"/>
          <w:sz w:val="24"/>
        </w:rPr>
        <w:drawing>
          <wp:inline distT="0" distB="0" distL="114300" distR="114300">
            <wp:extent cx="3956685" cy="4839970"/>
            <wp:effectExtent l="0" t="0" r="5715" b="17780"/>
            <wp:docPr id="18" name="图片 18" descr="KEGG_circle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KEGG_circle_plot"/>
                    <pic:cNvPicPr>
                      <a:picLocks noChangeAspect="1"/>
                    </pic:cNvPicPr>
                  </pic:nvPicPr>
                  <pic:blipFill>
                    <a:blip r:embed="rId27"/>
                    <a:stretch>
                      <a:fillRect/>
                    </a:stretch>
                  </pic:blipFill>
                  <pic:spPr>
                    <a:xfrm>
                      <a:off x="0" y="0"/>
                      <a:ext cx="3956685" cy="4839970"/>
                    </a:xfrm>
                    <a:prstGeom prst="rect">
                      <a:avLst/>
                    </a:prstGeom>
                  </pic:spPr>
                </pic:pic>
              </a:graphicData>
            </a:graphic>
          </wp:inline>
        </w:drawing>
      </w:r>
    </w:p>
    <w:p>
      <w:pPr>
        <w:widowControl/>
        <w:adjustRightInd w:val="0"/>
        <w:snapToGrid w:val="0"/>
        <w:spacing w:after="160" w:line="360" w:lineRule="auto"/>
        <w:jc w:val="center"/>
        <w:rPr>
          <w:sz w:val="22"/>
        </w:rPr>
      </w:pPr>
      <w:r>
        <w:rPr>
          <w:rFonts w:hint="eastAsia"/>
          <w:sz w:val="22"/>
        </w:rPr>
        <w:t>前10个条目对应基因圈图</w:t>
      </w:r>
    </w:p>
    <w:p>
      <w:pPr>
        <w:widowControl/>
        <w:adjustRightInd w:val="0"/>
        <w:snapToGrid w:val="0"/>
        <w:spacing w:line="360" w:lineRule="auto"/>
        <w:jc w:val="center"/>
        <w:rPr>
          <w:kern w:val="0"/>
          <w:sz w:val="24"/>
        </w:rPr>
      </w:pPr>
      <w:r>
        <w:rPr>
          <w:rFonts w:hint="eastAsia"/>
          <w:kern w:val="0"/>
          <w:sz w:val="24"/>
        </w:rPr>
        <w:drawing>
          <wp:inline distT="0" distB="0" distL="114300" distR="114300">
            <wp:extent cx="4486910" cy="2914650"/>
            <wp:effectExtent l="0" t="0" r="8890" b="0"/>
            <wp:docPr id="19" name="图片 19" descr="mmu04371.k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mu04371.kegg"/>
                    <pic:cNvPicPr>
                      <a:picLocks noChangeAspect="1"/>
                    </pic:cNvPicPr>
                  </pic:nvPicPr>
                  <pic:blipFill>
                    <a:blip r:embed="rId28"/>
                    <a:stretch>
                      <a:fillRect/>
                    </a:stretch>
                  </pic:blipFill>
                  <pic:spPr>
                    <a:xfrm>
                      <a:off x="0" y="0"/>
                      <a:ext cx="4486910" cy="2914650"/>
                    </a:xfrm>
                    <a:prstGeom prst="rect">
                      <a:avLst/>
                    </a:prstGeom>
                  </pic:spPr>
                </pic:pic>
              </a:graphicData>
            </a:graphic>
          </wp:inline>
        </w:drawing>
      </w:r>
    </w:p>
    <w:p>
      <w:pPr>
        <w:widowControl/>
        <w:adjustRightInd w:val="0"/>
        <w:snapToGrid w:val="0"/>
        <w:spacing w:after="160" w:line="360" w:lineRule="auto"/>
        <w:jc w:val="center"/>
        <w:rPr>
          <w:kern w:val="0"/>
          <w:sz w:val="24"/>
        </w:rPr>
      </w:pPr>
      <w:r>
        <w:rPr>
          <w:rFonts w:hint="eastAsia"/>
          <w:sz w:val="22"/>
        </w:rPr>
        <w:t>基因在KEGG通路中的位置图（在STZ vs CON中红色是上调基因，绿色下调）</w:t>
      </w:r>
    </w:p>
    <w:p>
      <w:pPr>
        <w:pStyle w:val="4"/>
        <w:adjustRightInd w:val="0"/>
        <w:snapToGrid w:val="0"/>
        <w:spacing w:before="0" w:line="360" w:lineRule="auto"/>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2.1.9、细胞互作网络分析</w:t>
      </w:r>
    </w:p>
    <w:p>
      <w:pPr>
        <w:widowControl/>
        <w:adjustRightInd w:val="0"/>
        <w:snapToGrid w:val="0"/>
        <w:spacing w:line="360" w:lineRule="auto"/>
        <w:ind w:firstLine="480" w:firstLineChars="200"/>
        <w:jc w:val="left"/>
        <w:rPr>
          <w:kern w:val="0"/>
          <w:sz w:val="24"/>
        </w:rPr>
      </w:pPr>
      <w:r>
        <w:rPr>
          <w:rFonts w:hint="eastAsia"/>
          <w:kern w:val="0"/>
          <w:sz w:val="24"/>
        </w:rPr>
        <w:t>为了探究疾病微环境中的细胞互作模式，本研究基于细胞互作分析探究了核心细胞亚群其他细胞群之间的crosstalk。这里用</w:t>
      </w:r>
      <w:r>
        <w:rPr>
          <w:kern w:val="0"/>
          <w:sz w:val="24"/>
        </w:rPr>
        <w:t>CellChat v1.1</w:t>
      </w:r>
      <w:r>
        <w:rPr>
          <w:rFonts w:hint="eastAsia"/>
          <w:kern w:val="0"/>
          <w:sz w:val="24"/>
        </w:rPr>
        <w:t>，根据各细胞的表达情况进行细胞与细胞间的通信分析。然后筛选出</w:t>
      </w:r>
      <w:bookmarkStart w:id="6" w:name="_Hlk106368684"/>
      <w:r>
        <w:rPr>
          <w:rFonts w:hint="eastAsia"/>
          <w:kern w:val="0"/>
          <w:sz w:val="24"/>
        </w:rPr>
        <w:t>Müller glia相关的互作细胞以及相应的l</w:t>
      </w:r>
      <w:r>
        <w:rPr>
          <w:kern w:val="0"/>
          <w:sz w:val="24"/>
        </w:rPr>
        <w:t>igand</w:t>
      </w:r>
      <w:r>
        <w:rPr>
          <w:rFonts w:hint="eastAsia"/>
          <w:kern w:val="0"/>
          <w:sz w:val="24"/>
        </w:rPr>
        <w:t>-</w:t>
      </w:r>
      <w:r>
        <w:rPr>
          <w:kern w:val="0"/>
          <w:sz w:val="24"/>
        </w:rPr>
        <w:t>receptor</w:t>
      </w:r>
      <w:r>
        <w:rPr>
          <w:rFonts w:hint="eastAsia"/>
          <w:kern w:val="0"/>
          <w:sz w:val="24"/>
        </w:rPr>
        <w:t>关系对</w:t>
      </w:r>
      <w:bookmarkEnd w:id="6"/>
      <w:r>
        <w:rPr>
          <w:rFonts w:hint="eastAsia"/>
          <w:kern w:val="0"/>
          <w:sz w:val="24"/>
        </w:rPr>
        <w:t>。</w:t>
      </w:r>
    </w:p>
    <w:p>
      <w:pPr>
        <w:widowControl/>
        <w:jc w:val="left"/>
        <w:rPr>
          <w:kern w:val="0"/>
          <w:sz w:val="24"/>
        </w:rPr>
      </w:pPr>
      <w:r>
        <w:rPr>
          <w:rFonts w:hint="eastAsia"/>
          <w:kern w:val="0"/>
          <w:sz w:val="24"/>
          <w:szCs w:val="28"/>
        </w:rPr>
        <w:t>结果文件夹：</w:t>
      </w:r>
      <w:r>
        <w:rPr>
          <w:kern w:val="0"/>
          <w:sz w:val="24"/>
          <w:szCs w:val="28"/>
        </w:rPr>
        <w:t>cell-cell</w:t>
      </w:r>
    </w:p>
    <w:p>
      <w:pPr>
        <w:widowControl/>
        <w:adjustRightInd w:val="0"/>
        <w:snapToGrid w:val="0"/>
        <w:spacing w:line="360" w:lineRule="auto"/>
        <w:jc w:val="center"/>
        <w:rPr>
          <w:kern w:val="0"/>
          <w:sz w:val="24"/>
        </w:rPr>
      </w:pPr>
      <w:r>
        <w:rPr>
          <w:rFonts w:hint="eastAsia"/>
          <w:kern w:val="0"/>
          <w:sz w:val="24"/>
        </w:rPr>
        <w:drawing>
          <wp:inline distT="0" distB="0" distL="114300" distR="114300">
            <wp:extent cx="3724275" cy="3724275"/>
            <wp:effectExtent l="0" t="0" r="9525" b="9525"/>
            <wp:docPr id="20" name="图片 20" descr="communication_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ommunication_network"/>
                    <pic:cNvPicPr>
                      <a:picLocks noChangeAspect="1"/>
                    </pic:cNvPicPr>
                  </pic:nvPicPr>
                  <pic:blipFill>
                    <a:blip r:embed="rId29"/>
                    <a:stretch>
                      <a:fillRect/>
                    </a:stretch>
                  </pic:blipFill>
                  <pic:spPr>
                    <a:xfrm>
                      <a:off x="0" y="0"/>
                      <a:ext cx="3724275" cy="3724275"/>
                    </a:xfrm>
                    <a:prstGeom prst="rect">
                      <a:avLst/>
                    </a:prstGeom>
                  </pic:spPr>
                </pic:pic>
              </a:graphicData>
            </a:graphic>
          </wp:inline>
        </w:drawing>
      </w:r>
    </w:p>
    <w:p>
      <w:pPr>
        <w:widowControl/>
        <w:jc w:val="center"/>
        <w:rPr>
          <w:kern w:val="0"/>
          <w:sz w:val="22"/>
          <w:szCs w:val="28"/>
        </w:rPr>
      </w:pPr>
      <w:r>
        <w:rPr>
          <w:rFonts w:hint="eastAsia"/>
          <w:kern w:val="0"/>
          <w:sz w:val="22"/>
          <w:szCs w:val="28"/>
        </w:rPr>
        <w:t>细胞间互作网络图</w:t>
      </w:r>
    </w:p>
    <w:p>
      <w:pPr>
        <w:widowControl/>
        <w:jc w:val="center"/>
        <w:rPr>
          <w:kern w:val="0"/>
          <w:sz w:val="22"/>
        </w:rPr>
      </w:pPr>
      <w:r>
        <w:rPr>
          <w:rFonts w:hint="eastAsia"/>
          <w:kern w:val="0"/>
          <w:sz w:val="22"/>
        </w:rPr>
        <w:t>注：连线宽度代表配体受体关系对数量（越宽关系对越多）</w:t>
      </w:r>
    </w:p>
    <w:p>
      <w:pPr>
        <w:widowControl/>
        <w:jc w:val="center"/>
        <w:rPr>
          <w:kern w:val="0"/>
          <w:sz w:val="22"/>
        </w:rPr>
      </w:pPr>
    </w:p>
    <w:p>
      <w:pPr>
        <w:widowControl/>
        <w:jc w:val="center"/>
        <w:rPr>
          <w:kern w:val="0"/>
          <w:sz w:val="22"/>
        </w:rPr>
      </w:pPr>
      <w:r>
        <w:rPr>
          <w:rFonts w:hint="eastAsia"/>
          <w:kern w:val="0"/>
          <w:sz w:val="22"/>
        </w:rPr>
        <w:t>部分</w:t>
      </w:r>
      <w:r>
        <w:rPr>
          <w:rFonts w:hint="eastAsia"/>
          <w:kern w:val="0"/>
          <w:sz w:val="24"/>
        </w:rPr>
        <w:t>Müller glia</w:t>
      </w:r>
      <w:r>
        <w:rPr>
          <w:rFonts w:hint="eastAsia"/>
          <w:kern w:val="0"/>
          <w:sz w:val="22"/>
        </w:rPr>
        <w:t>相关的互作细胞以及相应的</w:t>
      </w:r>
      <w:r>
        <w:rPr>
          <w:kern w:val="0"/>
          <w:sz w:val="22"/>
        </w:rPr>
        <w:t>ligand-receptor</w:t>
      </w:r>
      <w:r>
        <w:rPr>
          <w:rFonts w:hint="eastAsia"/>
          <w:kern w:val="0"/>
          <w:sz w:val="22"/>
        </w:rPr>
        <w:t>关系对表</w:t>
      </w:r>
    </w:p>
    <w:tbl>
      <w:tblPr>
        <w:tblStyle w:val="8"/>
        <w:tblW w:w="4321" w:type="dxa"/>
        <w:jc w:val="center"/>
        <w:tblLayout w:type="autofit"/>
        <w:tblCellMar>
          <w:top w:w="0" w:type="dxa"/>
          <w:left w:w="108" w:type="dxa"/>
          <w:bottom w:w="0" w:type="dxa"/>
          <w:right w:w="108" w:type="dxa"/>
        </w:tblCellMar>
      </w:tblPr>
      <w:tblGrid>
        <w:gridCol w:w="1111"/>
        <w:gridCol w:w="1233"/>
        <w:gridCol w:w="1080"/>
        <w:gridCol w:w="1080"/>
      </w:tblGrid>
      <w:tr>
        <w:tblPrEx>
          <w:tblCellMar>
            <w:top w:w="0" w:type="dxa"/>
            <w:left w:w="108" w:type="dxa"/>
            <w:bottom w:w="0" w:type="dxa"/>
            <w:right w:w="108" w:type="dxa"/>
          </w:tblCellMar>
        </w:tblPrEx>
        <w:trPr>
          <w:trHeight w:val="270" w:hRule="atLeast"/>
          <w:jc w:val="center"/>
        </w:trPr>
        <w:tc>
          <w:tcPr>
            <w:tcW w:w="1080" w:type="dxa"/>
            <w:tcBorders>
              <w:top w:val="single" w:color="auto" w:sz="4" w:space="0"/>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b/>
                <w:bCs/>
                <w:color w:val="000000"/>
                <w:kern w:val="0"/>
                <w:sz w:val="20"/>
                <w:szCs w:val="20"/>
                <w:lang w:bidi="ar"/>
              </w:rPr>
            </w:pPr>
            <w:r>
              <w:rPr>
                <w:rFonts w:hint="eastAsia" w:ascii="Times New Roman" w:hAnsi="Times New Roman" w:eastAsia="宋体" w:cs="Times New Roman"/>
                <w:b/>
                <w:bCs/>
                <w:color w:val="000000"/>
                <w:kern w:val="0"/>
                <w:sz w:val="20"/>
                <w:szCs w:val="20"/>
                <w:lang w:bidi="ar"/>
              </w:rPr>
              <w:t>source</w:t>
            </w:r>
          </w:p>
        </w:tc>
        <w:tc>
          <w:tcPr>
            <w:tcW w:w="1080" w:type="dxa"/>
            <w:tcBorders>
              <w:top w:val="single" w:color="auto" w:sz="4" w:space="0"/>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b/>
                <w:bCs/>
                <w:color w:val="000000"/>
                <w:kern w:val="0"/>
                <w:sz w:val="20"/>
                <w:szCs w:val="20"/>
                <w:lang w:bidi="ar"/>
              </w:rPr>
            </w:pPr>
            <w:r>
              <w:rPr>
                <w:rFonts w:hint="eastAsia" w:ascii="Times New Roman" w:hAnsi="Times New Roman" w:eastAsia="宋体" w:cs="Times New Roman"/>
                <w:b/>
                <w:bCs/>
                <w:color w:val="000000"/>
                <w:kern w:val="0"/>
                <w:sz w:val="20"/>
                <w:szCs w:val="20"/>
                <w:lang w:bidi="ar"/>
              </w:rPr>
              <w:t>target</w:t>
            </w:r>
          </w:p>
        </w:tc>
        <w:tc>
          <w:tcPr>
            <w:tcW w:w="1080" w:type="dxa"/>
            <w:tcBorders>
              <w:top w:val="single" w:color="auto" w:sz="4" w:space="0"/>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b/>
                <w:bCs/>
                <w:color w:val="000000"/>
                <w:kern w:val="0"/>
                <w:sz w:val="20"/>
                <w:szCs w:val="20"/>
                <w:lang w:bidi="ar"/>
              </w:rPr>
            </w:pPr>
            <w:r>
              <w:rPr>
                <w:rFonts w:hint="eastAsia" w:ascii="Times New Roman" w:hAnsi="Times New Roman" w:eastAsia="宋体" w:cs="Times New Roman"/>
                <w:b/>
                <w:bCs/>
                <w:color w:val="000000"/>
                <w:kern w:val="0"/>
                <w:sz w:val="20"/>
                <w:szCs w:val="20"/>
                <w:lang w:bidi="ar"/>
              </w:rPr>
              <w:t>ligand</w:t>
            </w:r>
          </w:p>
        </w:tc>
        <w:tc>
          <w:tcPr>
            <w:tcW w:w="1080" w:type="dxa"/>
            <w:tcBorders>
              <w:top w:val="single" w:color="auto" w:sz="4" w:space="0"/>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b/>
                <w:bCs/>
                <w:color w:val="000000"/>
                <w:kern w:val="0"/>
                <w:sz w:val="20"/>
                <w:szCs w:val="20"/>
                <w:lang w:bidi="ar"/>
              </w:rPr>
            </w:pPr>
            <w:r>
              <w:rPr>
                <w:rFonts w:hint="eastAsia" w:ascii="Times New Roman" w:hAnsi="Times New Roman" w:eastAsia="宋体" w:cs="Times New Roman"/>
                <w:b/>
                <w:bCs/>
                <w:color w:val="000000"/>
                <w:kern w:val="0"/>
                <w:sz w:val="20"/>
                <w:szCs w:val="20"/>
                <w:lang w:bidi="ar"/>
              </w:rPr>
              <w:t>receptor</w:t>
            </w:r>
          </w:p>
        </w:tc>
      </w:tr>
      <w:tr>
        <w:tblPrEx>
          <w:tblCellMar>
            <w:top w:w="0" w:type="dxa"/>
            <w:left w:w="108" w:type="dxa"/>
            <w:bottom w:w="0" w:type="dxa"/>
            <w:right w:w="108" w:type="dxa"/>
          </w:tblCellMar>
        </w:tblPrEx>
        <w:trPr>
          <w:trHeight w:val="270" w:hRule="atLeast"/>
          <w:jc w:val="center"/>
        </w:trPr>
        <w:tc>
          <w:tcPr>
            <w:tcW w:w="0" w:type="auto"/>
            <w:tcBorders>
              <w:top w:val="single" w:color="auto" w:sz="4" w:space="0"/>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Müller glia</w:t>
            </w:r>
          </w:p>
        </w:tc>
        <w:tc>
          <w:tcPr>
            <w:tcW w:w="0" w:type="auto"/>
            <w:tcBorders>
              <w:top w:val="single" w:color="auto" w:sz="4" w:space="0"/>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Bipolar cells</w:t>
            </w:r>
          </w:p>
        </w:tc>
        <w:tc>
          <w:tcPr>
            <w:tcW w:w="0" w:type="auto"/>
            <w:tcBorders>
              <w:top w:val="single" w:color="auto" w:sz="4" w:space="0"/>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Igf2</w:t>
            </w:r>
          </w:p>
        </w:tc>
        <w:tc>
          <w:tcPr>
            <w:tcW w:w="0" w:type="auto"/>
            <w:tcBorders>
              <w:top w:val="single" w:color="auto" w:sz="4" w:space="0"/>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Igf1r</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Müller glia</w:t>
            </w:r>
          </w:p>
        </w:tc>
        <w:tc>
          <w:tcPr>
            <w:tcW w:w="0" w:type="auto"/>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Cones</w:t>
            </w:r>
          </w:p>
        </w:tc>
        <w:tc>
          <w:tcPr>
            <w:tcW w:w="0" w:type="auto"/>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Igf2</w:t>
            </w:r>
          </w:p>
        </w:tc>
        <w:tc>
          <w:tcPr>
            <w:tcW w:w="0" w:type="auto"/>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Igf1r</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Müller glia</w:t>
            </w:r>
          </w:p>
        </w:tc>
        <w:tc>
          <w:tcPr>
            <w:tcW w:w="0" w:type="auto"/>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Microglia</w:t>
            </w:r>
          </w:p>
        </w:tc>
        <w:tc>
          <w:tcPr>
            <w:tcW w:w="0" w:type="auto"/>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Igf2</w:t>
            </w:r>
          </w:p>
        </w:tc>
        <w:tc>
          <w:tcPr>
            <w:tcW w:w="0" w:type="auto"/>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Igf1r</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Müller glia</w:t>
            </w:r>
          </w:p>
        </w:tc>
        <w:tc>
          <w:tcPr>
            <w:tcW w:w="0" w:type="auto"/>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Müller glia</w:t>
            </w:r>
          </w:p>
        </w:tc>
        <w:tc>
          <w:tcPr>
            <w:tcW w:w="0" w:type="auto"/>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Igf2</w:t>
            </w:r>
          </w:p>
        </w:tc>
        <w:tc>
          <w:tcPr>
            <w:tcW w:w="0" w:type="auto"/>
            <w:tcBorders>
              <w:top w:val="nil"/>
              <w:left w:val="nil"/>
              <w:bottom w:val="nil"/>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Igf1r</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Müller glia</w:t>
            </w:r>
          </w:p>
        </w:tc>
        <w:tc>
          <w:tcPr>
            <w:tcW w:w="0" w:type="auto"/>
            <w:tcBorders>
              <w:top w:val="nil"/>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Pericytes</w:t>
            </w:r>
          </w:p>
        </w:tc>
        <w:tc>
          <w:tcPr>
            <w:tcW w:w="0" w:type="auto"/>
            <w:tcBorders>
              <w:top w:val="nil"/>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Igf2</w:t>
            </w:r>
          </w:p>
        </w:tc>
        <w:tc>
          <w:tcPr>
            <w:tcW w:w="0" w:type="auto"/>
            <w:tcBorders>
              <w:top w:val="nil"/>
              <w:left w:val="nil"/>
              <w:bottom w:val="single" w:color="auto" w:sz="4" w:space="0"/>
              <w:right w:val="nil"/>
            </w:tcBorders>
            <w:shd w:val="clear" w:color="auto" w:fill="auto"/>
            <w:noWrap/>
            <w:vAlign w:val="center"/>
          </w:tcPr>
          <w:p>
            <w:pPr>
              <w:widowControl/>
              <w:jc w:val="left"/>
              <w:textAlignment w:val="bottom"/>
              <w:rPr>
                <w:rFonts w:ascii="Times New Roman" w:hAnsi="Times New Roman" w:eastAsia="宋体" w:cs="Times New Roman"/>
                <w:color w:val="000000"/>
                <w:kern w:val="0"/>
                <w:sz w:val="20"/>
                <w:szCs w:val="20"/>
                <w:lang w:bidi="ar"/>
              </w:rPr>
            </w:pPr>
            <w:r>
              <w:rPr>
                <w:rFonts w:hint="eastAsia" w:ascii="Times New Roman" w:hAnsi="Times New Roman" w:eastAsia="宋体" w:cs="Times New Roman"/>
                <w:color w:val="000000"/>
                <w:kern w:val="0"/>
                <w:sz w:val="20"/>
                <w:szCs w:val="20"/>
                <w:lang w:bidi="ar"/>
              </w:rPr>
              <w:t>Igf1r</w:t>
            </w:r>
          </w:p>
        </w:tc>
      </w:tr>
    </w:tbl>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pStyle w:val="4"/>
        <w:adjustRightInd w:val="0"/>
        <w:snapToGrid w:val="0"/>
        <w:spacing w:before="0" w:line="360" w:lineRule="auto"/>
        <w:rPr>
          <w:rFonts w:ascii="Times New Roman" w:hAnsi="Times New Roman" w:eastAsia="宋体" w:cs="Times New Roman"/>
          <w:kern w:val="0"/>
          <w:sz w:val="28"/>
          <w:szCs w:val="28"/>
        </w:rPr>
      </w:pPr>
    </w:p>
    <w:p>
      <w:pPr>
        <w:pStyle w:val="4"/>
        <w:adjustRightInd w:val="0"/>
        <w:snapToGrid w:val="0"/>
        <w:spacing w:before="0" w:line="360" w:lineRule="auto"/>
        <w:rPr>
          <w:rFonts w:ascii="Times New Roman" w:hAnsi="Times New Roman" w:eastAsia="宋体" w:cs="Times New Roman"/>
          <w:kern w:val="0"/>
          <w:sz w:val="28"/>
          <w:szCs w:val="28"/>
        </w:rPr>
      </w:pPr>
    </w:p>
    <w:p>
      <w:pPr>
        <w:pStyle w:val="4"/>
        <w:adjustRightInd w:val="0"/>
        <w:snapToGrid w:val="0"/>
        <w:spacing w:before="0" w:line="360" w:lineRule="auto"/>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2.1.10、转录因子调控分析</w:t>
      </w:r>
    </w:p>
    <w:p>
      <w:pPr>
        <w:widowControl/>
        <w:adjustRightInd w:val="0"/>
        <w:snapToGrid w:val="0"/>
        <w:spacing w:line="360" w:lineRule="auto"/>
        <w:ind w:firstLine="480" w:firstLineChars="200"/>
        <w:jc w:val="left"/>
        <w:rPr>
          <w:kern w:val="0"/>
          <w:sz w:val="24"/>
        </w:rPr>
      </w:pPr>
      <w:r>
        <w:rPr>
          <w:rFonts w:hint="eastAsia"/>
          <w:kern w:val="0"/>
          <w:sz w:val="24"/>
        </w:rPr>
        <w:t>这里利用</w:t>
      </w:r>
      <w:r>
        <w:rPr>
          <w:kern w:val="0"/>
          <w:sz w:val="24"/>
        </w:rPr>
        <w:t>SCENIC</w:t>
      </w:r>
      <w:r>
        <w:rPr>
          <w:rFonts w:hint="eastAsia"/>
          <w:kern w:val="0"/>
          <w:sz w:val="24"/>
        </w:rPr>
        <w:t>包，根据相应的数据，推断Müller glia中对应各转录因子的调控活性。然后用</w:t>
      </w:r>
      <w:r>
        <w:rPr>
          <w:kern w:val="0"/>
          <w:sz w:val="24"/>
        </w:rPr>
        <w:t>t.test</w:t>
      </w:r>
      <w:r>
        <w:rPr>
          <w:rFonts w:hint="eastAsia"/>
          <w:kern w:val="0"/>
          <w:sz w:val="24"/>
        </w:rPr>
        <w:t>计算组间转录因子的调控活性差异情况（</w:t>
      </w:r>
      <w:r>
        <w:rPr>
          <w:kern w:val="0"/>
          <w:sz w:val="24"/>
        </w:rPr>
        <w:t>| t | &gt; 2, p &lt; 0.05</w:t>
      </w:r>
      <w:r>
        <w:rPr>
          <w:rFonts w:hint="eastAsia"/>
          <w:kern w:val="0"/>
          <w:sz w:val="24"/>
        </w:rPr>
        <w:t>）。</w:t>
      </w:r>
    </w:p>
    <w:p>
      <w:pPr>
        <w:widowControl/>
        <w:spacing w:after="160" w:line="480" w:lineRule="exact"/>
        <w:jc w:val="left"/>
        <w:rPr>
          <w:kern w:val="0"/>
          <w:sz w:val="24"/>
        </w:rPr>
      </w:pPr>
      <w:r>
        <w:rPr>
          <w:rFonts w:hint="eastAsia"/>
          <w:kern w:val="0"/>
          <w:sz w:val="24"/>
        </w:rPr>
        <w:t>结果文件夹：</w:t>
      </w:r>
      <w:r>
        <w:rPr>
          <w:kern w:val="0"/>
          <w:sz w:val="24"/>
        </w:rPr>
        <w:t>scenic</w:t>
      </w:r>
    </w:p>
    <w:p>
      <w:pPr>
        <w:widowControl/>
        <w:spacing w:after="160" w:line="480" w:lineRule="exact"/>
        <w:jc w:val="center"/>
        <w:rPr>
          <w:kern w:val="0"/>
          <w:sz w:val="24"/>
        </w:rPr>
      </w:pPr>
      <w:r>
        <w:rPr>
          <w:rFonts w:hint="eastAsia"/>
          <w:kern w:val="0"/>
          <w:sz w:val="24"/>
        </w:rPr>
        <w:drawing>
          <wp:anchor distT="0" distB="0" distL="114300" distR="114300" simplePos="0" relativeHeight="251659264" behindDoc="0" locked="0" layoutInCell="1" allowOverlap="1">
            <wp:simplePos x="0" y="0"/>
            <wp:positionH relativeFrom="column">
              <wp:posOffset>1083945</wp:posOffset>
            </wp:positionH>
            <wp:positionV relativeFrom="paragraph">
              <wp:posOffset>64770</wp:posOffset>
            </wp:positionV>
            <wp:extent cx="3249295" cy="3792855"/>
            <wp:effectExtent l="0" t="0" r="8255" b="17145"/>
            <wp:wrapTopAndBottom/>
            <wp:docPr id="33" name="图片 33" descr="STZ_vs_C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TZ_vs_CON_barplot"/>
                    <pic:cNvPicPr>
                      <a:picLocks noChangeAspect="1"/>
                    </pic:cNvPicPr>
                  </pic:nvPicPr>
                  <pic:blipFill>
                    <a:blip r:embed="rId30"/>
                    <a:stretch>
                      <a:fillRect/>
                    </a:stretch>
                  </pic:blipFill>
                  <pic:spPr>
                    <a:xfrm>
                      <a:off x="0" y="0"/>
                      <a:ext cx="3249295" cy="3792855"/>
                    </a:xfrm>
                    <a:prstGeom prst="rect">
                      <a:avLst/>
                    </a:prstGeom>
                  </pic:spPr>
                </pic:pic>
              </a:graphicData>
            </a:graphic>
          </wp:anchor>
        </w:drawing>
      </w:r>
      <w:r>
        <w:rPr>
          <w:rFonts w:hint="eastAsia"/>
          <w:kern w:val="0"/>
          <w:sz w:val="24"/>
        </w:rPr>
        <w:t>Müller glia</w:t>
      </w:r>
      <w:r>
        <w:rPr>
          <w:rFonts w:hint="eastAsia"/>
          <w:sz w:val="22"/>
        </w:rPr>
        <w:t xml:space="preserve"> 细胞中组间scenic得分差异图（t绝对值top50）</w:t>
      </w:r>
    </w:p>
    <w:p>
      <w:pPr>
        <w:widowControl/>
        <w:adjustRightInd w:val="0"/>
        <w:snapToGrid w:val="0"/>
        <w:spacing w:line="360" w:lineRule="auto"/>
        <w:jc w:val="center"/>
        <w:rPr>
          <w:kern w:val="0"/>
          <w:sz w:val="24"/>
        </w:rPr>
      </w:pPr>
      <w:r>
        <w:rPr>
          <w:rFonts w:hint="eastAsia"/>
          <w:kern w:val="0"/>
          <w:sz w:val="24"/>
        </w:rPr>
        <w:drawing>
          <wp:inline distT="0" distB="0" distL="114300" distR="114300">
            <wp:extent cx="4349750" cy="2536825"/>
            <wp:effectExtent l="0" t="0" r="12700" b="15875"/>
            <wp:docPr id="34" name="图片 34" descr="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oxplot"/>
                    <pic:cNvPicPr>
                      <a:picLocks noChangeAspect="1"/>
                    </pic:cNvPicPr>
                  </pic:nvPicPr>
                  <pic:blipFill>
                    <a:blip r:embed="rId31"/>
                    <a:stretch>
                      <a:fillRect/>
                    </a:stretch>
                  </pic:blipFill>
                  <pic:spPr>
                    <a:xfrm>
                      <a:off x="0" y="0"/>
                      <a:ext cx="4349750" cy="2536825"/>
                    </a:xfrm>
                    <a:prstGeom prst="rect">
                      <a:avLst/>
                    </a:prstGeom>
                  </pic:spPr>
                </pic:pic>
              </a:graphicData>
            </a:graphic>
          </wp:inline>
        </w:drawing>
      </w:r>
    </w:p>
    <w:p>
      <w:pPr>
        <w:adjustRightInd w:val="0"/>
        <w:snapToGrid w:val="0"/>
        <w:spacing w:line="360" w:lineRule="auto"/>
        <w:jc w:val="center"/>
        <w:rPr>
          <w:sz w:val="22"/>
        </w:rPr>
      </w:pPr>
      <w:r>
        <w:rPr>
          <w:rFonts w:hint="eastAsia"/>
          <w:sz w:val="22"/>
        </w:rPr>
        <w:t>Müller</w:t>
      </w:r>
      <w:r>
        <w:rPr>
          <w:rFonts w:hint="eastAsia"/>
          <w:kern w:val="0"/>
          <w:sz w:val="24"/>
        </w:rPr>
        <w:t xml:space="preserve"> glia</w:t>
      </w:r>
      <w:r>
        <w:rPr>
          <w:rFonts w:hint="eastAsia"/>
          <w:sz w:val="22"/>
        </w:rPr>
        <w:t>细胞DR与对照差异基因的转录因子差异结果图</w:t>
      </w:r>
    </w:p>
    <w:p>
      <w:pPr>
        <w:widowControl/>
        <w:jc w:val="left"/>
        <w:rPr>
          <w:b/>
          <w:kern w:val="0"/>
          <w:sz w:val="32"/>
          <w:szCs w:val="32"/>
        </w:rPr>
      </w:pPr>
      <w:r>
        <w:rPr>
          <w:b/>
          <w:sz w:val="32"/>
          <w:szCs w:val="32"/>
        </w:rPr>
        <w:t>参考文献</w:t>
      </w:r>
    </w:p>
    <w:p>
      <w:pPr>
        <w:pStyle w:val="13"/>
      </w:pPr>
      <w:r>
        <w:fldChar w:fldCharType="begin"/>
      </w:r>
      <w:r>
        <w:instrText xml:space="preserve"> ADDIN EN.REFLIST </w:instrText>
      </w:r>
      <w:r>
        <w:fldChar w:fldCharType="separate"/>
      </w:r>
      <w:r>
        <w:t>[1]</w:t>
      </w:r>
      <w:r>
        <w:tab/>
      </w:r>
      <w:r>
        <w:t>LUN A T L, RIESENFELD S, ANDREWS T, et al. EmptyDrops: distinguishing cells from empty droplets in droplet-based single-cell RNA sequencing data [J]. Genome Biology, 2019, 20(1): 63.</w:t>
      </w:r>
    </w:p>
    <w:p>
      <w:pPr>
        <w:pStyle w:val="13"/>
      </w:pPr>
      <w:r>
        <w:t>[2]</w:t>
      </w:r>
      <w:r>
        <w:tab/>
      </w:r>
      <w:r>
        <w:t>MCCARTHY D J, CAMPBELL K R, LUN A T L, et al. Scater: pre-processing, quality control, normalization and visualization of single-cell RNA-seq data in R [J]. Bioinformatics (Oxford, England), 2017, 33(8): 1179-86.</w:t>
      </w:r>
    </w:p>
    <w:p>
      <w:pPr>
        <w:pStyle w:val="13"/>
      </w:pPr>
      <w:r>
        <w:t>[3]</w:t>
      </w:r>
      <w:r>
        <w:tab/>
      </w:r>
      <w:r>
        <w:t>HAO Y, HAO S, ANDERSEN-NISSEN E, et al. Integrated analysis of multimodal single-cell data [J]. bioRxiv, 2020, 2020.10.12.335331.</w:t>
      </w:r>
    </w:p>
    <w:p>
      <w:pPr>
        <w:pStyle w:val="13"/>
      </w:pPr>
      <w:r>
        <w:t>[4]</w:t>
      </w:r>
      <w:r>
        <w:tab/>
      </w:r>
      <w:r>
        <w:t xml:space="preserve">PUTHUMANA J, THIESSEN-PHILBROOK H, XU L, et al. Biomarkers of inflammation and repair in kidney disease progression [J]. The Journal of Clinical Investigation, 2021, 131(3): </w:t>
      </w:r>
    </w:p>
    <w:p>
      <w:pPr>
        <w:pStyle w:val="13"/>
      </w:pPr>
      <w:r>
        <w:fldChar w:fldCharType="end"/>
      </w:r>
      <w:r>
        <w:t>[</w:t>
      </w:r>
      <w:r>
        <w:rPr>
          <w:rFonts w:hint="eastAsia"/>
        </w:rPr>
        <w:t>5</w:t>
      </w:r>
      <w:r>
        <w:t>]</w:t>
      </w:r>
      <w:r>
        <w:tab/>
      </w:r>
      <w:r>
        <w:t>ASHBURNER M, BALL C A, BLAKE J A, et al. Gene ontology: tool for the unification of biology. The Gene Ontology Consortium [J]. Nature genetics, 2000, 25(1): 25-9.</w:t>
      </w:r>
    </w:p>
    <w:p>
      <w:pPr>
        <w:pStyle w:val="13"/>
      </w:pPr>
      <w:r>
        <w:t>[</w:t>
      </w:r>
      <w:r>
        <w:rPr>
          <w:rFonts w:hint="eastAsia"/>
        </w:rPr>
        <w:t>6</w:t>
      </w:r>
      <w:r>
        <w:t>]</w:t>
      </w:r>
      <w:r>
        <w:tab/>
      </w:r>
      <w:r>
        <w:t>KANEHISA M, GOTO S. KEGG: kyoto encyclopedia of genes and genomes [J]. Nucleic acids research, 2000, 28(1): 27-30.</w:t>
      </w:r>
    </w:p>
    <w:p>
      <w:pPr>
        <w:pStyle w:val="13"/>
      </w:pPr>
      <w:r>
        <w:t>[</w:t>
      </w:r>
      <w:r>
        <w:rPr>
          <w:rFonts w:hint="eastAsia"/>
        </w:rPr>
        <w:t>7</w:t>
      </w:r>
      <w:r>
        <w:t>]</w:t>
      </w:r>
      <w:r>
        <w:tab/>
      </w:r>
      <w:r>
        <w:t>JIN S, GUERRERO-JUAREZ C F, ZHANG L, et al. Inference and analysis of cell-cell communication using CellChat [J]. Nature communications, 2021, 12(1): 1088.</w:t>
      </w:r>
    </w:p>
    <w:p>
      <w:pPr>
        <w:pStyle w:val="13"/>
      </w:pPr>
      <w:r>
        <w:t>[</w:t>
      </w:r>
      <w:r>
        <w:rPr>
          <w:rFonts w:hint="eastAsia"/>
        </w:rPr>
        <w:t>8</w:t>
      </w:r>
      <w:r>
        <w:t>]</w:t>
      </w:r>
      <w:r>
        <w:tab/>
      </w:r>
      <w:r>
        <w:t>AIBAR S, GONZÁLEZ-BLAS C B, MOERMAN T, et al. SCENIC: single-cell regulatory network inference and clustering [J]. Nature Methods, 2017, 14(11): 1083-6.</w:t>
      </w: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p>
      <w:pPr>
        <w:widowControl/>
        <w:adjustRightInd w:val="0"/>
        <w:snapToGrid w:val="0"/>
        <w:spacing w:line="360" w:lineRule="auto"/>
        <w:jc w:val="left"/>
        <w:rPr>
          <w:kern w:val="0"/>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B86E20"/>
    <w:multiLevelType w:val="multilevel"/>
    <w:tmpl w:val="11B86E20"/>
    <w:lvl w:ilvl="0" w:tentative="0">
      <w:start w:val="1"/>
      <w:numFmt w:val="decimal"/>
      <w:suff w:val="nothing"/>
      <w:lvlText w:val="%1、"/>
      <w:lvlJc w:val="left"/>
      <w:pPr>
        <w:ind w:left="0" w:firstLine="0"/>
      </w:pPr>
      <w:rPr>
        <w:rFonts w:hint="eastAsia"/>
        <w:b/>
      </w:rPr>
    </w:lvl>
    <w:lvl w:ilvl="1" w:tentative="0">
      <w:start w:val="1"/>
      <w:numFmt w:val="lowerLetter"/>
      <w:lvlText w:val="%2)"/>
      <w:lvlJc w:val="left"/>
      <w:pPr>
        <w:ind w:left="0" w:firstLine="0"/>
      </w:pPr>
      <w:rPr>
        <w:rFonts w:hint="eastAsia"/>
      </w:rPr>
    </w:lvl>
    <w:lvl w:ilvl="2" w:tentative="0">
      <w:start w:val="1"/>
      <w:numFmt w:val="lowerRoman"/>
      <w:lvlText w:val="%3)"/>
      <w:lvlJc w:val="left"/>
      <w:pPr>
        <w:ind w:left="0" w:firstLine="0"/>
      </w:pPr>
      <w:rPr>
        <w:rFonts w:hint="eastAsia"/>
      </w:rPr>
    </w:lvl>
    <w:lvl w:ilvl="3" w:tentative="0">
      <w:start w:val="1"/>
      <w:numFmt w:val="decimal"/>
      <w:lvlText w:val="(%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lef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left"/>
      <w:pPr>
        <w:ind w:left="0" w:firstLine="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cxZTE5NjRmNDRkNzcxMzNjNmFmMTViYjFiMTBmODcifQ=="/>
  </w:docVars>
  <w:rsids>
    <w:rsidRoot w:val="751A5F60"/>
    <w:rsid w:val="000111C7"/>
    <w:rsid w:val="006F1320"/>
    <w:rsid w:val="007F3B75"/>
    <w:rsid w:val="009C72FA"/>
    <w:rsid w:val="0BB4782A"/>
    <w:rsid w:val="18E17D84"/>
    <w:rsid w:val="22FF35CB"/>
    <w:rsid w:val="35C95E6C"/>
    <w:rsid w:val="3E5B06E1"/>
    <w:rsid w:val="41314F0B"/>
    <w:rsid w:val="492B72B8"/>
    <w:rsid w:val="5BB46161"/>
    <w:rsid w:val="608B1F43"/>
    <w:rsid w:val="67DC7CBB"/>
    <w:rsid w:val="716472BC"/>
    <w:rsid w:val="745D6A44"/>
    <w:rsid w:val="751A5F60"/>
    <w:rsid w:val="77E87391"/>
    <w:rsid w:val="7DD55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240" w:after="240" w:line="480" w:lineRule="exact"/>
      <w:jc w:val="center"/>
      <w:outlineLvl w:val="0"/>
    </w:pPr>
    <w:rPr>
      <w:rFonts w:eastAsiaTheme="majorEastAsia"/>
      <w:b/>
      <w:bCs/>
      <w:kern w:val="44"/>
      <w:sz w:val="44"/>
      <w:szCs w:val="44"/>
    </w:rPr>
  </w:style>
  <w:style w:type="paragraph" w:styleId="3">
    <w:name w:val="heading 2"/>
    <w:basedOn w:val="1"/>
    <w:next w:val="1"/>
    <w:unhideWhenUsed/>
    <w:qFormat/>
    <w:uiPriority w:val="9"/>
    <w:pPr>
      <w:widowControl/>
      <w:spacing w:after="160" w:line="259" w:lineRule="auto"/>
      <w:jc w:val="left"/>
      <w:outlineLvl w:val="1"/>
    </w:pPr>
    <w:rPr>
      <w:b/>
      <w:kern w:val="0"/>
      <w:sz w:val="32"/>
      <w:szCs w:val="32"/>
    </w:rPr>
  </w:style>
  <w:style w:type="paragraph" w:styleId="4">
    <w:name w:val="heading 3"/>
    <w:basedOn w:val="1"/>
    <w:next w:val="1"/>
    <w:unhideWhenUsed/>
    <w:qFormat/>
    <w:uiPriority w:val="9"/>
    <w:pPr>
      <w:spacing w:before="240" w:line="480" w:lineRule="exact"/>
      <w:outlineLvl w:val="2"/>
    </w:pPr>
    <w:rPr>
      <w:b/>
      <w:sz w:val="24"/>
    </w:rPr>
  </w:style>
  <w:style w:type="paragraph" w:styleId="5">
    <w:name w:val="heading 4"/>
    <w:basedOn w:val="1"/>
    <w:next w:val="1"/>
    <w:unhideWhenUsed/>
    <w:qFormat/>
    <w:uiPriority w:val="0"/>
    <w:pPr>
      <w:keepNext/>
      <w:keepLines/>
      <w:spacing w:before="50" w:beforeLines="50" w:after="50" w:afterLines="50"/>
      <w:ind w:firstLine="321" w:firstLineChars="100"/>
      <w:outlineLvl w:val="3"/>
    </w:pPr>
    <w:rPr>
      <w:b/>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18"/>
    <w:qFormat/>
    <w:uiPriority w:val="0"/>
    <w:rPr>
      <w:sz w:val="20"/>
      <w:szCs w:val="20"/>
    </w:rPr>
  </w:style>
  <w:style w:type="paragraph" w:styleId="7">
    <w:name w:val="annotation subject"/>
    <w:basedOn w:val="6"/>
    <w:next w:val="6"/>
    <w:link w:val="19"/>
    <w:qFormat/>
    <w:uiPriority w:val="0"/>
    <w:rPr>
      <w:b/>
      <w:bCs/>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unhideWhenUsed/>
    <w:qFormat/>
    <w:uiPriority w:val="99"/>
    <w:rPr>
      <w:color w:val="0000FF"/>
      <w:u w:val="single"/>
    </w:rPr>
  </w:style>
  <w:style w:type="character" w:styleId="12">
    <w:name w:val="annotation reference"/>
    <w:basedOn w:val="10"/>
    <w:qFormat/>
    <w:uiPriority w:val="0"/>
    <w:rPr>
      <w:sz w:val="16"/>
      <w:szCs w:val="16"/>
    </w:rPr>
  </w:style>
  <w:style w:type="paragraph" w:customStyle="1" w:styleId="13">
    <w:name w:val="EndNote Bibliography"/>
    <w:basedOn w:val="1"/>
    <w:qFormat/>
    <w:uiPriority w:val="0"/>
    <w:rPr>
      <w:rFonts w:ascii="Calibri" w:hAnsi="Calibri" w:cs="Calibri"/>
      <w:sz w:val="20"/>
    </w:rPr>
  </w:style>
  <w:style w:type="character" w:customStyle="1" w:styleId="14">
    <w:name w:val="不明显强调1"/>
    <w:qFormat/>
    <w:uiPriority w:val="19"/>
    <w:rPr>
      <w:kern w:val="0"/>
      <w:sz w:val="24"/>
      <w:szCs w:val="24"/>
    </w:rPr>
  </w:style>
  <w:style w:type="paragraph" w:customStyle="1" w:styleId="15">
    <w:name w:val="表格式"/>
    <w:basedOn w:val="5"/>
    <w:next w:val="1"/>
    <w:qFormat/>
    <w:uiPriority w:val="0"/>
    <w:pPr>
      <w:jc w:val="center"/>
    </w:pPr>
    <w:rPr>
      <w:b w:val="0"/>
    </w:rPr>
  </w:style>
  <w:style w:type="paragraph" w:customStyle="1" w:styleId="16">
    <w:name w:val="表格文字"/>
    <w:basedOn w:val="1"/>
    <w:qFormat/>
    <w:uiPriority w:val="0"/>
    <w:pPr>
      <w:bidi/>
      <w:spacing w:line="240" w:lineRule="exact"/>
      <w:jc w:val="center"/>
    </w:pPr>
    <w:rPr>
      <w:sz w:val="20"/>
    </w:rPr>
  </w:style>
  <w:style w:type="paragraph" w:styleId="17">
    <w:name w:val="List Paragraph"/>
    <w:basedOn w:val="1"/>
    <w:qFormat/>
    <w:uiPriority w:val="1"/>
    <w:pPr>
      <w:ind w:left="381" w:hanging="262"/>
    </w:pPr>
  </w:style>
  <w:style w:type="character" w:customStyle="1" w:styleId="18">
    <w:name w:val="批注文字 字符"/>
    <w:basedOn w:val="10"/>
    <w:link w:val="6"/>
    <w:qFormat/>
    <w:uiPriority w:val="0"/>
    <w:rPr>
      <w:rFonts w:asciiTheme="minorHAnsi" w:hAnsiTheme="minorHAnsi" w:eastAsiaTheme="minorEastAsia" w:cstheme="minorBidi"/>
      <w:kern w:val="2"/>
    </w:rPr>
  </w:style>
  <w:style w:type="character" w:customStyle="1" w:styleId="19">
    <w:name w:val="批注主题 字符"/>
    <w:basedOn w:val="18"/>
    <w:link w:val="7"/>
    <w:qFormat/>
    <w:uiPriority w:val="0"/>
    <w:rPr>
      <w:rFonts w:asciiTheme="minorHAnsi" w:hAnsiTheme="minorHAnsi" w:eastAsiaTheme="minorEastAsia" w:cstheme="minorBidi"/>
      <w:b/>
      <w:bCs/>
      <w:kern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2244</Words>
  <Characters>4923</Characters>
  <Lines>112</Lines>
  <Paragraphs>31</Paragraphs>
  <TotalTime>16</TotalTime>
  <ScaleCrop>false</ScaleCrop>
  <LinksUpToDate>false</LinksUpToDate>
  <CharactersWithSpaces>5172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2022-11-30T02:11:00Z</dcterms:created>
  <dc:creator>余天成</dc:creator>
  <cp:lastModifiedBy>小叶子</cp:lastModifiedBy>
  <dcterms:modified xsi:type="dcterms:W3CDTF">2022-12-05T07:41:46Z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4BB0B31962884529B6387313DBEE4A3F</vt:lpwstr>
  </property>
</Properties>
</file>