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9BE94">
      <w:pPr>
        <w:pStyle w:val="7"/>
        <w:numPr>
          <w:ilvl w:val="0"/>
          <w:numId w:val="0"/>
        </w:numPr>
        <w:spacing w:line="360" w:lineRule="auto"/>
        <w:ind w:leftChars="-200"/>
        <w:contextualSpacing/>
        <w:rPr>
          <w:rFonts w:hint="default" w:ascii="宋体" w:hAnsi="宋体" w:eastAsia="宋体" w:cs="宋体"/>
          <w:b/>
          <w:bCs/>
          <w:sz w:val="30"/>
          <w:szCs w:val="30"/>
          <w:lang w:val="en-US" w:eastAsia="zh-CN"/>
        </w:rPr>
      </w:pPr>
      <w:r>
        <w:rPr>
          <w:rFonts w:hint="eastAsia" w:ascii="宋体" w:hAnsi="宋体" w:eastAsia="宋体" w:cs="宋体"/>
          <w:b/>
          <w:bCs/>
          <w:sz w:val="30"/>
          <w:szCs w:val="30"/>
          <w:lang w:val="en-US" w:eastAsia="zh-CN"/>
        </w:rPr>
        <w:t>外地项目终验收提的整改要求：</w:t>
      </w:r>
    </w:p>
    <w:p w14:paraId="527E4143">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lang w:val="en-US" w:eastAsia="zh-CN"/>
        </w:rPr>
        <w:t>伸</w:t>
      </w:r>
      <w:r>
        <w:rPr>
          <w:rFonts w:hint="eastAsia" w:ascii="宋体" w:hAnsi="宋体" w:eastAsia="宋体" w:cs="宋体"/>
          <w:sz w:val="24"/>
          <w:szCs w:val="24"/>
        </w:rPr>
        <w:t>出支腿前，示教器弹窗提醒操作人员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请</w:t>
      </w:r>
      <w:r>
        <w:rPr>
          <w:rFonts w:hint="eastAsia" w:ascii="宋体" w:hAnsi="宋体" w:eastAsia="宋体" w:cs="宋体"/>
          <w:sz w:val="24"/>
          <w:szCs w:val="24"/>
        </w:rPr>
        <w:t>绕车检查支腿伸出路径中有无干涉</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val="en-US" w:eastAsia="zh-CN"/>
        </w:rPr>
        <w:t>弹窗带30秒倒计时，计时结束后点击弹窗下侧的控键“控键信息：检查完成！”，方可关闭弹窗，关闭弹窗后才可以继续操作设备</w:t>
      </w:r>
      <w:r>
        <w:rPr>
          <w:rFonts w:hint="eastAsia" w:ascii="宋体" w:hAnsi="宋体" w:eastAsia="宋体" w:cs="宋体"/>
          <w:sz w:val="24"/>
          <w:szCs w:val="24"/>
        </w:rPr>
        <w:t>；</w:t>
      </w:r>
    </w:p>
    <w:p w14:paraId="4736A0C0">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rPr>
        <w:t>升降车粘贴专用标识：“辅助装配系统维护专用升降车”、“请勿挪作他用”；</w:t>
      </w:r>
    </w:p>
    <w:p w14:paraId="2D13AC83">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rPr>
        <w:t>工控屏支架限位需更改，避免工控屏进入回转区域，在平衡吊回转过程中与立柱相碰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粘贴标识“立柱回转前，需将屏挪至AGV轮廓外！”。选中立柱回转轴的控制时，弹窗提示“请检查并将工控屏挪至AGV轮廓外侧！”，弹窗无倒计时，弹窗后三秒自动关闭</w:t>
      </w:r>
      <w:r>
        <w:rPr>
          <w:rFonts w:hint="eastAsia" w:ascii="宋体" w:hAnsi="宋体" w:eastAsia="宋体" w:cs="宋体"/>
          <w:sz w:val="24"/>
          <w:szCs w:val="24"/>
        </w:rPr>
        <w:t>；</w:t>
      </w:r>
    </w:p>
    <w:p w14:paraId="6CD5AC9D">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rPr>
        <w:t>工控屏</w:t>
      </w:r>
      <w:r>
        <w:rPr>
          <w:rFonts w:hint="eastAsia" w:ascii="宋体" w:hAnsi="宋体" w:eastAsia="宋体" w:cs="宋体"/>
          <w:sz w:val="24"/>
          <w:szCs w:val="24"/>
          <w:lang w:val="en-US" w:eastAsia="zh-CN"/>
        </w:rPr>
        <w:t>粘贴“工控屏”标识、</w:t>
      </w:r>
      <w:r>
        <w:rPr>
          <w:rFonts w:hint="eastAsia" w:ascii="宋体" w:hAnsi="宋体" w:eastAsia="宋体" w:cs="宋体"/>
          <w:sz w:val="24"/>
          <w:szCs w:val="24"/>
        </w:rPr>
        <w:t>示教器粘贴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示教器</w:t>
      </w:r>
      <w:r>
        <w:rPr>
          <w:rFonts w:hint="eastAsia" w:ascii="宋体" w:hAnsi="宋体" w:eastAsia="宋体" w:cs="宋体"/>
          <w:sz w:val="24"/>
          <w:szCs w:val="24"/>
          <w:lang w:eastAsia="zh-CN"/>
        </w:rPr>
        <w:t>”</w:t>
      </w:r>
      <w:r>
        <w:rPr>
          <w:rFonts w:hint="eastAsia" w:ascii="宋体" w:hAnsi="宋体" w:eastAsia="宋体" w:cs="宋体"/>
          <w:sz w:val="24"/>
          <w:szCs w:val="24"/>
        </w:rPr>
        <w:t>标识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示教器按键标识；</w:t>
      </w:r>
    </w:p>
    <w:p w14:paraId="37367926">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rPr>
        <w:t>卷扬机与工装快换盘之间的转接件需重新设计，足快换工装安装要求；</w:t>
      </w:r>
    </w:p>
    <w:p w14:paraId="1A2E6F16">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rPr>
        <w:t>快换工装把手重新设计，避免干涉；</w:t>
      </w:r>
    </w:p>
    <w:p w14:paraId="3E06253E">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rPr>
        <w:t>伸缩横梁远端悬挂/粘贴安全警示标志；</w:t>
      </w:r>
    </w:p>
    <w:p w14:paraId="2E5C76C8">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rPr>
        <w:t>软件界面的升降页面显示的高度为顶端高度，需增加工装安装平面的高度；</w:t>
      </w:r>
    </w:p>
    <w:p w14:paraId="4A5423CE">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rPr>
        <w:t>增加前支撑缸；</w:t>
      </w:r>
    </w:p>
    <w:p w14:paraId="3255F0E6">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rPr>
        <w:t>在底盘周边增加线激光定位灯，在地面投射标记出支腿伸出范围；</w:t>
      </w:r>
    </w:p>
    <w:p w14:paraId="2755260A">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rPr>
        <w:t>在载荷吊挂处增加线激光定位灯，在地面投射标记出载荷实时位置。</w:t>
      </w:r>
    </w:p>
    <w:p w14:paraId="568DC114">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rPr>
        <w:t>整体钣金需要配装和修补</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购买大号牛眼滚珠、AGV上的电机罩壳重新设计制造喷塑RAL9003橘纹</w:t>
      </w:r>
      <w:r>
        <w:rPr>
          <w:rFonts w:hint="eastAsia" w:ascii="宋体" w:hAnsi="宋体" w:eastAsia="宋体" w:cs="宋体"/>
          <w:sz w:val="24"/>
          <w:szCs w:val="24"/>
          <w:lang w:eastAsia="zh-CN"/>
        </w:rPr>
        <w:t>）</w:t>
      </w:r>
      <w:r>
        <w:rPr>
          <w:rFonts w:hint="eastAsia" w:ascii="宋体" w:hAnsi="宋体" w:eastAsia="宋体" w:cs="宋体"/>
          <w:sz w:val="24"/>
          <w:szCs w:val="24"/>
        </w:rPr>
        <w:t>；</w:t>
      </w:r>
    </w:p>
    <w:p w14:paraId="15B17099">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lang w:val="en-US" w:eastAsia="zh-CN"/>
        </w:rPr>
        <w:t>两个工控屏</w:t>
      </w:r>
      <w:r>
        <w:rPr>
          <w:rFonts w:hint="eastAsia" w:ascii="宋体" w:hAnsi="宋体" w:eastAsia="宋体" w:cs="宋体"/>
          <w:sz w:val="24"/>
          <w:szCs w:val="24"/>
        </w:rPr>
        <w:t>位置需</w:t>
      </w:r>
      <w:r>
        <w:rPr>
          <w:rFonts w:hint="eastAsia" w:ascii="宋体" w:hAnsi="宋体" w:eastAsia="宋体" w:cs="宋体"/>
          <w:sz w:val="24"/>
          <w:szCs w:val="24"/>
          <w:lang w:val="en-US" w:eastAsia="zh-CN"/>
        </w:rPr>
        <w:t>改至一侧</w:t>
      </w:r>
      <w:r>
        <w:rPr>
          <w:rFonts w:hint="eastAsia" w:ascii="宋体" w:hAnsi="宋体" w:eastAsia="宋体" w:cs="宋体"/>
          <w:sz w:val="24"/>
          <w:szCs w:val="24"/>
        </w:rPr>
        <w:t>；</w:t>
      </w:r>
    </w:p>
    <w:p w14:paraId="561D7524">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rPr>
        <w:t>补立柱钣金丝印；</w:t>
      </w:r>
    </w:p>
    <w:p w14:paraId="49A392D9">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lang w:val="en-US" w:eastAsia="zh-CN"/>
        </w:rPr>
        <w:t>工人在后续使用过程中可能会提出目前还未想到或发现的的一些关于上位机控制部分的问题，响应并优化后续工人提出的关于</w:t>
      </w:r>
      <w:r>
        <w:rPr>
          <w:rFonts w:hint="eastAsia" w:ascii="宋体" w:hAnsi="宋体" w:eastAsia="宋体" w:cs="宋体"/>
          <w:sz w:val="24"/>
          <w:szCs w:val="24"/>
        </w:rPr>
        <w:t>上位机</w:t>
      </w:r>
      <w:r>
        <w:rPr>
          <w:rFonts w:hint="eastAsia" w:ascii="宋体" w:hAnsi="宋体" w:eastAsia="宋体" w:cs="宋体"/>
          <w:sz w:val="24"/>
          <w:szCs w:val="24"/>
          <w:lang w:eastAsia="zh-CN"/>
        </w:rPr>
        <w:t>的</w:t>
      </w:r>
      <w:r>
        <w:rPr>
          <w:rFonts w:hint="eastAsia" w:ascii="宋体" w:hAnsi="宋体" w:eastAsia="宋体" w:cs="宋体"/>
          <w:sz w:val="24"/>
          <w:szCs w:val="24"/>
          <w:lang w:val="en-US" w:eastAsia="zh-CN"/>
        </w:rPr>
        <w:t>问题</w:t>
      </w:r>
      <w:r>
        <w:rPr>
          <w:rFonts w:hint="eastAsia" w:ascii="宋体" w:hAnsi="宋体" w:eastAsia="宋体" w:cs="宋体"/>
          <w:sz w:val="24"/>
          <w:szCs w:val="24"/>
        </w:rPr>
        <w:t>；</w:t>
      </w:r>
    </w:p>
    <w:p w14:paraId="75CAFDD8">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lang w:val="en-US" w:eastAsia="zh-CN"/>
        </w:rPr>
        <w:t>设备开机</w:t>
      </w:r>
      <w:r>
        <w:rPr>
          <w:rFonts w:hint="eastAsia" w:ascii="宋体" w:hAnsi="宋体" w:eastAsia="宋体" w:cs="宋体"/>
          <w:sz w:val="24"/>
          <w:szCs w:val="24"/>
        </w:rPr>
        <w:t>自检完成之后</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先进入</w:t>
      </w:r>
      <w:r>
        <w:rPr>
          <w:rFonts w:hint="eastAsia" w:ascii="宋体" w:hAnsi="宋体" w:eastAsia="宋体" w:cs="宋体"/>
          <w:sz w:val="24"/>
          <w:szCs w:val="24"/>
        </w:rPr>
        <w:t>登录角色管理</w:t>
      </w:r>
      <w:r>
        <w:rPr>
          <w:rFonts w:hint="eastAsia" w:ascii="宋体" w:hAnsi="宋体" w:eastAsia="宋体" w:cs="宋体"/>
          <w:sz w:val="24"/>
          <w:szCs w:val="24"/>
          <w:lang w:val="en-US" w:eastAsia="zh-CN"/>
        </w:rPr>
        <w:t>页面（大致分三类角色，操作人员、设备管理员、厂家，对应设三组密码），选择角色类型并输入对应密码方可进入控制界面来操作设备</w:t>
      </w:r>
      <w:r>
        <w:rPr>
          <w:rFonts w:hint="eastAsia" w:ascii="宋体" w:hAnsi="宋体" w:eastAsia="宋体" w:cs="宋体"/>
          <w:sz w:val="24"/>
          <w:szCs w:val="24"/>
        </w:rPr>
        <w:t>；</w:t>
      </w:r>
    </w:p>
    <w:p w14:paraId="3AE24153">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lang w:val="en-US" w:eastAsia="zh-CN"/>
        </w:rPr>
        <w:t>配合成飞以厂家的角度制作一个操作考核标准（配合搭建一套测试支架）</w:t>
      </w:r>
      <w:r>
        <w:rPr>
          <w:rFonts w:hint="eastAsia" w:ascii="宋体" w:hAnsi="宋体" w:eastAsia="宋体" w:cs="宋体"/>
          <w:sz w:val="24"/>
          <w:szCs w:val="24"/>
        </w:rPr>
        <w:t>；</w:t>
      </w:r>
    </w:p>
    <w:p w14:paraId="340DC3CC">
      <w:pPr>
        <w:pStyle w:val="7"/>
        <w:numPr>
          <w:ilvl w:val="0"/>
          <w:numId w:val="1"/>
        </w:numPr>
        <w:spacing w:line="360" w:lineRule="auto"/>
        <w:ind w:left="420" w:hanging="480" w:hangingChars="200"/>
        <w:contextualSpacing/>
        <w:rPr>
          <w:rFonts w:hint="eastAsia" w:ascii="宋体" w:hAnsi="宋体" w:eastAsia="宋体" w:cs="宋体"/>
          <w:sz w:val="24"/>
          <w:szCs w:val="24"/>
        </w:rPr>
      </w:pPr>
      <w:r>
        <w:rPr>
          <w:rFonts w:hint="eastAsia" w:ascii="宋体" w:hAnsi="宋体" w:eastAsia="宋体" w:cs="宋体"/>
          <w:sz w:val="24"/>
          <w:szCs w:val="24"/>
          <w:lang w:val="en-US" w:eastAsia="zh-CN"/>
        </w:rPr>
        <w:t>详尽并极致细化设备保养手册（细分至零部件级别）、设备操作说明书，说明书</w:t>
      </w:r>
      <w:r>
        <w:rPr>
          <w:rFonts w:hint="eastAsia" w:ascii="宋体" w:hAnsi="宋体" w:eastAsia="宋体" w:cs="宋体"/>
          <w:sz w:val="24"/>
          <w:szCs w:val="24"/>
        </w:rPr>
        <w:t>中需要有</w:t>
      </w:r>
      <w:r>
        <w:rPr>
          <w:rFonts w:hint="eastAsia" w:ascii="宋体" w:hAnsi="宋体" w:eastAsia="宋体" w:cs="宋体"/>
          <w:sz w:val="24"/>
          <w:szCs w:val="24"/>
          <w:lang w:val="en-US" w:eastAsia="zh-CN"/>
        </w:rPr>
        <w:t>在每一步操作之后对设备</w:t>
      </w:r>
      <w:r>
        <w:rPr>
          <w:rFonts w:hint="eastAsia" w:ascii="宋体" w:hAnsi="宋体" w:eastAsia="宋体" w:cs="宋体"/>
          <w:sz w:val="24"/>
          <w:szCs w:val="24"/>
        </w:rPr>
        <w:t>状态</w:t>
      </w:r>
      <w:r>
        <w:rPr>
          <w:rFonts w:hint="eastAsia" w:ascii="宋体" w:hAnsi="宋体" w:eastAsia="宋体" w:cs="宋体"/>
          <w:sz w:val="24"/>
          <w:szCs w:val="24"/>
          <w:lang w:val="en-US" w:eastAsia="zh-CN"/>
        </w:rPr>
        <w:t>进行</w:t>
      </w:r>
      <w:r>
        <w:rPr>
          <w:rFonts w:hint="eastAsia" w:ascii="宋体" w:hAnsi="宋体" w:eastAsia="宋体" w:cs="宋体"/>
          <w:sz w:val="24"/>
          <w:szCs w:val="24"/>
        </w:rPr>
        <w:t>确认</w:t>
      </w:r>
      <w:r>
        <w:rPr>
          <w:rFonts w:hint="eastAsia" w:ascii="宋体" w:hAnsi="宋体" w:eastAsia="宋体" w:cs="宋体"/>
          <w:sz w:val="24"/>
          <w:szCs w:val="24"/>
          <w:lang w:eastAsia="zh-CN"/>
        </w:rPr>
        <w:t>的</w:t>
      </w:r>
      <w:r>
        <w:rPr>
          <w:rFonts w:hint="eastAsia" w:ascii="宋体" w:hAnsi="宋体" w:eastAsia="宋体" w:cs="宋体"/>
          <w:sz w:val="24"/>
          <w:szCs w:val="24"/>
          <w:lang w:val="en-US" w:eastAsia="zh-CN"/>
        </w:rPr>
        <w:t>相关描述</w:t>
      </w:r>
      <w:r>
        <w:rPr>
          <w:rFonts w:hint="eastAsia" w:ascii="宋体" w:hAnsi="宋体" w:eastAsia="宋体" w:cs="宋体"/>
          <w:sz w:val="24"/>
          <w:szCs w:val="24"/>
          <w:lang w:eastAsia="zh-CN"/>
        </w:rPr>
        <w:t>。</w:t>
      </w:r>
    </w:p>
    <w:p w14:paraId="115EEFF3">
      <w:pPr>
        <w:keepNext w:val="0"/>
        <w:keepLines w:val="0"/>
        <w:pageBreakBefore w:val="0"/>
        <w:widowControl w:val="0"/>
        <w:kinsoku/>
        <w:wordWrap/>
        <w:overflowPunct/>
        <w:topLinePunct w:val="0"/>
        <w:autoSpaceDE/>
        <w:autoSpaceDN/>
        <w:bidi w:val="0"/>
        <w:adjustRightInd/>
        <w:snapToGrid/>
        <w:spacing w:line="20" w:lineRule="exact"/>
        <w:textAlignment w:val="auto"/>
        <w:rPr>
          <w:rFonts w:hint="eastAsia" w:ascii="宋体" w:hAnsi="宋体" w:eastAsia="宋体" w:cs="宋体"/>
          <w:sz w:val="24"/>
          <w:szCs w:val="24"/>
        </w:rPr>
      </w:pPr>
      <w:r>
        <w:rPr>
          <w:rFonts w:hint="eastAsia" w:ascii="宋体" w:hAnsi="宋体" w:eastAsia="宋体" w:cs="宋体"/>
          <w:sz w:val="24"/>
          <w:szCs w:val="24"/>
          <w:lang w:eastAsia="zh-CN"/>
        </w:rPr>
        <w:br w:type="page"/>
      </w:r>
    </w:p>
    <w:p w14:paraId="05D9ADF0">
      <w:pPr>
        <w:pStyle w:val="7"/>
        <w:widowControl w:val="0"/>
        <w:numPr>
          <w:ilvl w:val="0"/>
          <w:numId w:val="0"/>
        </w:numPr>
        <w:spacing w:line="360" w:lineRule="auto"/>
        <w:contextualSpacing/>
        <w:jc w:val="both"/>
        <w:rPr>
          <w:rFonts w:hint="default" w:ascii="宋体" w:hAnsi="宋体" w:eastAsia="宋体" w:cs="宋体"/>
          <w:b/>
          <w:bCs/>
          <w:sz w:val="30"/>
          <w:szCs w:val="30"/>
          <w:lang w:val="en-US" w:eastAsia="zh-CN"/>
        </w:rPr>
      </w:pPr>
      <w:r>
        <w:rPr>
          <w:rFonts w:hint="eastAsia" w:ascii="宋体" w:hAnsi="宋体" w:eastAsia="宋体" w:cs="宋体"/>
          <w:b/>
          <w:bCs/>
          <w:sz w:val="30"/>
          <w:szCs w:val="30"/>
          <w:lang w:val="en-US" w:eastAsia="zh-CN"/>
        </w:rPr>
        <w:t>外地项目遗留问题（以下相关问题主要由乔博私下提出、或自行发现，均未在备忘录中记录）：</w:t>
      </w:r>
    </w:p>
    <w:p w14:paraId="4A109EDF">
      <w:pPr>
        <w:pStyle w:val="7"/>
        <w:widowControl w:val="0"/>
        <w:numPr>
          <w:ilvl w:val="0"/>
          <w:numId w:val="2"/>
        </w:numPr>
        <w:spacing w:line="360" w:lineRule="auto"/>
        <w:ind w:left="425" w:leftChars="0" w:hanging="425" w:firstLineChars="0"/>
        <w:contextualSpacing/>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回转支撑齿轮打润滑脂，润滑脂加脂合页门未安装；</w:t>
      </w:r>
    </w:p>
    <w:p w14:paraId="6C9BDED4">
      <w:pPr>
        <w:pStyle w:val="7"/>
        <w:widowControl w:val="0"/>
        <w:numPr>
          <w:ilvl w:val="0"/>
          <w:numId w:val="2"/>
        </w:numPr>
        <w:spacing w:line="360" w:lineRule="auto"/>
        <w:ind w:left="425" w:leftChars="0" w:hanging="425" w:firstLineChars="0"/>
        <w:contextualSpacing/>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屏幕上加十个控键分别控制AGV的前、后、左、右、左前、右前、左后、右后、左回转、右回转；</w:t>
      </w:r>
    </w:p>
    <w:p w14:paraId="1F15DE50">
      <w:pPr>
        <w:pStyle w:val="7"/>
        <w:widowControl w:val="0"/>
        <w:numPr>
          <w:ilvl w:val="0"/>
          <w:numId w:val="2"/>
        </w:numPr>
        <w:spacing w:line="360" w:lineRule="auto"/>
        <w:ind w:left="425" w:leftChars="0" w:hanging="425" w:firstLineChars="0"/>
        <w:contextualSpacing/>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六自由度平台方向标识的粘贴；</w:t>
      </w:r>
    </w:p>
    <w:p w14:paraId="4732B988">
      <w:pPr>
        <w:pStyle w:val="7"/>
        <w:widowControl w:val="0"/>
        <w:numPr>
          <w:ilvl w:val="0"/>
          <w:numId w:val="2"/>
        </w:numPr>
        <w:spacing w:line="360" w:lineRule="auto"/>
        <w:ind w:left="425" w:leftChars="0" w:hanging="425" w:firstLineChars="0"/>
        <w:contextualSpacing/>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示教器UI大调整，按模块或运动轴分页，切换到相关模块的页面下才能对相关模块的运动进行控制；</w:t>
      </w:r>
    </w:p>
    <w:p w14:paraId="0C8E6EEF">
      <w:pPr>
        <w:pStyle w:val="7"/>
        <w:widowControl w:val="0"/>
        <w:numPr>
          <w:ilvl w:val="0"/>
          <w:numId w:val="2"/>
        </w:numPr>
        <w:spacing w:line="360" w:lineRule="auto"/>
        <w:ind w:left="425" w:leftChars="0" w:hanging="425" w:firstLineChars="0"/>
        <w:contextualSpacing/>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增加检测臂倾角的倾角传感器（外地未安装，本地已安装）。在6月10号定版的安全联锁逻辑中，将臂的倾角情况也添加到倾角互锁的判定中，底盘倾角或臂倾角其一项满足触发条件，均触发倾角互锁；</w:t>
      </w:r>
    </w:p>
    <w:p w14:paraId="2E143A4B">
      <w:pPr>
        <w:pStyle w:val="7"/>
        <w:widowControl w:val="0"/>
        <w:numPr>
          <w:ilvl w:val="0"/>
          <w:numId w:val="0"/>
        </w:numPr>
        <w:spacing w:line="360" w:lineRule="auto"/>
        <w:ind w:leftChars="0"/>
        <w:contextualSpacing/>
        <w:jc w:val="both"/>
        <w:rPr>
          <w:rFonts w:hint="eastAsia" w:ascii="宋体" w:hAnsi="宋体" w:eastAsia="宋体" w:cs="宋体"/>
          <w:sz w:val="24"/>
          <w:szCs w:val="24"/>
          <w:lang w:val="en-US" w:eastAsia="zh-CN"/>
        </w:rPr>
      </w:pPr>
      <w:r>
        <w:drawing>
          <wp:inline distT="0" distB="0" distL="114300" distR="114300">
            <wp:extent cx="5273040" cy="252730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2527300"/>
                    </a:xfrm>
                    <a:prstGeom prst="rect">
                      <a:avLst/>
                    </a:prstGeom>
                    <a:noFill/>
                    <a:ln>
                      <a:noFill/>
                    </a:ln>
                  </pic:spPr>
                </pic:pic>
              </a:graphicData>
            </a:graphic>
          </wp:inline>
        </w:drawing>
      </w:r>
    </w:p>
    <w:p w14:paraId="389E24E1">
      <w:pPr>
        <w:pStyle w:val="7"/>
        <w:widowControl w:val="0"/>
        <w:numPr>
          <w:ilvl w:val="0"/>
          <w:numId w:val="2"/>
        </w:numPr>
        <w:spacing w:line="360" w:lineRule="auto"/>
        <w:ind w:left="425" w:leftChars="0" w:hanging="425" w:firstLineChars="0"/>
        <w:contextualSpacing/>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增加一键将六自由度平台校水平的功能。</w:t>
      </w:r>
    </w:p>
    <w:p w14:paraId="5A3777E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bookmarkStart w:id="0" w:name="_GoBack"/>
      <w:bookmarkEnd w:id="0"/>
    </w:p>
    <w:p w14:paraId="78D59084">
      <w:pPr>
        <w:pStyle w:val="7"/>
        <w:widowControl w:val="0"/>
        <w:numPr>
          <w:ilvl w:val="0"/>
          <w:numId w:val="0"/>
        </w:numPr>
        <w:spacing w:line="360" w:lineRule="auto"/>
        <w:ind w:leftChars="0"/>
        <w:contextualSpacing/>
        <w:jc w:val="both"/>
        <w:rPr>
          <w:rFonts w:hint="default" w:ascii="宋体" w:hAnsi="宋体" w:eastAsia="宋体" w:cs="宋体"/>
          <w:b/>
          <w:bCs/>
          <w:sz w:val="30"/>
          <w:szCs w:val="30"/>
          <w:lang w:val="en-US" w:eastAsia="zh-CN"/>
        </w:rPr>
      </w:pPr>
      <w:r>
        <w:rPr>
          <w:rFonts w:hint="eastAsia" w:ascii="宋体" w:hAnsi="宋体" w:eastAsia="宋体" w:cs="宋体"/>
          <w:b/>
          <w:bCs/>
          <w:sz w:val="30"/>
          <w:szCs w:val="30"/>
          <w:lang w:val="en-US" w:eastAsia="zh-CN"/>
        </w:rPr>
        <w:t>本地项目未完成项</w:t>
      </w:r>
    </w:p>
    <w:p w14:paraId="4F490EDC">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外壳钣金、工控屏安装；</w:t>
      </w:r>
    </w:p>
    <w:p w14:paraId="6E426C39">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完成本地四套工装设计；</w:t>
      </w:r>
    </w:p>
    <w:p w14:paraId="71ABE6D1">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完成本地、外地全部工装的仿真（第一次）；</w:t>
      </w:r>
    </w:p>
    <w:p w14:paraId="40CB8995">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依照仿真结果，调整好所有工装数模；</w:t>
      </w:r>
    </w:p>
    <w:p w14:paraId="56F2E12B">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完成调整后的工装数模的二次仿真（第二次）；</w:t>
      </w:r>
    </w:p>
    <w:p w14:paraId="79F79B43">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出图并完成全部本地、外地工装的加工、组装；</w:t>
      </w:r>
    </w:p>
    <w:p w14:paraId="538F4811">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完成舱盖假件的焊接、组装；</w:t>
      </w:r>
    </w:p>
    <w:p w14:paraId="08541DC3">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完成并整理出本地项目机械图纸图册；</w:t>
      </w:r>
    </w:p>
    <w:p w14:paraId="709DBEEA">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完成工装车的设计；</w:t>
      </w:r>
    </w:p>
    <w:p w14:paraId="79DA5B65">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监督工装车的制造、到货；</w:t>
      </w:r>
    </w:p>
    <w:p w14:paraId="038CAE22">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完成420立柱的替换；</w:t>
      </w:r>
    </w:p>
    <w:p w14:paraId="7DFA6DED">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催设备转运车的到货；</w:t>
      </w:r>
    </w:p>
    <w:p w14:paraId="64EFBF89">
      <w:pPr>
        <w:pStyle w:val="7"/>
        <w:widowControl w:val="0"/>
        <w:numPr>
          <w:ilvl w:val="0"/>
          <w:numId w:val="3"/>
        </w:numPr>
        <w:spacing w:line="360" w:lineRule="auto"/>
        <w:ind w:left="425" w:leftChars="0" w:hanging="425" w:firstLineChars="0"/>
        <w:contextualSpacing/>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将自动卷线器集成至卷线车中。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FCB3F9"/>
    <w:multiLevelType w:val="singleLevel"/>
    <w:tmpl w:val="85FCB3F9"/>
    <w:lvl w:ilvl="0" w:tentative="0">
      <w:start w:val="1"/>
      <w:numFmt w:val="decimal"/>
      <w:lvlText w:val="%1."/>
      <w:lvlJc w:val="left"/>
      <w:pPr>
        <w:ind w:left="425" w:hanging="425"/>
      </w:pPr>
      <w:rPr>
        <w:rFonts w:hint="default"/>
      </w:rPr>
    </w:lvl>
  </w:abstractNum>
  <w:abstractNum w:abstractNumId="1">
    <w:nsid w:val="48EA00B4"/>
    <w:multiLevelType w:val="multilevel"/>
    <w:tmpl w:val="48EA00B4"/>
    <w:lvl w:ilvl="0" w:tentative="0">
      <w:start w:val="1"/>
      <w:numFmt w:val="decimal"/>
      <w:suff w:val="space"/>
      <w:lvlText w:val="%1、"/>
      <w:lvlJc w:val="left"/>
      <w:pPr>
        <w:ind w:left="0" w:firstLine="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9F72A89"/>
    <w:multiLevelType w:val="singleLevel"/>
    <w:tmpl w:val="79F72A89"/>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8C6"/>
    <w:rsid w:val="000111B4"/>
    <w:rsid w:val="001577D7"/>
    <w:rsid w:val="0017027A"/>
    <w:rsid w:val="001A7BC1"/>
    <w:rsid w:val="001F1C23"/>
    <w:rsid w:val="00233F7D"/>
    <w:rsid w:val="00255FA4"/>
    <w:rsid w:val="00266CE8"/>
    <w:rsid w:val="00273D25"/>
    <w:rsid w:val="00277F86"/>
    <w:rsid w:val="00287068"/>
    <w:rsid w:val="002E3A6E"/>
    <w:rsid w:val="00336D41"/>
    <w:rsid w:val="003628EF"/>
    <w:rsid w:val="00364FE7"/>
    <w:rsid w:val="0036503D"/>
    <w:rsid w:val="00365E2D"/>
    <w:rsid w:val="003660E7"/>
    <w:rsid w:val="00397080"/>
    <w:rsid w:val="003F0580"/>
    <w:rsid w:val="003F50A3"/>
    <w:rsid w:val="00410D11"/>
    <w:rsid w:val="00453EA7"/>
    <w:rsid w:val="004F44AC"/>
    <w:rsid w:val="00501D99"/>
    <w:rsid w:val="0054480B"/>
    <w:rsid w:val="005775BF"/>
    <w:rsid w:val="005A6ADD"/>
    <w:rsid w:val="006251BD"/>
    <w:rsid w:val="006406F1"/>
    <w:rsid w:val="00656813"/>
    <w:rsid w:val="0068597C"/>
    <w:rsid w:val="006D30BD"/>
    <w:rsid w:val="00706364"/>
    <w:rsid w:val="0075341C"/>
    <w:rsid w:val="007534EF"/>
    <w:rsid w:val="0076295B"/>
    <w:rsid w:val="007A1B77"/>
    <w:rsid w:val="007B6121"/>
    <w:rsid w:val="007D3A64"/>
    <w:rsid w:val="00805DA9"/>
    <w:rsid w:val="008A3E67"/>
    <w:rsid w:val="008B1939"/>
    <w:rsid w:val="008C1BC5"/>
    <w:rsid w:val="008F4427"/>
    <w:rsid w:val="009052DD"/>
    <w:rsid w:val="00906C59"/>
    <w:rsid w:val="00913C53"/>
    <w:rsid w:val="00955C84"/>
    <w:rsid w:val="009B20DD"/>
    <w:rsid w:val="009E365A"/>
    <w:rsid w:val="009F18ED"/>
    <w:rsid w:val="00A3151B"/>
    <w:rsid w:val="00A477AB"/>
    <w:rsid w:val="00AC7E2D"/>
    <w:rsid w:val="00AE0AC3"/>
    <w:rsid w:val="00AF3521"/>
    <w:rsid w:val="00B93912"/>
    <w:rsid w:val="00BC5758"/>
    <w:rsid w:val="00C06A02"/>
    <w:rsid w:val="00C32B16"/>
    <w:rsid w:val="00C66489"/>
    <w:rsid w:val="00C8503C"/>
    <w:rsid w:val="00CA15BC"/>
    <w:rsid w:val="00CC3604"/>
    <w:rsid w:val="00CC65E1"/>
    <w:rsid w:val="00CD0A25"/>
    <w:rsid w:val="00CE4E6F"/>
    <w:rsid w:val="00D226D7"/>
    <w:rsid w:val="00D25694"/>
    <w:rsid w:val="00D619B3"/>
    <w:rsid w:val="00D65938"/>
    <w:rsid w:val="00D66D14"/>
    <w:rsid w:val="00D671A2"/>
    <w:rsid w:val="00D74B95"/>
    <w:rsid w:val="00DB18C6"/>
    <w:rsid w:val="00DE303C"/>
    <w:rsid w:val="00E40CF8"/>
    <w:rsid w:val="00E5576B"/>
    <w:rsid w:val="00E55FB6"/>
    <w:rsid w:val="00F62F66"/>
    <w:rsid w:val="00F7164A"/>
    <w:rsid w:val="00F90BA7"/>
    <w:rsid w:val="00FD61A9"/>
    <w:rsid w:val="059B085F"/>
    <w:rsid w:val="06640499"/>
    <w:rsid w:val="0789495F"/>
    <w:rsid w:val="09DE1061"/>
    <w:rsid w:val="0CFC24A9"/>
    <w:rsid w:val="1F805FAE"/>
    <w:rsid w:val="26CC3C2A"/>
    <w:rsid w:val="271140C2"/>
    <w:rsid w:val="29A9603F"/>
    <w:rsid w:val="2B076FF0"/>
    <w:rsid w:val="2D1064F8"/>
    <w:rsid w:val="2D297B03"/>
    <w:rsid w:val="35575A1C"/>
    <w:rsid w:val="3FF54D36"/>
    <w:rsid w:val="41B31835"/>
    <w:rsid w:val="41DA1E47"/>
    <w:rsid w:val="434D1973"/>
    <w:rsid w:val="43D55E57"/>
    <w:rsid w:val="44E952E8"/>
    <w:rsid w:val="45FE4346"/>
    <w:rsid w:val="496207FA"/>
    <w:rsid w:val="4ADB7F95"/>
    <w:rsid w:val="4B493790"/>
    <w:rsid w:val="4CC95382"/>
    <w:rsid w:val="4DCA1DF3"/>
    <w:rsid w:val="53F577CC"/>
    <w:rsid w:val="5854137F"/>
    <w:rsid w:val="5B914AE3"/>
    <w:rsid w:val="5D191F0A"/>
    <w:rsid w:val="603D7DB0"/>
    <w:rsid w:val="62684A55"/>
    <w:rsid w:val="6BCC356B"/>
    <w:rsid w:val="70D7237B"/>
    <w:rsid w:val="745D4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 w:type="character" w:styleId="10">
    <w:name w:val="Placeholder Text"/>
    <w:basedOn w:val="6"/>
    <w:semiHidden/>
    <w:qFormat/>
    <w:uiPriority w:val="99"/>
    <w:rPr>
      <w:color w:val="66666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1230</Words>
  <Characters>1251</Characters>
  <Lines>3</Lines>
  <Paragraphs>1</Paragraphs>
  <TotalTime>37</TotalTime>
  <ScaleCrop>false</ScaleCrop>
  <LinksUpToDate>false</LinksUpToDate>
  <CharactersWithSpaces>1251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2025-09-29T10:17:00Z</dcterms:created>
  <dc:creator>道 知</dc:creator>
  <cp:lastModifiedBy>王豪</cp:lastModifiedBy>
  <dcterms:modified xsi:type="dcterms:W3CDTF">2026-08-19T09:55:24Z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eyJoZGlkIjoiZjYzNDQ3ZjliNjEyNTk1MTEwMTRjZmY2MmFjYzQ0ZmIiLCJ1c2VySWQiOiI0MDEyNTM5NzAifQ==</vt:lpwstr>
  </property>
  <property fmtid="{D5CDD505-2E9C-101B-9397-08002B2CF9AE}" pid="3" name="KSOProductBuildVer">
    <vt:lpwstr>2052-12.1.0.28043</vt:lpwstr>
  </property>
  <property fmtid="{D5CDD505-2E9C-101B-9397-08002B2CF9AE}" pid="4" name="ICV">
    <vt:lpwstr>1ED9159CDCE04507A504A577301BBBA2_12</vt:lpwstr>
  </property>
</Properties>
</file>