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olor w:val="B22222"/>
          <w:sz w:val="36"/>
          <w:szCs w:val="36"/>
        </w:rPr>
        <w:t xml:space="preserve">RED CELL SOLUTIONS</w:t>
      </w:r>
    </w:p>
    <w:p>
      <w:pPr>
        <w:spacing w:after="200" w:before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Physical Security  |  Social Engineering  |  Security Training</w:t>
      </w:r>
    </w:p>
    <w:p>
      <w:pPr>
        <w:pBdr>
          <w:bottom w:val="single" w:color="B22222" w:sz="6" w:space="1"/>
        </w:pBdr>
        <w:spacing w:after="300" w:before="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INCIDENT RESPONSE READINESS ASSESSMENT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IR Plans  •  Communication Chains  •  Evidence Preservation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Evaluation of your incident response documentation, communication protocols, and team readiness to execute under pressure.</w:t>
      </w:r>
    </w:p>
    <w:p>
      <w:pPr>
        <w:pBdr>
          <w:bottom w:val="single" w:color="B22222" w:sz="6" w:space="1"/>
        </w:pBdr>
        <w:spacing w:after="3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STANDARD LEAD TIME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4–6 Weeks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INVESTMENT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$45,000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TOTAL CHECKPOINTS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89 Items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ASSESSMENT CATEGORIES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6 Sections</w:t>
            </w:r>
          </w:p>
        </w:tc>
      </w:tr>
    </w:tbl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INTERNAL DOCUMENT  —  ASSESSMENT CHECKLIST</w:t>
      </w: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PLAN REVIEW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60" w:before="180"/>
        <w:ind w:left="1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1.1  IR Readiness Score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Evaluate existence and completeness of a formal, written IR plan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Assess plan version control and date of last revision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Score plan against NIST SP 800-61 framework requirements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Score plan against ISO/IEC 27035 incident management standard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Evaluate alignment with SANS Incident Handler’s methodology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Identify missing or incomplete sections within the current plan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Assess clarity and specificity of roles, responsibilities, and authority levels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Review plan distribution and accessibility to key personnel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Evaluate plan integration with business continuity and disaster recovery programs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Generate composite IR Readiness Score (0–100 scale)</w:t>
      </w:r>
    </w:p>
    <w:p>
      <w:pPr>
        <w:spacing w:after="60" w:before="180"/>
        <w:ind w:left="1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1.2  Industry Benchmark Comparison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Compare IR readiness score to industry vertical benchmarks (e.g., finance, healthcare, critical infrastructure)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Benchmark against organizations of similar size and complexity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Identify gap areas where the organization falls below industry median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Assess maturity level relative to peers (Initial, Developing, Defined, Managed, Optimized)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Provide percentile ranking within the relevant sector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Document strengths that exceed industry norms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ESCALATION PATHS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60" w:before="180"/>
        <w:ind w:left="1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2.1  Contact Points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Map all internal escalation tiers (Tier 1 through executive leadership)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Verify primary and backup contacts for each tier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Document after-hours and weekend escalation procedures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Validate contact information accuracy (phone, email, secondary channels)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Assess communication platform redundancy (primary, failover, out-of-band)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Evaluate escalation trigger criteria and decision thresholds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Review external escalation paths (legal counsel, law enforcement, regulators, CISA)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Verify vendor and third-party incident support contacts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Assess notification requirements for cyber insurance carrier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Document media and public relations escalation contacts</w:t>
      </w:r>
    </w:p>
    <w:p>
      <w:pPr>
        <w:spacing w:after="60" w:before="180"/>
        <w:ind w:left="1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2.2  Key Individuals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Identify incident commander and alternates with documented authority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Map IR team membership across all functional areas (IT, Legal, HR, Comms, Exec)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Verify current employment status and availability of all listed personnel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Assess cross-training and succession planning for key IR roles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Document security clearance or access level requirements for IR participants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Review on-call rotation schedules and response time expectations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Evaluate decision-making authority matrix for incident classification levels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CHAIN OF CUSTODY PROCEDURES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60" w:before="180"/>
        <w:ind w:left="1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3.1  Evidence Preservation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Assess procedures for isolating affected systems without altering evidence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Verify write-blocking protocols for forensic imaging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Evaluate memory capture procedures (volatile data acquisition)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Review network traffic capture and log preservation methods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Assess cryptographic hashing procedures for evidence integrity verification (MD5, SHA-256)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Evaluate cloud environment evidence preservation procedures</w:t>
      </w:r>
    </w:p>
    <w:p>
      <w:pPr>
        <w:spacing w:after="60" w:before="180"/>
        <w:ind w:left="1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3.2  Evidence Handling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Review access controls for evidence storage areas (physical and digital)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Assess personnel authorization and need-to-know policies for evidence access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Verify use of tamper-evident bags, seals, and containers for physical evidence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Evaluate digital evidence access logging and audit trail mechanisms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Review procedures for handling and documenting evidence contamination or compromise</w:t>
      </w:r>
    </w:p>
    <w:p>
      <w:pPr>
        <w:spacing w:after="60" w:before="180"/>
        <w:ind w:left="1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3.3  Evidence Collection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Assess standardized forensic acquisition toolkits and their validation status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Evaluate order-of-volatility procedures for prioritized data capture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Review live system triage and collection procedures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Assess endpoint, server, and network device collection methodologies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Verify forensic imaging verification procedures (hash comparison)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Evaluate mobile device and IoT evidence collection capabilities</w:t>
      </w:r>
    </w:p>
    <w:p>
      <w:pPr>
        <w:spacing w:after="60" w:before="180"/>
        <w:ind w:left="1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3.4  Evidence Storage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Review physical evidence locker security and environmental controls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Assess digital evidence repository access controls and encryption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Evaluate storage media integrity monitoring and redundancy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Verify retention policy alignment with legal, regulatory, and insurance requirements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Assess long-term storage media reliability and format obsolescence planning</w:t>
      </w:r>
    </w:p>
    <w:p>
      <w:pPr>
        <w:spacing w:after="60" w:before="180"/>
        <w:ind w:left="1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3.5  Evidence Logging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Review evidence intake log format and required fields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Verify unique evidence identifier assignment procedures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Assess transfer-of-custody documentation completeness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Evaluate timestamping accuracy and synchronization with authoritative time sources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Review audit trail completeness for all evidence interactions</w:t>
      </w:r>
    </w:p>
    <w:p>
      <w:pPr>
        <w:spacing w:after="60" w:before="180"/>
        <w:ind w:left="1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3.6  Evidence Transportation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Assess secure transportation procedures for physical evidence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Review chain-of-custody documentation during transport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Evaluate encrypted transfer procedures for digital evidence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Verify courier and shipping security requirements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Assess cross-jurisdictional evidence transfer compliance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READINESS EVALUATION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60" w:before="180"/>
        <w:ind w:left="1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4.1  Timeframe Requirements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Evaluate initial detection-to-triage target timeframe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Assess containment response time objectives by incident severity level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Review regulatory notification deadlines (GDPR 72-hr, SEC 4-day, state breach laws)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Verify internal executive notification timeframes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Assess evidence collection initiation targets post-detection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Review post-incident review and lessons-learned completion timelines</w:t>
      </w:r>
    </w:p>
    <w:p>
      <w:pPr>
        <w:spacing w:after="60" w:before="180"/>
        <w:ind w:left="1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4.2  Execution Checkpoints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Verify existence of go/no-go decision gates at each IR phase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Assess checkpoint documentation and sign-off procedures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Evaluate real-time status reporting mechanisms during active incidents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Review handoff procedures between IR phases (Detection → Containment → Eradication → Recovery)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Assess parallel workstream coordination checkpoints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Evaluate incident closure criteria and formal sign-off requirements</w:t>
      </w:r>
    </w:p>
    <w:p>
      <w:pPr>
        <w:spacing w:after="60" w:before="180"/>
        <w:ind w:left="1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4.3  IR Plan Execution Capability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Assess team familiarity with the current IR plan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Evaluate availability and functionality of required IR tools and platforms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Review pre-positioned incident response kits (hardware, software, documentation)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Assess remote response capability and secure communication channels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Evaluate integration readiness with SIEM, EDR, and SOAR platforms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Review backup communication procedures if primary channels are compromised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IR PLAN TEMPLATE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60" w:before="180"/>
        <w:ind w:left="1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5.1  Clear Methodology for Creation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Define plan creation framework aligned with NIST SP 800-61 Rev. 2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Establish stakeholder interview and input requirements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Document threat landscape assessment methodology for plan scoping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Define plan review and approval workflow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Establish version control and change management procedures</w:t>
      </w:r>
    </w:p>
    <w:p>
      <w:pPr>
        <w:spacing w:after="60" w:before="180"/>
        <w:ind w:left="1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5.2  Key Details to Consider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Identify organization-specific threat actors and attack vectors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Document critical asset inventory and data classification levels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Map regulatory and compliance obligations affecting incident response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Assess insurance policy requirements and coverage trigger conditions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Document technology stack dependencies and single points of failure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Identify geographical and jurisdictional considerations</w:t>
      </w:r>
    </w:p>
    <w:p>
      <w:pPr>
        <w:spacing w:after="60" w:before="180"/>
        <w:ind w:left="1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5.3  Execution Timeline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Define phase-by-phase timeline for Detection and Analysis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Define phase-by-phase timeline for Containment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Define phase-by-phase timeline for Eradication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Define phase-by-phase timeline for Recovery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Define phase-by-phase timeline for Post-Incident Activity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Establish maximum tolerable downtime (MTD) targets per critical system</w:t>
      </w:r>
    </w:p>
    <w:p>
      <w:pPr>
        <w:spacing w:after="60" w:before="180"/>
        <w:ind w:left="1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5.4  Key Man Checklist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Document incident commander responsibilities and authority scope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Define technical lead responsibilities for forensic and containment actions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Define communications lead responsibilities for internal and external messaging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Document legal counsel responsibilities and engagement triggers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Define executive sponsor responsibilities and decision authority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Establish backup designees for every key role</w:t>
      </w:r>
    </w:p>
    <w:p>
      <w:pPr>
        <w:spacing w:after="60" w:before="180"/>
        <w:ind w:left="1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5.5  Escalation Paths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Template internal escalation matrix by incident severity (Low, Medium, High, Critical)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Template external escalation contacts (legal, law enforcement, regulators)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Define automated escalation triggers and alerting rules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Document board-level and C-suite notification criteria</w:t>
      </w:r>
    </w:p>
    <w:p>
      <w:pPr>
        <w:spacing w:after="60" w:before="180"/>
        <w:ind w:left="1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5.6  Evidence Collection Procedure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Template standardized evidence collection forms and checklists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Define forensic tool requirements and approved tool list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Document step-by-step acquisition procedures for common evidence types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Template chain-of-custody log with required fields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Define evidence packaging, labeling, and sealing standards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TABLETOP EXERCISES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60" w:before="180"/>
        <w:ind w:left="1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6.1  Mock Breaches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Conduct ransomware attack simulation with encryption of critical systems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Conduct data exfiltration scenario involving sensitive PII/PHI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Conduct insider threat scenario with privileged account compromise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Conduct supply chain compromise scenario targeting third-party software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Conduct business email compromise (BEC) scenario targeting executive accounts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Evaluate team communication effectiveness under simulated pressure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Assess decision-making speed and accuracy at each escalation tier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Test evidence preservation procedures under time constraints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Evaluate coordination between internal teams and external partners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Document identified gaps, response time delays, and procedural breakdowns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Generate after-action report with prioritized remediation recommendations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Score team performance against predefined readiness benchmarks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 •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b/>
        <w:bCs/>
        <w:color w:val="B22222"/>
        <w:sz w:val="16"/>
        <w:szCs w:val="16"/>
      </w:rPr>
      <w:t xml:space="preserve">RED CELL SOLUTIONS</w:t>
    </w:r>
    <w:r>
      <w:rPr>
        <w:rFonts w:ascii="Arial" w:cs="Arial" w:eastAsia="Arial" w:hAnsi="Arial"/>
        <w:color w:val="CCCCCC"/>
        <w:sz w:val="16"/>
        <w:szCs w:val="16"/>
      </w:rPr>
      <w:t xml:space="preserve">  |  </w:t>
    </w:r>
    <w:r>
      <w:rPr>
        <w:rFonts w:ascii="Arial" w:cs="Arial" w:eastAsia="Arial" w:hAnsi="Arial"/>
        <w:color w:val="666666"/>
        <w:sz w:val="16"/>
        <w:szCs w:val="16"/>
      </w:rPr>
      <w:t xml:space="preserve">Incident Response Readiness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2026-03-12T04:58:14.305Z</dcterms:created>
  <dcterms:modified xsi:type="dcterms:W3CDTF">2026-03-12T04:58:14.307Z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