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B22222"/>
          <w:sz w:val="36"/>
          <w:szCs w:val="36"/>
        </w:rPr>
        <w:t xml:space="preserve">RED CELL SOLUTIONS</w:t>
      </w:r>
    </w:p>
    <w:p>
      <w:pPr>
        <w:spacing w:after="200" w:before="60"/>
        <w:jc w:val="center"/>
      </w:pPr>
      <w:r>
        <w:rPr>
          <w:rFonts w:ascii="Arial" w:cs="Arial" w:eastAsia="Arial" w:hAnsi="Arial"/>
          <w:color w:val="666666"/>
          <w:sz w:val="20"/>
          <w:szCs w:val="20"/>
        </w:rPr>
        <w:t xml:space="preserve">Physical Security  |  Social Engineering  |  Security Training</w:t>
      </w:r>
    </w:p>
    <w:p>
      <w:pPr>
        <w:pBdr>
          <w:bottom w:val="single" w:color="B22222" w:sz="6" w:space="1"/>
        </w:pBdr>
        <w:spacing w:after="300" w:before="0"/>
      </w:pPr>
    </w:p>
    <w:p>
      <w:pPr>
        <w:spacing w:after="80" w:before="200"/>
        <w:jc w:val="center"/>
      </w:pPr>
      <w:r>
        <w:rPr>
          <w:rFonts w:ascii="Arial" w:cs="Arial" w:eastAsia="Arial" w:hAnsi="Arial"/>
          <w:b/>
          <w:bCs/>
          <w:color w:val="1B2A4A"/>
          <w:sz w:val="36"/>
          <w:szCs w:val="36"/>
        </w:rPr>
        <w:t xml:space="preserve">PROCEDURAL SECURITY</w:t>
      </w:r>
    </w:p>
    <w:p>
      <w:pPr>
        <w:spacing w:after="80" w:before="0"/>
        <w:jc w:val="center"/>
      </w:pPr>
      <w:r>
        <w:rPr>
          <w:rFonts w:ascii="Arial" w:cs="Arial" w:eastAsia="Arial" w:hAnsi="Arial"/>
          <w:b/>
          <w:bCs/>
          <w:color w:val="1B2A4A"/>
          <w:sz w:val="36"/>
          <w:szCs w:val="36"/>
        </w:rPr>
        <w:t xml:space="preserve">&amp; COMPLIANCE ASSESSMENT</w:t>
      </w:r>
    </w:p>
    <w:p>
      <w:pPr>
        <w:spacing w:after="60" w:before="0"/>
        <w:jc w:val="center"/>
      </w:pPr>
      <w:r>
        <w:rPr>
          <w:rFonts w:ascii="Arial" w:cs="Arial" w:eastAsia="Arial" w:hAnsi="Arial"/>
          <w:i/>
          <w:iCs/>
          <w:color w:val="666666"/>
          <w:sz w:val="22"/>
          <w:szCs w:val="22"/>
        </w:rPr>
        <w:t xml:space="preserve">Analysis of security policies and procedures against applicable regulatory frameworks.</w:t>
      </w:r>
    </w:p>
    <w:p>
      <w:pPr>
        <w:spacing w:after="100" w:before="200"/>
        <w:jc w:val="center"/>
      </w:pPr>
      <w:r>
        <w:rPr>
          <w:rFonts w:ascii="Arial" w:cs="Arial" w:eastAsia="Arial" w:hAnsi="Arial"/>
          <w:color w:val="333333"/>
          <w:sz w:val="20"/>
          <w:szCs w:val="20"/>
        </w:rPr>
        <w:t xml:space="preserve">Comprehensive compliance mapping across HIPAA, SOC 2, ISO 27001, and GDPR requirements. Identifies gaps between current operational practices and compliance obligations, maps current state to required state, and delivers a prioritized remediation roadmap with ready-to-implement policy templates.</w:t>
      </w:r>
    </w:p>
    <w:p>
      <w:pPr>
        <w:pBdr>
          <w:bottom w:val="single" w:color="B22222" w:sz="6" w:space="1"/>
        </w:pBdr>
        <w:spacing w:after="300" w:before="200"/>
      </w:pPr>
    </w:p>
    <w:tbl>
      <w:tblPr>
        <w:tblW w:type="dxa" w:w="9360"/>
        <w:tblBorders>
          <w:top w:val="none" w:sz="0"/>
          <w:left w:val="none" w:sz="0"/>
          <w:bottom w:val="none" w:sz="0"/>
          <w:right w:val="none" w:sz="0"/>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shd w:fill="F7F7F7" w:val="clear"/>
            <w:tcMar>
              <w:top w:type="dxa" w:w="140"/>
              <w:left w:type="dxa" w:w="200"/>
              <w:bottom w:type="dxa" w:w="140"/>
              <w:right w:type="dxa" w:w="200"/>
            </w:tcMar>
          </w:tcPr>
          <w:p>
            <w:pPr>
              <w:spacing w:after="30"/>
            </w:pPr>
            <w:r>
              <w:rPr>
                <w:rFonts w:ascii="Arial" w:cs="Arial" w:eastAsia="Arial" w:hAnsi="Arial"/>
                <w:b/>
                <w:bCs/>
                <w:color w:val="666666"/>
                <w:sz w:val="16"/>
                <w:szCs w:val="16"/>
              </w:rPr>
              <w:t xml:space="preserve">STANDARD LEAD TIME</w:t>
            </w:r>
          </w:p>
          <w:p>
            <w:r>
              <w:rPr>
                <w:rFonts w:ascii="Arial" w:cs="Arial" w:eastAsia="Arial" w:hAnsi="Arial"/>
                <w:b/>
                <w:bCs/>
                <w:color w:val="1B2A4A"/>
                <w:sz w:val="26"/>
                <w:szCs w:val="26"/>
              </w:rPr>
              <w:t xml:space="preserve">2–3 Weeks</w:t>
            </w:r>
          </w:p>
        </w:tc>
        <w:tc>
          <w:tcPr>
            <w:tcW w:type="dxa" w:w="4680"/>
            <w:tcBorders>
              <w:top w:val="none" w:sz="0"/>
              <w:left w:val="none" w:sz="0"/>
              <w:bottom w:val="none" w:sz="0"/>
              <w:right w:val="none" w:sz="0"/>
            </w:tcBorders>
            <w:shd w:fill="F7F7F7" w:val="clear"/>
            <w:tcMar>
              <w:top w:type="dxa" w:w="140"/>
              <w:left w:type="dxa" w:w="200"/>
              <w:bottom w:type="dxa" w:w="140"/>
              <w:right w:type="dxa" w:w="200"/>
            </w:tcMar>
          </w:tcPr>
          <w:p>
            <w:pPr>
              <w:spacing w:after="30"/>
            </w:pPr>
            <w:r>
              <w:rPr>
                <w:rFonts w:ascii="Arial" w:cs="Arial" w:eastAsia="Arial" w:hAnsi="Arial"/>
                <w:b/>
                <w:bCs/>
                <w:color w:val="666666"/>
                <w:sz w:val="16"/>
                <w:szCs w:val="16"/>
              </w:rPr>
              <w:t xml:space="preserve">INVESTMENT</w:t>
            </w:r>
          </w:p>
          <w:p>
            <w:r>
              <w:rPr>
                <w:rFonts w:ascii="Arial" w:cs="Arial" w:eastAsia="Arial" w:hAnsi="Arial"/>
                <w:b/>
                <w:bCs/>
                <w:color w:val="1B2A4A"/>
                <w:sz w:val="26"/>
                <w:szCs w:val="26"/>
              </w:rPr>
              <w:t xml:space="preserve">$55,000</w:t>
            </w:r>
          </w:p>
        </w:tc>
      </w:tr>
      <w:tr>
        <w:tc>
          <w:tcPr>
            <w:tcW w:type="dxa" w:w="4680"/>
            <w:tcBorders>
              <w:top w:val="none" w:sz="0"/>
              <w:left w:val="none" w:sz="0"/>
              <w:bottom w:val="none" w:sz="0"/>
              <w:right w:val="none" w:sz="0"/>
            </w:tcBorders>
            <w:shd w:fill="F7F7F7" w:val="clear"/>
            <w:tcMar>
              <w:top w:type="dxa" w:w="140"/>
              <w:left w:type="dxa" w:w="200"/>
              <w:bottom w:type="dxa" w:w="140"/>
              <w:right w:type="dxa" w:w="200"/>
            </w:tcMar>
          </w:tcPr>
          <w:p>
            <w:pPr>
              <w:spacing w:after="30"/>
            </w:pPr>
            <w:r>
              <w:rPr>
                <w:rFonts w:ascii="Arial" w:cs="Arial" w:eastAsia="Arial" w:hAnsi="Arial"/>
                <w:b/>
                <w:bCs/>
                <w:color w:val="666666"/>
                <w:sz w:val="16"/>
                <w:szCs w:val="16"/>
              </w:rPr>
              <w:t xml:space="preserve">TOTAL CHECKPOINTS</w:t>
            </w:r>
          </w:p>
          <w:p>
            <w:r>
              <w:rPr>
                <w:rFonts w:ascii="Arial" w:cs="Arial" w:eastAsia="Arial" w:hAnsi="Arial"/>
                <w:b/>
                <w:bCs/>
                <w:color w:val="1B2A4A"/>
                <w:sz w:val="26"/>
                <w:szCs w:val="26"/>
              </w:rPr>
              <w:t xml:space="preserve">227 Items</w:t>
            </w:r>
          </w:p>
        </w:tc>
        <w:tc>
          <w:tcPr>
            <w:tcW w:type="dxa" w:w="4680"/>
            <w:tcBorders>
              <w:top w:val="none" w:sz="0"/>
              <w:left w:val="none" w:sz="0"/>
              <w:bottom w:val="none" w:sz="0"/>
              <w:right w:val="none" w:sz="0"/>
            </w:tcBorders>
            <w:shd w:fill="F7F7F7" w:val="clear"/>
            <w:tcMar>
              <w:top w:type="dxa" w:w="140"/>
              <w:left w:type="dxa" w:w="200"/>
              <w:bottom w:type="dxa" w:w="140"/>
              <w:right w:type="dxa" w:w="200"/>
            </w:tcMar>
          </w:tcPr>
          <w:p>
            <w:pPr>
              <w:spacing w:after="30"/>
            </w:pPr>
            <w:r>
              <w:rPr>
                <w:rFonts w:ascii="Arial" w:cs="Arial" w:eastAsia="Arial" w:hAnsi="Arial"/>
                <w:b/>
                <w:bCs/>
                <w:color w:val="666666"/>
                <w:sz w:val="16"/>
                <w:szCs w:val="16"/>
              </w:rPr>
              <w:t xml:space="preserve">ASSESSMENT CATEGORIES</w:t>
            </w:r>
          </w:p>
          <w:p>
            <w:r>
              <w:rPr>
                <w:rFonts w:ascii="Arial" w:cs="Arial" w:eastAsia="Arial" w:hAnsi="Arial"/>
                <w:b/>
                <w:bCs/>
                <w:color w:val="1B2A4A"/>
                <w:sz w:val="26"/>
                <w:szCs w:val="26"/>
              </w:rPr>
              <w:t xml:space="preserve">15 Sections</w:t>
            </w:r>
          </w:p>
        </w:tc>
      </w:tr>
    </w:tbl>
    <w:p>
      <w:pPr>
        <w:spacing w:after="200" w:before="400"/>
        <w:jc w:val="center"/>
      </w:pPr>
      <w:r>
        <w:rPr>
          <w:rFonts w:ascii="Arial" w:cs="Arial" w:eastAsia="Arial" w:hAnsi="Arial"/>
          <w:b/>
          <w:bCs/>
          <w:color w:val="666666"/>
          <w:sz w:val="18"/>
          <w:szCs w:val="18"/>
        </w:rPr>
        <w:t xml:space="preserve">INTERNAL DOCUMENT  —  ASSESSMENT CHECKLIST</w:t>
      </w:r>
    </w:p>
    <w:p>
      <w:r>
        <w:br w:type="page"/>
      </w:r>
    </w:p>
    <w:p>
      <w:pPr>
        <w:spacing w:after="80" w:before="360"/>
      </w:pPr>
      <w:r>
        <w:rPr>
          <w:rFonts w:ascii="Arial" w:cs="Arial" w:eastAsia="Arial" w:hAnsi="Arial"/>
          <w:b/>
          <w:bCs/>
          <w:color w:val="1B2A4A"/>
          <w:sz w:val="26"/>
          <w:szCs w:val="26"/>
        </w:rPr>
        <w:t xml:space="preserve">1. CURRENT POLICY INVENTORY &amp; CLASSIFICATION</w:t>
      </w:r>
    </w:p>
    <w:p>
      <w:pPr>
        <w:pBdr>
          <w:bottom w:val="single" w:color="B22222" w:sz="4" w:space="1"/>
        </w:pBdr>
        <w:spacing w:after="160" w:before="0"/>
      </w:pP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Complete inventory of all existing security policies, procedures, and guidelines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Policy ownership identification (author, approver, department responsible)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Policy version history and revision tracking assessment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Policy effective dates and scheduled review dates audit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Classification of policies by domain (physical, logical, administrative, operational)</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Policy scope verification (who/what each policy applies to)</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Policy accessibility review (where policies are stored, who can access them)</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Policy acknowledgment and signature records audit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Identification of undocumented or informal procedures currently in practice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Cross-reference of existing policies against applicable regulatory requirements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Gap identification: required policies that do not exist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Gap identification: existing policies that are outdated or no longer enforced</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Policy formatting and consistency assessment across all documents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Policy distribution method and employee notification process review</w:t>
      </w:r>
    </w:p>
    <w:p>
      <w:pPr>
        <w:spacing w:after="40" w:before="180"/>
        <w:ind w:left="180"/>
      </w:pPr>
      <w:r>
        <w:rPr>
          <w:rFonts w:ascii="Arial" w:cs="Arial" w:eastAsia="Arial" w:hAnsi="Arial"/>
          <w:b/>
          <w:bCs/>
          <w:i/>
          <w:iCs/>
          <w:color w:val="666666"/>
          <w:sz w:val="18"/>
          <w:szCs w:val="18"/>
        </w:rPr>
        <w:t xml:space="preserve">Notes: </w:t>
      </w:r>
      <w:r>
        <w:rPr>
          <w:rFonts w:ascii="Arial" w:cs="Arial" w:eastAsia="Arial" w:hAnsi="Arial"/>
          <w:color w:val="CCCCCC"/>
          <w:sz w:val="18"/>
          <w:szCs w:val="18"/>
        </w:rPr>
        <w:t xml:space="preserve">_________________________________________________________________________</w:t>
      </w:r>
    </w:p>
    <w:p>
      <w:pPr>
        <w:pBdr>
          <w:bottom w:val="single" w:color="CCCCCC" w:sz="1" w:space="1"/>
        </w:pBdr>
        <w:spacing w:after="80" w:before="80"/>
      </w:pPr>
    </w:p>
    <w:p>
      <w:pPr>
        <w:spacing w:after="80" w:before="360"/>
      </w:pPr>
      <w:r>
        <w:rPr>
          <w:rFonts w:ascii="Arial" w:cs="Arial" w:eastAsia="Arial" w:hAnsi="Arial"/>
          <w:b/>
          <w:bCs/>
          <w:color w:val="1B2A4A"/>
          <w:sz w:val="26"/>
          <w:szCs w:val="26"/>
        </w:rPr>
        <w:t xml:space="preserve">2. CHECK-IN PROCEDURES</w:t>
      </w:r>
    </w:p>
    <w:p>
      <w:pPr>
        <w:pBdr>
          <w:bottom w:val="single" w:color="B22222" w:sz="4" w:space="1"/>
        </w:pBdr>
        <w:spacing w:after="160" w:before="0"/>
      </w:pP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Employee check-in process documentation and workflow mapping</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Visitor check-in process documentation and workflow mapping</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Contractor and vendor check-in process documentation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Identity verification methods at check-in (ID scan, badge tap, visual confirmation)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Check-in log completeness review (name, time, purpose, host, badge issued)</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Digital vs. paper check-in system evaluation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Check-in system integration with access control and badge systems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After-hours and weekend check-in procedure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Emergency and evacuation check-in / accountability procedures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Check-in data retention policy and compliance verification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Check-in process compliance observation (live walkthrough)</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Unauthorized entry attempt handling procedure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Check-in staff training documentation and competency verification</w:t>
      </w:r>
    </w:p>
    <w:p>
      <w:pPr>
        <w:spacing w:after="40" w:before="180"/>
        <w:ind w:left="180"/>
      </w:pPr>
      <w:r>
        <w:rPr>
          <w:rFonts w:ascii="Arial" w:cs="Arial" w:eastAsia="Arial" w:hAnsi="Arial"/>
          <w:b/>
          <w:bCs/>
          <w:i/>
          <w:iCs/>
          <w:color w:val="666666"/>
          <w:sz w:val="18"/>
          <w:szCs w:val="18"/>
        </w:rPr>
        <w:t xml:space="preserve">Notes: </w:t>
      </w:r>
      <w:r>
        <w:rPr>
          <w:rFonts w:ascii="Arial" w:cs="Arial" w:eastAsia="Arial" w:hAnsi="Arial"/>
          <w:color w:val="CCCCCC"/>
          <w:sz w:val="18"/>
          <w:szCs w:val="18"/>
        </w:rPr>
        <w:t xml:space="preserve">_________________________________________________________________________</w:t>
      </w:r>
    </w:p>
    <w:p>
      <w:pPr>
        <w:pBdr>
          <w:bottom w:val="single" w:color="CCCCCC" w:sz="1" w:space="1"/>
        </w:pBdr>
        <w:spacing w:after="80" w:before="80"/>
      </w:pPr>
    </w:p>
    <w:p>
      <w:pPr>
        <w:spacing w:after="80" w:before="360"/>
      </w:pPr>
      <w:r>
        <w:rPr>
          <w:rFonts w:ascii="Arial" w:cs="Arial" w:eastAsia="Arial" w:hAnsi="Arial"/>
          <w:b/>
          <w:bCs/>
          <w:color w:val="1B2A4A"/>
          <w:sz w:val="26"/>
          <w:szCs w:val="26"/>
        </w:rPr>
        <w:t xml:space="preserve">3. CLEAN DESK POLICY &amp; ENFORCEMENT</w:t>
      </w:r>
    </w:p>
    <w:p>
      <w:pPr>
        <w:pBdr>
          <w:bottom w:val="single" w:color="B22222" w:sz="4" w:space="1"/>
        </w:pBdr>
        <w:spacing w:after="160" w:before="0"/>
      </w:pP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Existing clean desk policy documentation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Scope assessment (which areas, departments, and roles are covered)</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End-of-day desk clearance requirements and standards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Sensitive document handling requirements when leaving the desk</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Screen lock and workstation timeout policy verification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Printer and copier tray clearance requirements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Whiteboard and shared display clearance procedures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Personal device storage requirements (phones, USB drives, laptops)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Clean desk audit frequency and methodology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Clean desk violation reporting and escalation procedures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Clean desk compliance spot-check (unannounced physical walkthrough)</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Photographic documentation of observed violations during assessment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Employee awareness assessment (do employees know the policy exists)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Signage and visual reminders evaluation</w:t>
      </w:r>
    </w:p>
    <w:p>
      <w:pPr>
        <w:spacing w:after="40" w:before="180"/>
        <w:ind w:left="180"/>
      </w:pPr>
      <w:r>
        <w:rPr>
          <w:rFonts w:ascii="Arial" w:cs="Arial" w:eastAsia="Arial" w:hAnsi="Arial"/>
          <w:b/>
          <w:bCs/>
          <w:i/>
          <w:iCs/>
          <w:color w:val="666666"/>
          <w:sz w:val="18"/>
          <w:szCs w:val="18"/>
        </w:rPr>
        <w:t xml:space="preserve">Notes: </w:t>
      </w:r>
      <w:r>
        <w:rPr>
          <w:rFonts w:ascii="Arial" w:cs="Arial" w:eastAsia="Arial" w:hAnsi="Arial"/>
          <w:color w:val="CCCCCC"/>
          <w:sz w:val="18"/>
          <w:szCs w:val="18"/>
        </w:rPr>
        <w:t xml:space="preserve">_________________________________________________________________________</w:t>
      </w:r>
    </w:p>
    <w:p>
      <w:pPr>
        <w:pBdr>
          <w:bottom w:val="single" w:color="CCCCCC" w:sz="1" w:space="1"/>
        </w:pBdr>
        <w:spacing w:after="80" w:before="80"/>
      </w:pPr>
    </w:p>
    <w:p>
      <w:pPr>
        <w:spacing w:after="80" w:before="360"/>
      </w:pPr>
      <w:r>
        <w:rPr>
          <w:rFonts w:ascii="Arial" w:cs="Arial" w:eastAsia="Arial" w:hAnsi="Arial"/>
          <w:b/>
          <w:bCs/>
          <w:color w:val="1B2A4A"/>
          <w:sz w:val="26"/>
          <w:szCs w:val="26"/>
        </w:rPr>
        <w:t xml:space="preserve">4. DOCUMENT HANDLING PROCEDURES</w:t>
      </w:r>
    </w:p>
    <w:p>
      <w:pPr>
        <w:pBdr>
          <w:bottom w:val="single" w:color="B22222" w:sz="4" w:space="1"/>
        </w:pBdr>
        <w:spacing w:after="160" w:before="0"/>
      </w:pP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Document classification scheme review (public, internal, confidential, restricted)</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Classification labeling and marking standards verification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Document creation procedures and classification assignment workflow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Document sharing protocols (internal: email, shared drives, print)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Document sharing protocols (external: client delivery, vendor exchange, mail)</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Approved transmission methods per classification level</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Document access control procedures (who can view, edit, distribute each level)</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Chain of custody documentation for sensitive materials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Document logging and tracking systems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Physical document transport procedures (between offices, floors, buildings)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Digital document encryption requirements per classification level</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Removable media handling procedures (USB, external drives, CDs)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Printing and copying restrictions for classified materials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Fax transmission security procedures (if applicable)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Document handling training records and frequency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Observed document handling compliance during assessment walkthrough</w:t>
      </w:r>
    </w:p>
    <w:p>
      <w:pPr>
        <w:spacing w:after="40" w:before="180"/>
        <w:ind w:left="180"/>
      </w:pPr>
      <w:r>
        <w:rPr>
          <w:rFonts w:ascii="Arial" w:cs="Arial" w:eastAsia="Arial" w:hAnsi="Arial"/>
          <w:b/>
          <w:bCs/>
          <w:i/>
          <w:iCs/>
          <w:color w:val="666666"/>
          <w:sz w:val="18"/>
          <w:szCs w:val="18"/>
        </w:rPr>
        <w:t xml:space="preserve">Notes: </w:t>
      </w:r>
      <w:r>
        <w:rPr>
          <w:rFonts w:ascii="Arial" w:cs="Arial" w:eastAsia="Arial" w:hAnsi="Arial"/>
          <w:color w:val="CCCCCC"/>
          <w:sz w:val="18"/>
          <w:szCs w:val="18"/>
        </w:rPr>
        <w:t xml:space="preserve">_________________________________________________________________________</w:t>
      </w:r>
    </w:p>
    <w:p>
      <w:pPr>
        <w:pBdr>
          <w:bottom w:val="single" w:color="CCCCCC" w:sz="1" w:space="1"/>
        </w:pBdr>
        <w:spacing w:after="80" w:before="80"/>
      </w:pPr>
    </w:p>
    <w:p>
      <w:pPr>
        <w:spacing w:after="80" w:before="360"/>
      </w:pPr>
      <w:r>
        <w:rPr>
          <w:rFonts w:ascii="Arial" w:cs="Arial" w:eastAsia="Arial" w:hAnsi="Arial"/>
          <w:b/>
          <w:bCs/>
          <w:color w:val="1B2A4A"/>
          <w:sz w:val="26"/>
          <w:szCs w:val="26"/>
        </w:rPr>
        <w:t xml:space="preserve">5. DOCUMENT DISPOSAL &amp; DESTRUCTION</w:t>
      </w:r>
    </w:p>
    <w:p>
      <w:pPr>
        <w:pBdr>
          <w:bottom w:val="single" w:color="B22222" w:sz="4" w:space="1"/>
        </w:pBdr>
        <w:spacing w:after="160" w:before="0"/>
      </w:pP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Document destruction policy documentation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Destruction method requirements per classification level (shredding, degaussing, incineration)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Shredder type and cross-cut level verification (DIN 66399 compliance)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Shredder placement and accessibility assessment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Secure destruction bin inventory and placement mapping</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Destruction bin lock and tamper-resistance verification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Scheduled destruction frequency and pickup documentation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Third-party destruction vendor contract and certification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Certificate of destruction collection and retention verification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Digital media destruction procedures (hard drives, SSDs, tapes, optical media)</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Digital media destruction documentation and chain of custody</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Destruction log completeness audit (date, material type, method, witness)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Dumpster and recycling area security assessment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Employee awareness of destruction requirements per document type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Observed destruction process compliance during assessment</w:t>
      </w:r>
    </w:p>
    <w:p>
      <w:pPr>
        <w:spacing w:after="40" w:before="180"/>
        <w:ind w:left="180"/>
      </w:pPr>
      <w:r>
        <w:rPr>
          <w:rFonts w:ascii="Arial" w:cs="Arial" w:eastAsia="Arial" w:hAnsi="Arial"/>
          <w:b/>
          <w:bCs/>
          <w:i/>
          <w:iCs/>
          <w:color w:val="666666"/>
          <w:sz w:val="18"/>
          <w:szCs w:val="18"/>
        </w:rPr>
        <w:t xml:space="preserve">Notes: </w:t>
      </w:r>
      <w:r>
        <w:rPr>
          <w:rFonts w:ascii="Arial" w:cs="Arial" w:eastAsia="Arial" w:hAnsi="Arial"/>
          <w:color w:val="CCCCCC"/>
          <w:sz w:val="18"/>
          <w:szCs w:val="18"/>
        </w:rPr>
        <w:t xml:space="preserve">_________________________________________________________________________</w:t>
      </w:r>
    </w:p>
    <w:p>
      <w:pPr>
        <w:pBdr>
          <w:bottom w:val="single" w:color="CCCCCC" w:sz="1" w:space="1"/>
        </w:pBdr>
        <w:spacing w:after="80" w:before="80"/>
      </w:pPr>
    </w:p>
    <w:p>
      <w:pPr>
        <w:spacing w:after="80" w:before="360"/>
      </w:pPr>
      <w:r>
        <w:rPr>
          <w:rFonts w:ascii="Arial" w:cs="Arial" w:eastAsia="Arial" w:hAnsi="Arial"/>
          <w:b/>
          <w:bCs/>
          <w:color w:val="1B2A4A"/>
          <w:sz w:val="26"/>
          <w:szCs w:val="26"/>
        </w:rPr>
        <w:t xml:space="preserve">6. DOCUMENT STORAGE &amp; RETENTION</w:t>
      </w:r>
    </w:p>
    <w:p>
      <w:pPr>
        <w:pBdr>
          <w:bottom w:val="single" w:color="B22222" w:sz="4" w:space="1"/>
        </w:pBdr>
        <w:spacing w:after="160" w:before="0"/>
      </w:pP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Document retention schedule review per document type and regulatory requirement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Physical storage location inventory (filing cabinets, safes, vaults, offsite)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Physical storage access control review (keys, locks, logs)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Physical storage environmental controls (fire suppression, humidity, temperature)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Digital storage location inventory (servers, cloud, NAS, backup tapes)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Digital storage access control review (permissions, roles, audit logs)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Digital storage encryption-at-rest verification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Backup frequency and backup integrity testing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Disaster recovery and business continuity provisions for stored documents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Retention period compliance verification per regulatory framework</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Archival procedures and long-term preservation methods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Storage capacity planning and overflow procedures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Offsite storage vendor contract and security assessment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Document retrieval procedures and response time testing</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Retention hold and legal hold procedures review</w:t>
      </w:r>
    </w:p>
    <w:p>
      <w:pPr>
        <w:spacing w:after="40" w:before="180"/>
        <w:ind w:left="180"/>
      </w:pPr>
      <w:r>
        <w:rPr>
          <w:rFonts w:ascii="Arial" w:cs="Arial" w:eastAsia="Arial" w:hAnsi="Arial"/>
          <w:b/>
          <w:bCs/>
          <w:i/>
          <w:iCs/>
          <w:color w:val="666666"/>
          <w:sz w:val="18"/>
          <w:szCs w:val="18"/>
        </w:rPr>
        <w:t xml:space="preserve">Notes: </w:t>
      </w:r>
      <w:r>
        <w:rPr>
          <w:rFonts w:ascii="Arial" w:cs="Arial" w:eastAsia="Arial" w:hAnsi="Arial"/>
          <w:color w:val="CCCCCC"/>
          <w:sz w:val="18"/>
          <w:szCs w:val="18"/>
        </w:rPr>
        <w:t xml:space="preserve">_________________________________________________________________________</w:t>
      </w:r>
    </w:p>
    <w:p>
      <w:pPr>
        <w:pBdr>
          <w:bottom w:val="single" w:color="CCCCCC" w:sz="1" w:space="1"/>
        </w:pBdr>
        <w:spacing w:after="80" w:before="80"/>
      </w:pPr>
    </w:p>
    <w:p>
      <w:pPr>
        <w:spacing w:after="80" w:before="360"/>
      </w:pPr>
      <w:r>
        <w:rPr>
          <w:rFonts w:ascii="Arial" w:cs="Arial" w:eastAsia="Arial" w:hAnsi="Arial"/>
          <w:b/>
          <w:bCs/>
          <w:color w:val="1B2A4A"/>
          <w:sz w:val="26"/>
          <w:szCs w:val="26"/>
        </w:rPr>
        <w:t xml:space="preserve">7. HIPAA COMPLIANCE MAPPING</w:t>
      </w:r>
    </w:p>
    <w:p>
      <w:pPr>
        <w:pBdr>
          <w:bottom w:val="single" w:color="B22222" w:sz="4" w:space="1"/>
        </w:pBdr>
        <w:spacing w:after="160" w:before="0"/>
      </w:pP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Administrative safeguards gap analysis (Security Management Process, 164.308(a)(1))</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Workforce security procedures review (164.308(a)(3))</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Information access management procedures review (164.308(a)(4))</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Security awareness and training program evaluation (164.308(a)(5))</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Security incident procedures review and documentation (164.308(a)(6))</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Contingency plan review (data backup, disaster recovery, emergency operations) (164.308(a)(7))</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Business associate agreement inventory and compliance review (164.308(b))</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Physical safeguards: facility access controls review (164.310(a))</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Physical safeguards: workstation use and security policies (164.310(b)/(c))</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Physical safeguards: device and media controls (164.310(d))</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Technical safeguards: access control mechanisms review (164.312(a))</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Technical safeguards: audit controls and logging (164.312(b))</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Technical safeguards: integrity controls (164.312(c))</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Technical safeguards: transmission security (164.312(e))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Privacy Rule procedural alignment (minimum necessary, notice of privacy practices)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Breach notification procedures and documentation review (164.400-414)</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Risk assessment documentation completeness per HIPAA requirements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Current state vs. required state mapping for each applicable HIPAA control</w:t>
      </w:r>
    </w:p>
    <w:p>
      <w:pPr>
        <w:spacing w:after="40" w:before="180"/>
        <w:ind w:left="180"/>
      </w:pPr>
      <w:r>
        <w:rPr>
          <w:rFonts w:ascii="Arial" w:cs="Arial" w:eastAsia="Arial" w:hAnsi="Arial"/>
          <w:b/>
          <w:bCs/>
          <w:i/>
          <w:iCs/>
          <w:color w:val="666666"/>
          <w:sz w:val="18"/>
          <w:szCs w:val="18"/>
        </w:rPr>
        <w:t xml:space="preserve">Notes: </w:t>
      </w:r>
      <w:r>
        <w:rPr>
          <w:rFonts w:ascii="Arial" w:cs="Arial" w:eastAsia="Arial" w:hAnsi="Arial"/>
          <w:color w:val="CCCCCC"/>
          <w:sz w:val="18"/>
          <w:szCs w:val="18"/>
        </w:rPr>
        <w:t xml:space="preserve">_________________________________________________________________________</w:t>
      </w:r>
    </w:p>
    <w:p>
      <w:pPr>
        <w:pBdr>
          <w:bottom w:val="single" w:color="CCCCCC" w:sz="1" w:space="1"/>
        </w:pBdr>
        <w:spacing w:after="80" w:before="80"/>
      </w:pPr>
    </w:p>
    <w:p>
      <w:pPr>
        <w:spacing w:after="80" w:before="360"/>
      </w:pPr>
      <w:r>
        <w:rPr>
          <w:rFonts w:ascii="Arial" w:cs="Arial" w:eastAsia="Arial" w:hAnsi="Arial"/>
          <w:b/>
          <w:bCs/>
          <w:color w:val="1B2A4A"/>
          <w:sz w:val="26"/>
          <w:szCs w:val="26"/>
        </w:rPr>
        <w:t xml:space="preserve">8. SOC 2 COMPLIANCE MAPPING</w:t>
      </w:r>
    </w:p>
    <w:p>
      <w:pPr>
        <w:pBdr>
          <w:bottom w:val="single" w:color="B22222" w:sz="4" w:space="1"/>
        </w:pBdr>
        <w:spacing w:after="160" w:before="0"/>
      </w:pP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Trust Services Criteria scope determination (Security, Availability, Processing Integrity, Confidentiality, Privacy)</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CC1: Control Environment — organizational structure, oversight, and accountability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CC2: Communication and Information — internal/external communication process assessment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CC3: Risk Assessment — risk identification and mitigation process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CC4: Monitoring Activities — ongoing and separate evaluations of controls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CC5: Control Activities — policy and procedure implementation assessment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CC6: Logical and Physical Access — access provisioning, authentication, and restrictions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CC7: System Operations — change management, incident response, and recovery procedures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CC8: Change Management — system change authorization and testing procedures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CC9: Risk Mitigation — vendor management and risk transfer mechanisms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Availability criteria: system monitoring, disaster recovery, and business continuity</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Processing Integrity criteria: data processing accuracy and completeness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Confidentiality criteria: classification, retention, and disposal of confidential information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Privacy criteria: consent, collection, use, and disclosure of personal information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Evidence artifact inventory per applicable trust services criterion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Current state vs. required state mapping for each applicable SOC 2 control</w:t>
      </w:r>
    </w:p>
    <w:p>
      <w:pPr>
        <w:spacing w:after="40" w:before="180"/>
        <w:ind w:left="180"/>
      </w:pPr>
      <w:r>
        <w:rPr>
          <w:rFonts w:ascii="Arial" w:cs="Arial" w:eastAsia="Arial" w:hAnsi="Arial"/>
          <w:b/>
          <w:bCs/>
          <w:i/>
          <w:iCs/>
          <w:color w:val="666666"/>
          <w:sz w:val="18"/>
          <w:szCs w:val="18"/>
        </w:rPr>
        <w:t xml:space="preserve">Notes: </w:t>
      </w:r>
      <w:r>
        <w:rPr>
          <w:rFonts w:ascii="Arial" w:cs="Arial" w:eastAsia="Arial" w:hAnsi="Arial"/>
          <w:color w:val="CCCCCC"/>
          <w:sz w:val="18"/>
          <w:szCs w:val="18"/>
        </w:rPr>
        <w:t xml:space="preserve">_________________________________________________________________________</w:t>
      </w:r>
    </w:p>
    <w:p>
      <w:pPr>
        <w:pBdr>
          <w:bottom w:val="single" w:color="CCCCCC" w:sz="1" w:space="1"/>
        </w:pBdr>
        <w:spacing w:after="80" w:before="80"/>
      </w:pPr>
    </w:p>
    <w:p>
      <w:pPr>
        <w:spacing w:after="80" w:before="360"/>
      </w:pPr>
      <w:r>
        <w:rPr>
          <w:rFonts w:ascii="Arial" w:cs="Arial" w:eastAsia="Arial" w:hAnsi="Arial"/>
          <w:b/>
          <w:bCs/>
          <w:color w:val="1B2A4A"/>
          <w:sz w:val="26"/>
          <w:szCs w:val="26"/>
        </w:rPr>
        <w:t xml:space="preserve">9. ISO 27001 COMPLIANCE MAPPING</w:t>
      </w:r>
    </w:p>
    <w:p>
      <w:pPr>
        <w:pBdr>
          <w:bottom w:val="single" w:color="B22222" w:sz="4" w:space="1"/>
        </w:pBdr>
        <w:spacing w:after="160" w:before="0"/>
      </w:pP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ISMS scope definition and boundaries review (Clause 4)</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Leadership and commitment documentation review (Clause 5)</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Risk assessment methodology and risk treatment plan review (Clause 6)</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Resource allocation, competence, and awareness documentation (Clause 7)</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Operational planning, risk assessment execution, and risk treatment records (Clause 8)</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Performance evaluation: monitoring, measurement, internal audit schedule (Clause 9)</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Continual improvement: nonconformity and corrective action procedures (Clause 10)</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Annex A control mapping: A.5 Information Security Policies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Annex A control mapping: A.6 Organization of Information Security</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Annex A control mapping: A.7 Human Resource Security</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Annex A control mapping: A.8 Asset Management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Annex A control mapping: A.9 Access Control</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Annex A control mapping: A.10 Cryptography</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Annex A control mapping: A.11 Physical and Environmental Security</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Annex A control mapping: A.12 Operations Security</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Annex A control mapping: A.13 Communications Security</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Annex A control mapping: A.14 System Acquisition, Development, and Maintenance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Annex A control mapping: A.15 Supplier Relationships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Annex A control mapping: A.16 Information Security Incident Management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Annex A control mapping: A.17 Business Continuity Management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Annex A control mapping: A.18 Compliance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Statement of Applicability (SoA) creation or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Current state vs. required state mapping for each applicable ISO 27001 control</w:t>
      </w:r>
    </w:p>
    <w:p>
      <w:pPr>
        <w:spacing w:after="40" w:before="180"/>
        <w:ind w:left="180"/>
      </w:pPr>
      <w:r>
        <w:rPr>
          <w:rFonts w:ascii="Arial" w:cs="Arial" w:eastAsia="Arial" w:hAnsi="Arial"/>
          <w:b/>
          <w:bCs/>
          <w:i/>
          <w:iCs/>
          <w:color w:val="666666"/>
          <w:sz w:val="18"/>
          <w:szCs w:val="18"/>
        </w:rPr>
        <w:t xml:space="preserve">Notes: </w:t>
      </w:r>
      <w:r>
        <w:rPr>
          <w:rFonts w:ascii="Arial" w:cs="Arial" w:eastAsia="Arial" w:hAnsi="Arial"/>
          <w:color w:val="CCCCCC"/>
          <w:sz w:val="18"/>
          <w:szCs w:val="18"/>
        </w:rPr>
        <w:t xml:space="preserve">_________________________________________________________________________</w:t>
      </w:r>
    </w:p>
    <w:p>
      <w:pPr>
        <w:pBdr>
          <w:bottom w:val="single" w:color="CCCCCC" w:sz="1" w:space="1"/>
        </w:pBdr>
        <w:spacing w:after="80" w:before="80"/>
      </w:pPr>
    </w:p>
    <w:p>
      <w:pPr>
        <w:spacing w:after="80" w:before="360"/>
      </w:pPr>
      <w:r>
        <w:rPr>
          <w:rFonts w:ascii="Arial" w:cs="Arial" w:eastAsia="Arial" w:hAnsi="Arial"/>
          <w:b/>
          <w:bCs/>
          <w:color w:val="1B2A4A"/>
          <w:sz w:val="26"/>
          <w:szCs w:val="26"/>
        </w:rPr>
        <w:t xml:space="preserve">10. GDPR COMPLIANCE MAPPING</w:t>
      </w:r>
    </w:p>
    <w:p>
      <w:pPr>
        <w:pBdr>
          <w:bottom w:val="single" w:color="B22222" w:sz="4" w:space="1"/>
        </w:pBdr>
        <w:spacing w:after="160" w:before="0"/>
      </w:pP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Lawful basis for processing review per data processing activity (Article 6)</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Consent management procedures and records review (Article 7)</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Privacy notice and transparency documentation assessment (Articles 12-14)</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Data subject rights procedures: access, rectification, erasure, portability (Articles 15-20)</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Right to object and automated decision-making procedures (Articles 21-22)</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Data Protection Impact Assessment (DPIA) process and records review (Article 35)</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Data Protection Officer (DPO) designation and role compliance (Articles 37-39)</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Records of processing activities completeness review (Article 30)</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Data breach notification procedures and documentation (Articles 33-34)</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International data transfer mechanisms and safeguards (Chapter V)</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Data processor agreements and sub-processor management (Article 28)</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Data minimization and purpose limitation procedural controls (Article 5)</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Data retention and erasure procedures per processing activity</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Employee and contractor GDPR awareness training records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Current state vs. required state mapping for each applicable GDPR requirement</w:t>
      </w:r>
    </w:p>
    <w:p>
      <w:pPr>
        <w:spacing w:after="40" w:before="180"/>
        <w:ind w:left="180"/>
      </w:pPr>
      <w:r>
        <w:rPr>
          <w:rFonts w:ascii="Arial" w:cs="Arial" w:eastAsia="Arial" w:hAnsi="Arial"/>
          <w:b/>
          <w:bCs/>
          <w:i/>
          <w:iCs/>
          <w:color w:val="666666"/>
          <w:sz w:val="18"/>
          <w:szCs w:val="18"/>
        </w:rPr>
        <w:t xml:space="preserve">Notes: </w:t>
      </w:r>
      <w:r>
        <w:rPr>
          <w:rFonts w:ascii="Arial" w:cs="Arial" w:eastAsia="Arial" w:hAnsi="Arial"/>
          <w:color w:val="CCCCCC"/>
          <w:sz w:val="18"/>
          <w:szCs w:val="18"/>
        </w:rPr>
        <w:t xml:space="preserve">_________________________________________________________________________</w:t>
      </w:r>
    </w:p>
    <w:p>
      <w:pPr>
        <w:pBdr>
          <w:bottom w:val="single" w:color="CCCCCC" w:sz="1" w:space="1"/>
        </w:pBdr>
        <w:spacing w:after="80" w:before="80"/>
      </w:pPr>
    </w:p>
    <w:p>
      <w:pPr>
        <w:spacing w:after="80" w:before="360"/>
      </w:pPr>
      <w:r>
        <w:rPr>
          <w:rFonts w:ascii="Arial" w:cs="Arial" w:eastAsia="Arial" w:hAnsi="Arial"/>
          <w:b/>
          <w:bCs/>
          <w:color w:val="1B2A4A"/>
          <w:sz w:val="26"/>
          <w:szCs w:val="26"/>
        </w:rPr>
        <w:t xml:space="preserve">11. COMPLIANCE DOCUMENTATION SYSTEMS</w:t>
      </w:r>
    </w:p>
    <w:p>
      <w:pPr>
        <w:pBdr>
          <w:bottom w:val="single" w:color="B22222" w:sz="4" w:space="1"/>
        </w:pBdr>
        <w:spacing w:after="160" w:before="0"/>
      </w:pP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Documentation management system identification (GRC platform, SharePoint, manual)</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System access controls and role-based permissions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Document version control and change tracking capabilities assessment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Document approval workflow configuration and enforcement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Automated review reminders and policy expiration alerts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Search and retrieval functionality evaluation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Cross-referencing capability (linking policies to controls to evidence)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System uptime, reliability, and backup procedures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Documentation update frequency and cadence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Documentation completeness scoring per regulatory framework</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Audit trail and modification history integrity verification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Integration with other compliance and security tools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Reporting and dashboard capabilities assessment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System scalability and future framework accommodation</w:t>
      </w:r>
    </w:p>
    <w:p>
      <w:pPr>
        <w:spacing w:after="40" w:before="180"/>
        <w:ind w:left="180"/>
      </w:pPr>
      <w:r>
        <w:rPr>
          <w:rFonts w:ascii="Arial" w:cs="Arial" w:eastAsia="Arial" w:hAnsi="Arial"/>
          <w:b/>
          <w:bCs/>
          <w:i/>
          <w:iCs/>
          <w:color w:val="666666"/>
          <w:sz w:val="18"/>
          <w:szCs w:val="18"/>
        </w:rPr>
        <w:t xml:space="preserve">Notes: </w:t>
      </w:r>
      <w:r>
        <w:rPr>
          <w:rFonts w:ascii="Arial" w:cs="Arial" w:eastAsia="Arial" w:hAnsi="Arial"/>
          <w:color w:val="CCCCCC"/>
          <w:sz w:val="18"/>
          <w:szCs w:val="18"/>
        </w:rPr>
        <w:t xml:space="preserve">_________________________________________________________________________</w:t>
      </w:r>
    </w:p>
    <w:p>
      <w:pPr>
        <w:pBdr>
          <w:bottom w:val="single" w:color="CCCCCC" w:sz="1" w:space="1"/>
        </w:pBdr>
        <w:spacing w:after="80" w:before="80"/>
      </w:pPr>
    </w:p>
    <w:p>
      <w:pPr>
        <w:spacing w:after="80" w:before="360"/>
      </w:pPr>
      <w:r>
        <w:rPr>
          <w:rFonts w:ascii="Arial" w:cs="Arial" w:eastAsia="Arial" w:hAnsi="Arial"/>
          <w:b/>
          <w:bCs/>
          <w:color w:val="1B2A4A"/>
          <w:sz w:val="26"/>
          <w:szCs w:val="26"/>
        </w:rPr>
        <w:t xml:space="preserve">12. EVIDENCE COLLECTION &amp; AUDIT READINESS</w:t>
      </w:r>
    </w:p>
    <w:p>
      <w:pPr>
        <w:pBdr>
          <w:bottom w:val="single" w:color="B22222" w:sz="4" w:space="1"/>
        </w:pBdr>
        <w:spacing w:after="160" w:before="0"/>
      </w:pP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Evidence inventory: identification of all required evidence artifacts per framework</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Evidence collection procedures and responsible parties documentation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Evidence storage location and access control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Evidence chain of custody procedures and documentation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Evidence retention period compliance per regulatory requirement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Evidence freshness assessment (how recently was each artifact updated)</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Evidence completeness gap analysis per framework requirement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Evidence naming convention and organization structure review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Automated evidence collection capabilities assessment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Manual evidence collection effort and timeline estimation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Evidence quality review (does each artifact actually prove the control it supports)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Cross-framework evidence mapping (single artifact supporting multiple requirements)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Mock audit readiness simulation (can all evidence be produced within 24-48 hours)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Auditor-facing evidence package preparation procedures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Evidence destruction and lifecycle management after retention period</w:t>
      </w:r>
    </w:p>
    <w:p>
      <w:pPr>
        <w:spacing w:after="40" w:before="180"/>
        <w:ind w:left="180"/>
      </w:pPr>
      <w:r>
        <w:rPr>
          <w:rFonts w:ascii="Arial" w:cs="Arial" w:eastAsia="Arial" w:hAnsi="Arial"/>
          <w:b/>
          <w:bCs/>
          <w:i/>
          <w:iCs/>
          <w:color w:val="666666"/>
          <w:sz w:val="18"/>
          <w:szCs w:val="18"/>
        </w:rPr>
        <w:t xml:space="preserve">Notes: </w:t>
      </w:r>
      <w:r>
        <w:rPr>
          <w:rFonts w:ascii="Arial" w:cs="Arial" w:eastAsia="Arial" w:hAnsi="Arial"/>
          <w:color w:val="CCCCCC"/>
          <w:sz w:val="18"/>
          <w:szCs w:val="18"/>
        </w:rPr>
        <w:t xml:space="preserve">_________________________________________________________________________</w:t>
      </w:r>
    </w:p>
    <w:p>
      <w:pPr>
        <w:pBdr>
          <w:bottom w:val="single" w:color="CCCCCC" w:sz="1" w:space="1"/>
        </w:pBdr>
        <w:spacing w:after="80" w:before="80"/>
      </w:pPr>
    </w:p>
    <w:p>
      <w:pPr>
        <w:spacing w:after="80" w:before="360"/>
      </w:pPr>
      <w:r>
        <w:rPr>
          <w:rFonts w:ascii="Arial" w:cs="Arial" w:eastAsia="Arial" w:hAnsi="Arial"/>
          <w:b/>
          <w:bCs/>
          <w:color w:val="1B2A4A"/>
          <w:sz w:val="26"/>
          <w:szCs w:val="26"/>
        </w:rPr>
        <w:t xml:space="preserve">13. RISK ASSESSMENT &amp; IMPACT SCORING</w:t>
      </w:r>
    </w:p>
    <w:p>
      <w:pPr>
        <w:pBdr>
          <w:bottom w:val="single" w:color="B22222" w:sz="4" w:space="1"/>
        </w:pBdr>
        <w:spacing w:after="160" w:before="0"/>
      </w:pP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Risk identification per policy gap and process deficiency found</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Likelihood rating assignment per identified risk (1-5 scale with defined criteria)</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Impact rating assignment per identified risk (1-5 scale with defined criteria)</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Composite risk score calculation (likelihood x impact)</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Risk categorization by severity (Critical / High / Medium / Low)</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Risk categorization by compliance framework affected</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Risk categorization by business function impacted</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Risk owner assignment for each identified risk</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Existing compensating controls identification per risk</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Residual risk calculation after compensating controls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Risk interdependency mapping (which risks compound others)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Regulatory penalty exposure estimation per non-compliance finding</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Risk prioritization matrix creation for remediation sequencing</w:t>
      </w:r>
    </w:p>
    <w:p>
      <w:pPr>
        <w:spacing w:after="40" w:before="180"/>
        <w:ind w:left="180"/>
      </w:pPr>
      <w:r>
        <w:rPr>
          <w:rFonts w:ascii="Arial" w:cs="Arial" w:eastAsia="Arial" w:hAnsi="Arial"/>
          <w:b/>
          <w:bCs/>
          <w:i/>
          <w:iCs/>
          <w:color w:val="666666"/>
          <w:sz w:val="18"/>
          <w:szCs w:val="18"/>
        </w:rPr>
        <w:t xml:space="preserve">Notes: </w:t>
      </w:r>
      <w:r>
        <w:rPr>
          <w:rFonts w:ascii="Arial" w:cs="Arial" w:eastAsia="Arial" w:hAnsi="Arial"/>
          <w:color w:val="CCCCCC"/>
          <w:sz w:val="18"/>
          <w:szCs w:val="18"/>
        </w:rPr>
        <w:t xml:space="preserve">_________________________________________________________________________</w:t>
      </w:r>
    </w:p>
    <w:p>
      <w:pPr>
        <w:pBdr>
          <w:bottom w:val="single" w:color="CCCCCC" w:sz="1" w:space="1"/>
        </w:pBdr>
        <w:spacing w:after="80" w:before="80"/>
      </w:pPr>
    </w:p>
    <w:p>
      <w:pPr>
        <w:spacing w:after="80" w:before="360"/>
      </w:pPr>
      <w:r>
        <w:rPr>
          <w:rFonts w:ascii="Arial" w:cs="Arial" w:eastAsia="Arial" w:hAnsi="Arial"/>
          <w:b/>
          <w:bCs/>
          <w:color w:val="1B2A4A"/>
          <w:sz w:val="26"/>
          <w:szCs w:val="26"/>
        </w:rPr>
        <w:t xml:space="preserve">14. REMEDIATION PLANNING</w:t>
      </w:r>
    </w:p>
    <w:p>
      <w:pPr>
        <w:pBdr>
          <w:bottom w:val="single" w:color="B22222" w:sz="4" w:space="1"/>
        </w:pBdr>
        <w:spacing w:after="160" w:before="0"/>
      </w:pP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Remediation action item creation per identified gap</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Remediation priority sequencing based on risk score and audit timeline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Remediation owner assignment per action item</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Remediation effort estimation (hours, resources, cost) per action item</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Quick-win identification (low effort, high impact items for immediate action)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Long-term remediation roadmap with phased milestones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Remediation dependency mapping (which fixes must happen before others)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Policy template creation for each missing or deficient policy</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Procedure template creation for each missing or deficient procedure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Remediation progress tracking methodology and cadence recommendation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Post-remediation validation and re-assessment methodology</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Audit preparation timeline with milestone dates and responsible parties</w:t>
      </w:r>
    </w:p>
    <w:p>
      <w:pPr>
        <w:spacing w:after="40" w:before="180"/>
        <w:ind w:left="180"/>
      </w:pPr>
      <w:r>
        <w:rPr>
          <w:rFonts w:ascii="Arial" w:cs="Arial" w:eastAsia="Arial" w:hAnsi="Arial"/>
          <w:b/>
          <w:bCs/>
          <w:i/>
          <w:iCs/>
          <w:color w:val="666666"/>
          <w:sz w:val="18"/>
          <w:szCs w:val="18"/>
        </w:rPr>
        <w:t xml:space="preserve">Notes: </w:t>
      </w:r>
      <w:r>
        <w:rPr>
          <w:rFonts w:ascii="Arial" w:cs="Arial" w:eastAsia="Arial" w:hAnsi="Arial"/>
          <w:color w:val="CCCCCC"/>
          <w:sz w:val="18"/>
          <w:szCs w:val="18"/>
        </w:rPr>
        <w:t xml:space="preserve">_________________________________________________________________________</w:t>
      </w:r>
    </w:p>
    <w:p>
      <w:pPr>
        <w:pBdr>
          <w:bottom w:val="single" w:color="CCCCCC" w:sz="1" w:space="1"/>
        </w:pBdr>
        <w:spacing w:after="80" w:before="80"/>
      </w:pPr>
    </w:p>
    <w:p>
      <w:pPr>
        <w:spacing w:after="80" w:before="360"/>
      </w:pPr>
      <w:r>
        <w:rPr>
          <w:rFonts w:ascii="Arial" w:cs="Arial" w:eastAsia="Arial" w:hAnsi="Arial"/>
          <w:b/>
          <w:bCs/>
          <w:color w:val="1B2A4A"/>
          <w:sz w:val="26"/>
          <w:szCs w:val="26"/>
        </w:rPr>
        <w:t xml:space="preserve">15. DELIVERABLES</w:t>
      </w:r>
    </w:p>
    <w:p>
      <w:pPr>
        <w:pBdr>
          <w:bottom w:val="single" w:color="B22222" w:sz="4" w:space="1"/>
        </w:pBdr>
        <w:spacing w:after="160" w:before="0"/>
      </w:pP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Compliance Gap Matrix: current state vs. required state per applicable framework</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Policy inventory report with classification, ownership, and gap status per policy</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Process gap analysis report with photographic evidence of observed deficiencies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HIPAA compliance mapping document with control-by-control status (if applicable)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SOC 2 compliance mapping document with criteria-by-criteria status (if applicable)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ISO 27001 compliance mapping document with clause and Annex A control status (if applicable)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GDPR compliance mapping document with article-by-article status (if applicable)</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Risk register with likelihood, impact, composite score, and risk owner per finding</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Prioritized remediation roadmap with sequencing, effort estimates, and milestones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Policy improvement recommendations with ready-to-customize templates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Evidence collection gap report with artifact inventory and freshness scores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Remediation timeline aligned to upcoming audit or certification deadlines</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Executive summary formatted for leadership and board presentation</w:t>
      </w:r>
    </w:p>
    <w:p>
      <w:pPr>
        <w:spacing w:after="50" w:before="50"/>
        <w:ind w:left="460" w:hanging="280"/>
      </w:pPr>
      <w:r>
        <w:rPr>
          <w:rFonts w:ascii="Segoe UI Symbol" w:cs="Segoe UI Symbol" w:eastAsia="Segoe UI Symbol" w:hAnsi="Segoe UI Symbol"/>
          <w:color w:val="B22222"/>
          <w:sz w:val="20"/>
          <w:szCs w:val="20"/>
        </w:rPr>
        <w:t xml:space="preserve">☐  </w:t>
      </w:r>
      <w:r>
        <w:rPr>
          <w:rFonts w:ascii="Arial" w:cs="Arial" w:eastAsia="Arial" w:hAnsi="Arial"/>
          <w:color w:val="333333"/>
          <w:sz w:val="19"/>
          <w:szCs w:val="19"/>
        </w:rPr>
        <w:t xml:space="preserve">Optional: findings briefing and walkthrough session with stakeholders</w:t>
      </w:r>
    </w:p>
    <w:p>
      <w:pPr>
        <w:spacing w:after="40" w:before="180"/>
        <w:ind w:left="180"/>
      </w:pPr>
      <w:r>
        <w:rPr>
          <w:rFonts w:ascii="Arial" w:cs="Arial" w:eastAsia="Arial" w:hAnsi="Arial"/>
          <w:b/>
          <w:bCs/>
          <w:i/>
          <w:iCs/>
          <w:color w:val="666666"/>
          <w:sz w:val="18"/>
          <w:szCs w:val="18"/>
        </w:rPr>
        <w:t xml:space="preserve">Notes: </w:t>
      </w:r>
      <w:r>
        <w:rPr>
          <w:rFonts w:ascii="Arial" w:cs="Arial" w:eastAsia="Arial" w:hAnsi="Arial"/>
          <w:color w:val="CCCCCC"/>
          <w:sz w:val="18"/>
          <w:szCs w:val="18"/>
        </w:rPr>
        <w:t xml:space="preserve">_________________________________________________________________________</w:t>
      </w:r>
    </w:p>
    <w:p>
      <w:pPr>
        <w:pBdr>
          <w:bottom w:val="single" w:color="CCCCCC" w:sz="1" w:space="1"/>
        </w:pBdr>
        <w:spacing w:after="80" w:before="80"/>
      </w:pPr>
    </w:p>
    <w:p>
      <w:pPr>
        <w:pBdr>
          <w:bottom w:val="single" w:color="B22222" w:sz="6" w:space="1"/>
        </w:pBdr>
        <w:spacing w:after="0" w:before="600"/>
      </w:pPr>
    </w:p>
    <w:p>
      <w:pPr>
        <w:spacing w:after="60" w:before="300"/>
        <w:jc w:val="center"/>
      </w:pPr>
      <w:r>
        <w:rPr>
          <w:rFonts w:ascii="Arial" w:cs="Arial" w:eastAsia="Arial" w:hAnsi="Arial"/>
          <w:b/>
          <w:bCs/>
          <w:color w:val="B22222"/>
          <w:sz w:val="28"/>
          <w:szCs w:val="28"/>
        </w:rPr>
        <w:t xml:space="preserve">RED CELL SOLUTIONS</w:t>
      </w:r>
    </w:p>
    <w:p>
      <w:pPr>
        <w:spacing w:after="200" w:before="0"/>
        <w:jc w:val="center"/>
      </w:pPr>
      <w:r>
        <w:rPr>
          <w:rFonts w:ascii="Arial" w:cs="Arial" w:eastAsia="Arial" w:hAnsi="Arial"/>
          <w:color w:val="666666"/>
          <w:sz w:val="20"/>
          <w:szCs w:val="20"/>
        </w:rPr>
        <w:t xml:space="preserve">redcellsolutions.com</w:t>
      </w:r>
    </w:p>
    <w:p>
      <w:pPr>
        <w:spacing w:after="100" w:before="200"/>
        <w:jc w:val="center"/>
      </w:pPr>
      <w:r>
        <w:rPr>
          <w:rFonts w:ascii="Arial" w:cs="Arial" w:eastAsia="Arial" w:hAnsi="Arial"/>
          <w:b/>
          <w:bCs/>
          <w:color w:val="1B2A4A"/>
          <w:sz w:val="24"/>
          <w:szCs w:val="24"/>
        </w:rPr>
        <w:t xml:space="preserve">Every engagement begins with a conversation.</w:t>
      </w:r>
    </w:p>
    <w:p>
      <w:pPr>
        <w:spacing w:after="200" w:before="100"/>
        <w:jc w:val="center"/>
      </w:pPr>
      <w:r>
        <w:rPr>
          <w:rFonts w:ascii="Arial" w:cs="Arial" w:eastAsia="Arial" w:hAnsi="Arial"/>
          <w:color w:val="333333"/>
          <w:sz w:val="20"/>
          <w:szCs w:val="20"/>
        </w:rPr>
        <w:t xml:space="preserve">All services are scoped and customized to your organization’s specific environment, compliance requirements, and risk profile. Investment ranges reflect typical engagements and are finalized based on facility size, employee count, and scope.</w:t>
      </w:r>
    </w:p>
    <w:p>
      <w:pPr>
        <w:spacing w:after="0" w:before="200"/>
        <w:jc w:val="center"/>
      </w:pPr>
      <w:r>
        <w:rPr>
          <w:rFonts w:ascii="Arial" w:cs="Arial" w:eastAsia="Arial" w:hAnsi="Arial"/>
          <w:i/>
          <w:iCs/>
          <w:color w:val="B22222"/>
          <w:sz w:val="18"/>
          <w:szCs w:val="18"/>
        </w:rPr>
        <w:t xml:space="preserve">CONFIDENTIAL — Prepared exclusively for prospective clients of Red Cell Solutions.</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b/>
        <w:bCs/>
        <w:color w:val="B22222"/>
        <w:sz w:val="16"/>
        <w:szCs w:val="16"/>
      </w:rPr>
      <w:t xml:space="preserve">RED CELL SOLUTIONS</w:t>
    </w:r>
    <w:r>
      <w:rPr>
        <w:rFonts w:ascii="Arial" w:cs="Arial" w:eastAsia="Arial" w:hAnsi="Arial"/>
        <w:color w:val="CCCCCC"/>
        <w:sz w:val="16"/>
        <w:szCs w:val="16"/>
      </w:rPr>
      <w:t xml:space="preserve">  |  </w:t>
    </w:r>
    <w:r>
      <w:rPr>
        <w:rFonts w:ascii="Arial" w:cs="Arial" w:eastAsia="Arial" w:hAnsi="Arial"/>
        <w:color w:val="666666"/>
        <w:sz w:val="16"/>
        <w:szCs w:val="16"/>
      </w:rPr>
      <w:t xml:space="preserve">Procedural Security &amp; Compliance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2026-03-12T04:40:03.533Z</dcterms:created>
  <dcterms:modified xsi:type="dcterms:W3CDTF">2026-03-12T04:40:03.533Z</dcterms:modified>
</cp:coreProperties>
</file>

<file path=docProps/custom.xml><?xml version="1.0" encoding="utf-8"?>
<Properties xmlns="http://schemas.openxmlformats.org/officeDocument/2006/custom-properties" xmlns:vt="http://schemas.openxmlformats.org/officeDocument/2006/docPropsVTypes"/>
</file>