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B22222"/>
          <w:sz w:val="36"/>
          <w:szCs w:val="36"/>
        </w:rPr>
        <w:t xml:space="preserve">RED CELL SOLUTIONS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Physical Security  |  Social Engineering  |  Security Training</w:t>
      </w:r>
    </w:p>
    <w:p>
      <w:pPr>
        <w:pBdr>
          <w:bottom w:val="single" w:color="B22222" w:sz="6" w:space="1"/>
        </w:pBdr>
        <w:spacing w:after="300" w:before="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WORKSTATION SECURITY ASSESSMENT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Physical Workstation Security  •  Credential Exposure  •  Sensitive Documents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Detailed audit of physical workstation security, credential exposure, sensitive document handling, and removable media compliance across your facilities.</w:t>
      </w:r>
    </w:p>
    <w:p>
      <w:pPr>
        <w:pBdr>
          <w:bottom w:val="single" w:color="B22222" w:sz="6" w:space="1"/>
        </w:pBdr>
        <w:spacing w:after="300" w:before="20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STANDARD LEAD TIME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1–2 Weeks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INVESTMENT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$30,000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TOTAL CHECKPOINTS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91 Items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ASSESSMENT CATEGORIES</w:t>
            </w:r>
          </w:p>
          <w:p>
            <w:r>
              <w:rPr>
                <w:rFonts w:ascii="Arial" w:cs="Arial" w:eastAsia="Arial" w:hAnsi="Arial"/>
                <w:b/>
                <w:bCs/>
                <w:color w:val="1B2A4A"/>
                <w:sz w:val="26"/>
                <w:szCs w:val="26"/>
              </w:rPr>
              <w:t xml:space="preserve">5 Sections</w:t>
            </w:r>
          </w:p>
        </w:tc>
      </w:tr>
    </w:tbl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INTERNAL DOCUMENT  —  ASSESSMENT CHECKLIST</w:t>
      </w:r>
    </w:p>
    <w:p>
      <w:r>
        <w:br w:type="page"/>
      </w: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INDIVIDUAL WORKSTATION AUDIT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Privacy filter presence and type (micro-louver, film, frameless, hanging)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Privacy filter sizing — proper fit to monitor dimensions confirmed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Privacy filter effectiveness test (viewing angle obstruction verified from sides and above)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Privacy filter condition assessment (scratches, peeling, warping, discoloration)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Multi-monitor setups — all screens evaluated for filter coverage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Workstation lock policy compliance (auto-lock timer configured and active)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Screen lock enforcement via Group Policy or MDM verification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Lock screen timeout duration documented per workstation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Manual lock awareness (Win+L / Ctrl+Cmd+Q usage observed or confirmed)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Lock screen bypass testing (wake-from-sleep behavior, USB wake exploits)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Cable lock presence on all portable devices (laptops, docking stations, projectors)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Cable lock type and grade identification (Kensington, Noble, combination vs. keyed)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Cable lock anchor point assessment (secure desk mount, immovable fixture)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Cable lock condition and tamper evidence inspection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Docking station physical security (secured to desk, locked port access)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Peripheral security review (external hard drives, monitors, keyboards secured)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 documentation of each workstation and any deficiency found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CREDENTIAL EXPOSURE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Visual sweep for passwords written on sticky notes, under keyboards, on monitors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Whiteboard and bulletin board inspection for credentials or access codes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Desk drawer and organizer inspection for written password lists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Password notebooks or journals found in open/unlocked areas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Shared workspace credential visibility check (open-plan and hot-desk environments)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Shared account usage identification (multiple users on one credential set)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Credential sharing evidence (email chains, chat logs, shared password files)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Shared login session detection (accounts left logged in across shifts)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Shoulder surfing risk assessment (monitor positioning, high-traffic proximity)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Badge and access card sharing indicators (single badge used by multiple personnel)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Password reuse testing across internal systems (SSO vs. local account audit)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Default or factory credential check on local applications and devices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Password complexity and rotation policy compliance spot-check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Browser-stored credential exposure (auto-fill enabled, saved passwords visible)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Password manager adoption and configuration review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MFA enrollment verification on critical systems per workstation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 documentation of all credential exposure findings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SENSITIVE DOCUMENTS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Desk surface sweep for sensitive/classified documents left in the open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Document classification marking compliance (proper labels applied)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Desk tray and inbox inspection for unattended confidential materials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Shared printer area review for uncollected sensitive printouts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Open mail and correspondence check for PII, financial data, or credentials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Print queue review — sensitive documents pending or abandoned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Secure print/pull-print enforcement verification (badge-release configured)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Printer output tray inspection for uncollected documents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Printer access control audit (who can print, network exposure)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Fax machine and MFP output tray inspection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Printer hard drive/memory data retention risk assessment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Screen timeout configuration audit (idle lock ≤ 5 minutes per policy)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Screen lock enforcement on shared/public-area terminals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Screensaver content review (no sensitive data displayed during idle)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Unattended logged-in workstation documentation (active sessions, no user present)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Remote desktop and virtual session timeout policy verification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Monitor positioning assessment (screens visible to visitors or public areas)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 documentation of all sensitive document exposure findings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REMOVABLE MEDIA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USB port access policy enforcement check (ports enabled, disabled, or restricted)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Unauthorized USB device detection (personal drives, phones charging with data access)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USB device whitelist/blacklist policy verification via endpoint management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USB autorun/autoplay disabled confirmation across workstations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USB data transfer logging and DLP monitoring verification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Encrypted USB enforcement — only approved encrypted devices permitted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Unattended USB drives found in workstations or on desks documented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Filing cabinet lock status audit (locked, unlocked, missing keys)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Filing cabinet contents classification review (sensitive materials properly stored)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Key management for filing cabinets (who holds keys, sign-out log maintained)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Filing cabinet placement assessment (accessible to unauthorized personnel)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End-of-day filing cabinet lock compliance spot-check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Secure shredding bin availability and usage near filing areas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 documentation of all removable media and storage findings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REMEDIATION ROADMAP</w:t>
      </w:r>
    </w:p>
    <w:p>
      <w:pPr>
        <w:pBdr>
          <w:bottom w:val="single" w:color="B22222" w:sz="4" w:space="1"/>
        </w:pBdr>
        <w:spacing w:after="160" w:before="0"/>
      </w:pP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Customized workstation security policy template drafted based on findings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Policy template aligned to organizational risk tolerance and industry framework (NIST, ISO 27001)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Role-based workstation hardening requirements defined (standard user vs. admin vs. exec)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Workstation configuration baseline documented (approved settings, software, peripherals)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Policy exception and waiver process defined for non-standard configurations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Clean desk policy drafted with specific end-of-day requirements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Clean desk compliance checklist created for employee self-audit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Clean desk signage and awareness material recommendations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Secure storage solution recommendations for each department/floor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Clean desk enforcement and spot-check schedule proposed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Removable media acceptable use policy drafted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Approved device list and procurement process defined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USB port restriction implementation roadmap (phased rollout plan)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Employee training module recommendations for removable media handling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Incident response procedure for lost or unauthorized removable media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Overall workstation security maturity score calculated (weighted by risk)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Per-section compliance scores with pass/fail thresholds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Department-level scorecards generated for management review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Risk heat map produced highlighting critical, high, medium, and low findings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Benchmark comparison against NIST SP 800-171 workstation controls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Benchmark comparison against ISO 27001 Annex A physical security controls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Gap analysis summary with prioritized remediation actions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Industry peer comparison (anonymized benchmark data where available)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Executive summary with 30/60/90-day remediation milestones</w:t>
      </w:r>
    </w:p>
    <w:p>
      <w:pPr>
        <w:spacing w:after="50" w:before="50"/>
        <w:ind w:left="460" w:hanging="280"/>
      </w:pPr>
      <w:r>
        <w:rPr>
          <w:rFonts w:ascii="Segoe UI Symbol" w:cs="Segoe UI Symbol" w:eastAsia="Segoe UI Symbol" w:hAnsi="Segoe UI Symbol"/>
          <w:color w:val="B22222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Photo-documented evidence report with findings cross-referenced to controls</w:t>
      </w:r>
    </w:p>
    <w:p>
      <w:pPr>
        <w:spacing w:after="40" w:before="180"/>
        <w:ind w:left="180"/>
      </w:pPr>
      <w:r>
        <w:rPr>
          <w:rFonts w:ascii="Arial" w:cs="Arial" w:eastAsia="Arial" w:hAnsi="Arial"/>
          <w:b/>
          <w:bCs/>
          <w:i/>
          <w:iCs/>
          <w:color w:val="666666"/>
          <w:sz w:val="18"/>
          <w:szCs w:val="18"/>
        </w:rPr>
        <w:t xml:space="preserve">Notes: 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</w:t>
      </w:r>
    </w:p>
    <w:p>
      <w:pPr>
        <w:pBdr>
          <w:bottom w:val="single" w:color="B22222" w:sz="6" w:space="1"/>
        </w:pBdr>
        <w:spacing w:after="0" w:before="600"/>
      </w:pP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B22222"/>
          <w:sz w:val="28"/>
          <w:szCs w:val="28"/>
        </w:rPr>
        <w:t xml:space="preserve">RED CELL SOLUTIONS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redcellsolutions.com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B22222"/>
          <w:sz w:val="18"/>
          <w:szCs w:val="18"/>
        </w:rPr>
        <w:t xml:space="preserve">CONFIDENTIAL — Prepared exclusively for prospective clients of Red Cell Solutions.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•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B22222"/>
        <w:sz w:val="16"/>
        <w:szCs w:val="16"/>
      </w:rPr>
      <w:t xml:space="preserve">RED CELL SOLUTIONS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color w:val="666666"/>
        <w:sz w:val="16"/>
        <w:szCs w:val="16"/>
      </w:rPr>
      <w:t xml:space="preserve">Workstation Security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2026-03-12T05:41:17.221Z</dcterms:created>
  <dcterms:modified xsi:type="dcterms:W3CDTF">2026-03-12T05:41:17.222Z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