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区域|收入|增长</w:t>
      </w:r>
    </w:p>
    <w:p>
      <w:r>
        <w:t>华东|3200|18%</w:t>
      </w:r>
    </w:p>
    <w:p>
      <w:r>
        <w:t>华南|2400|15%</w:t>
      </w:r>
    </w:p>
    <w:sectPr/>
  </w:body>
</w:document>
</file>