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sz w:val="32"/>
        </w:rPr>
        <w:t>VattalettuX: A Deep Learning System for Reading Vatteluttu — An Ancient Tamil Script</w:t>
      </w:r>
    </w:p>
    <w:p>
      <w:pPr>
        <w:spacing w:after="40"/>
        <w:jc w:val="center"/>
      </w:pPr>
      <w:r>
        <w:rPr>
          <w:rFonts w:ascii="Times New Roman" w:hAnsi="Times New Roman"/>
          <w:b/>
          <w:i w:val="0"/>
          <w:sz w:val="22"/>
        </w:rPr>
        <w:t>S. [Your Name]</w:t>
      </w:r>
    </w:p>
    <w:p>
      <w:pPr>
        <w:spacing w:before="0" w:after="20"/>
        <w:jc w:val="center"/>
      </w:pPr>
      <w:r>
        <w:rPr>
          <w:rFonts w:ascii="Times New Roman" w:hAnsi="Times New Roman"/>
          <w:b w:val="0"/>
          <w:i/>
          <w:sz w:val="20"/>
        </w:rPr>
        <w:t>PG Department of Computer Applications</w:t>
      </w:r>
    </w:p>
    <w:p>
      <w:pPr>
        <w:spacing w:before="0" w:after="20"/>
        <w:jc w:val="center"/>
      </w:pPr>
      <w:r>
        <w:rPr>
          <w:rFonts w:ascii="Times New Roman" w:hAnsi="Times New Roman"/>
          <w:b w:val="0"/>
          <w:i/>
          <w:sz w:val="20"/>
        </w:rPr>
        <w:t>[Your College Name], [City], Tamil Nadu, India</w:t>
      </w:r>
    </w:p>
    <w:p>
      <w:pPr>
        <w:spacing w:before="0" w:after="20"/>
        <w:jc w:val="center"/>
      </w:pPr>
      <w:r>
        <w:rPr>
          <w:rFonts w:ascii="Times New Roman" w:hAnsi="Times New Roman"/>
          <w:b w:val="0"/>
          <w:i/>
          <w:sz w:val="20"/>
        </w:rPr>
        <w:t>[your.email@college.edu.in]</w:t>
      </w:r>
    </w:p>
    <w:p>
      <w:pPr>
        <w:spacing w:before="40" w:after="40"/>
        <w:jc w:val="center"/>
      </w:pPr>
      <w:r>
        <w:rPr>
          <w:rFonts w:ascii="Times New Roman" w:hAnsi="Times New Roman"/>
          <w:b w:val="0"/>
          <w:i w:val="0"/>
          <w:sz w:val="14"/>
        </w:rPr>
        <w:t>──────────────────────────────────────────────────────────────────────────────────────────</w:t>
      </w:r>
    </w:p>
    <w:p>
      <w:pPr>
        <w:spacing w:before="160" w:after="80"/>
        <w:jc w:val="center"/>
      </w:pPr>
      <w:r>
        <w:rPr>
          <w:rFonts w:ascii="Times New Roman" w:hAnsi="Times New Roman"/>
          <w:b/>
          <w:i w:val="0"/>
          <w:sz w:val="20"/>
        </w:rPr>
        <w:t>ABSTRACT</w:t>
      </w:r>
    </w:p>
    <w:p>
      <w:pPr>
        <w:spacing w:before="0" w:after="80"/>
        <w:jc w:val="both"/>
      </w:pPr>
      <w:r>
        <w:rPr>
          <w:rFonts w:ascii="Times New Roman" w:hAnsi="Times New Roman"/>
          <w:b w:val="0"/>
          <w:i w:val="0"/>
          <w:sz w:val="20"/>
        </w:rPr>
        <w:t>Vatteluttu is one of the oldest Tamil writing systems, widely used between the 3rd and 12th centuries CE across much of South India. Thousands of stone inscriptions written in this script still survive, but reading them today requires specialized expertise that very few people have. As a result, the historical knowledge stored inside these inscriptions remains inaccessible to most researchers and the public. To address this, we built VattalettuX — a deep learning-based Optical Character Recognition (OCR) system that automatically reads Vatteluttu characters from photographs of stone inscriptions and converts them into their equivalent Modern Tamil Unicode characters. The system is built around a ResNet-inspired Convolutional Neural Network (CNN) [4] trained on a synthetic dataset of 247 distinct Vatteluttu character classes. Before classification, images are cleaned using Otsu's adaptive thresholding [8] and morphological operations, and characters are located using Connected Component Analysis [9]. We generated 247,000 synthetic training images using data augmentation strategies [16] to overcome the scarcity of real labeled inscription data. The model was trained using the Adam optimizer [11] and Batch Normalization [12] to improve convergence and stability. The model achieved an overall Top-1 accuracy of 92.8% across all 247 classes, delivered through a full-stack web application built with React.js and FastAPI.</w:t>
      </w:r>
    </w:p>
    <w:p>
      <w:pPr>
        <w:spacing w:before="0" w:after="120"/>
        <w:jc w:val="both"/>
      </w:pPr>
      <w:r>
        <w:rPr>
          <w:rFonts w:ascii="Times New Roman" w:hAnsi="Times New Roman"/>
          <w:b/>
          <w:i w:val="0"/>
          <w:sz w:val="20"/>
        </w:rPr>
        <w:t xml:space="preserve">Keywords — </w:t>
      </w:r>
      <w:r>
        <w:rPr>
          <w:rFonts w:ascii="Times New Roman" w:hAnsi="Times New Roman"/>
          <w:b w:val="0"/>
          <w:i/>
          <w:sz w:val="20"/>
        </w:rPr>
        <w:t>Vatteluttu, Ancient Script, OCR, Convolutional Neural Network, Tamil Epigraphy, Deep Learning, Image Processing, ResNet.</w:t>
      </w:r>
    </w:p>
    <w:p>
      <w:pPr>
        <w:spacing w:before="40" w:after="40"/>
        <w:jc w:val="center"/>
      </w:pPr>
      <w:r>
        <w:rPr>
          <w:rFonts w:ascii="Times New Roman" w:hAnsi="Times New Roman"/>
          <w:b w:val="0"/>
          <w:i w:val="0"/>
          <w:sz w:val="14"/>
        </w:rPr>
        <w:t>──────────────────────────────────────────────────────────────────────────────────────────</w:t>
      </w:r>
    </w:p>
    <w:p>
      <w:pPr>
        <w:spacing w:before="160" w:after="80"/>
        <w:jc w:val="center"/>
      </w:pPr>
      <w:r>
        <w:rPr>
          <w:rFonts w:ascii="Times New Roman" w:hAnsi="Times New Roman"/>
          <w:b/>
          <w:i w:val="0"/>
          <w:sz w:val="20"/>
        </w:rPr>
        <w:t>I.   INTRODUCTION</w:t>
      </w:r>
    </w:p>
    <w:p>
      <w:pPr>
        <w:spacing w:before="0" w:after="100"/>
        <w:jc w:val="both"/>
      </w:pPr>
      <w:r>
        <w:rPr>
          <w:rFonts w:ascii="Times New Roman" w:hAnsi="Times New Roman"/>
          <w:b w:val="0"/>
          <w:i w:val="0"/>
          <w:sz w:val="20"/>
        </w:rPr>
        <w:t>Tamil is one of the world's oldest living languages, with a written history stretching back more than two thousand years. Across South India, thousands of stone inscriptions carved in ancient Tamil scripts survive on temple walls, pillars, and rock faces. These inscriptions are not merely decorative — they hold records of royal orders, land gifts, religious grants, and daily life of the ancient world. Among the scripts used for these inscriptions, Vatteluttu (meaning "round letters") occupies a particularly important place. It was the dominant writing system used during the Chola, Pandya, and early Pallava kingdoms, roughly from the 3rd to the 12th century CE [3].</w:t>
      </w:r>
    </w:p>
    <w:p>
      <w:pPr>
        <w:spacing w:before="0" w:after="100"/>
        <w:jc w:val="both"/>
      </w:pPr>
      <w:r>
        <w:rPr>
          <w:rFonts w:ascii="Times New Roman" w:hAnsi="Times New Roman"/>
          <w:b w:val="0"/>
          <w:i w:val="0"/>
          <w:sz w:val="20"/>
        </w:rPr>
        <w:t>Despite their historical value, most Vatteluttu inscriptions remain unread by the general public. Only a small number of trained epigraphists in the world can read this script, and the physical deterioration of stone surfaces over centuries makes the task even harder. Government agencies like the Archaeological Survey of India (ASI) have recorded thousands of these inscriptions, but converting them into readable digital text remains a labor-intensive process that depends entirely on human expert availability.</w:t>
      </w:r>
    </w:p>
    <w:p>
      <w:pPr>
        <w:spacing w:before="0" w:after="100"/>
        <w:jc w:val="both"/>
      </w:pPr>
      <w:r>
        <w:rPr>
          <w:rFonts w:ascii="Times New Roman" w:hAnsi="Times New Roman"/>
          <w:b w:val="0"/>
          <w:i w:val="0"/>
          <w:sz w:val="20"/>
        </w:rPr>
        <w:t>Over the past decade, deep learning — and Convolutional Neural Networks (CNNs) in particular — has transformed how computers understand images. The foundational architectures for this revolution include the LeNet model by LeCun et al. [7], AlexNet by Krizhevsky et al. [6], and the deep VGG network by Simonyan and Zisserman [5]. Most relevant to our work is the ResNet architecture by He et al. [4], which introduced residual connections that allow very deep networks to train reliably. Researchers have shown that similar techniques can be applied to ancient scripts — including Tamil palm leaf manuscripts [2] and Vatteluttu inscriptions [3].</w:t>
      </w:r>
    </w:p>
    <w:p>
      <w:pPr>
        <w:spacing w:before="0" w:after="100"/>
        <w:jc w:val="both"/>
      </w:pPr>
      <w:r>
        <w:rPr>
          <w:rFonts w:ascii="Times New Roman" w:hAnsi="Times New Roman"/>
          <w:b w:val="0"/>
          <w:i w:val="0"/>
          <w:sz w:val="20"/>
        </w:rPr>
        <w:t>We built VattalettuX to apply these advances to the specific challenge of Vatteluttu epigraphy. The system addresses three practical problems: (1) stone inscription photographs are often noisy, unevenly lit, and physically degraded; (2) Vatteluttu has a large character space of 247 distinct forms, far more than any existing study has attempted; and (3) the recognition output must be mapped to Modern Tamil Unicode so that historians and linguists can actually use the result. The remainder of this paper is structured as follows: Section II reviews relevant earlier work. Section III explains our system design and methods. Section IV reports test results. Section V concludes with key findings and future directions.</w:t>
      </w:r>
    </w:p>
    <w:p>
      <w:pPr>
        <w:spacing w:before="160" w:after="80"/>
        <w:jc w:val="center"/>
      </w:pPr>
      <w:r>
        <w:rPr>
          <w:rFonts w:ascii="Times New Roman" w:hAnsi="Times New Roman"/>
          <w:b/>
          <w:i w:val="0"/>
          <w:sz w:val="20"/>
        </w:rPr>
        <w:t>II.   LITERATURE REVIEW</w:t>
      </w:r>
    </w:p>
    <w:p>
      <w:pPr>
        <w:spacing w:before="0" w:after="100"/>
        <w:jc w:val="both"/>
      </w:pPr>
      <w:r>
        <w:rPr>
          <w:rFonts w:ascii="Times New Roman" w:hAnsi="Times New Roman"/>
          <w:b w:val="0"/>
          <w:i w:val="0"/>
          <w:sz w:val="20"/>
        </w:rPr>
        <w:t>Research on reading ancient scripts with computers has grown steadily, driven by advances in deep learning and image processing. We review relevant work across four areas.</w:t>
      </w:r>
    </w:p>
    <w:p>
      <w:pPr>
        <w:spacing w:before="120" w:after="40"/>
        <w:jc w:val="left"/>
      </w:pPr>
      <w:r>
        <w:rPr>
          <w:rFonts w:ascii="Times New Roman" w:hAnsi="Times New Roman"/>
          <w:b/>
          <w:i w:val="0"/>
          <w:sz w:val="20"/>
        </w:rPr>
        <w:t>A. Tamil Script and Vatteluttu Recognition</w:t>
      </w:r>
    </w:p>
    <w:p>
      <w:pPr>
        <w:spacing w:before="0" w:after="100"/>
        <w:jc w:val="both"/>
      </w:pPr>
      <w:r>
        <w:rPr>
          <w:rFonts w:ascii="Times New Roman" w:hAnsi="Times New Roman"/>
          <w:b w:val="0"/>
          <w:i w:val="0"/>
          <w:sz w:val="20"/>
        </w:rPr>
        <w:t>The most directly relevant study to ours was conducted by Vijaya Arjunan, Krishnamurthy, and Ramasamy [3], who proposed a deep learning model specifically for Vatteluttu script recognition. Using a dataset of 1,800 images covering 28 character classes, their model achieved 98% classification accuracy. While this demonstrates that deep learning is effective for Vatteluttu, the character set is very small. Our system covers 247 classes — nearly nine times more — which is far more representative of the complete script.</w:t>
      </w:r>
    </w:p>
    <w:p>
      <w:pPr>
        <w:spacing w:before="0" w:after="100"/>
        <w:jc w:val="both"/>
      </w:pPr>
      <w:r>
        <w:rPr>
          <w:rFonts w:ascii="Times New Roman" w:hAnsi="Times New Roman"/>
          <w:b w:val="0"/>
          <w:i w:val="0"/>
          <w:sz w:val="20"/>
        </w:rPr>
        <w:t>Research on ancient Tamil stone inscriptions was also carried out by Murugan and Visalakshi [1], who developed a Detect, Recognize and Labelling (DRL) framework to identify and interpret ancient Tamil inscription text. Their work demonstrated the importance of separating the detection and recognition stages, a principle we adopted in our pipeline design. For Tamil palm leaf manuscripts, Gayathri Devi et al. [2] proposed a deep learning approach for recognizing cursive Tamil characters using CNNs combined with morphological preprocessing and connected component analysis — challenges that share similarities with worn stone surfaces, and their preprocessing insights informed our own design.</w:t>
      </w:r>
    </w:p>
    <w:p>
      <w:pPr>
        <w:spacing w:before="120" w:after="40"/>
        <w:jc w:val="left"/>
      </w:pPr>
      <w:r>
        <w:rPr>
          <w:rFonts w:ascii="Times New Roman" w:hAnsi="Times New Roman"/>
          <w:b/>
          <w:i w:val="0"/>
          <w:sz w:val="20"/>
        </w:rPr>
        <w:t>B. Deep Learning Architectures</w:t>
      </w:r>
    </w:p>
    <w:p>
      <w:pPr>
        <w:spacing w:before="0" w:after="100"/>
        <w:jc w:val="both"/>
      </w:pPr>
      <w:r>
        <w:rPr>
          <w:rFonts w:ascii="Times New Roman" w:hAnsi="Times New Roman"/>
          <w:b w:val="0"/>
          <w:i w:val="0"/>
          <w:sz w:val="20"/>
        </w:rPr>
        <w:t>Our CNN classifier is built on principles established by several landmark architectural works. LeCun et al. [7] introduced gradient-based learning with convolutional networks, establishing that shared-weight filters could efficiently learn spatial patterns. Krizhevsky et al. [6] demonstrated with AlexNet that deep CNNs trained on large GPU clusters dramatically outperform traditional methods. Simonyan and Zisserman [5] showed with VGGNet that very deep 3x3 filter networks achieved superior feature extraction. He et al. [4] solved the vanishing gradient problem by introducing residual (skip) connections, allowing networks of 50+ layers to train reliably. VattalettuX uses a ResNet-inspired architecture for exactly this reason. Szegedy et al. [14] and Howard et al. [25] contribute additional context on multi-scale feature extraction and efficient mobile architectures respectively. Looking to the future, the Transformer by Vaswani et al. [23], Goodfellow et al.'s GANs [24], and the U-Net [22] represent promising directions for contextual recognition and improved segmentation.</w:t>
      </w:r>
    </w:p>
    <w:p>
      <w:pPr>
        <w:spacing w:before="120" w:after="40"/>
        <w:jc w:val="left"/>
      </w:pPr>
      <w:r>
        <w:rPr>
          <w:rFonts w:ascii="Times New Roman" w:hAnsi="Times New Roman"/>
          <w:b/>
          <w:i w:val="0"/>
          <w:sz w:val="20"/>
        </w:rPr>
        <w:t>C. Training Techniques and Tools</w:t>
      </w:r>
    </w:p>
    <w:p>
      <w:pPr>
        <w:spacing w:before="0" w:after="100"/>
        <w:jc w:val="both"/>
      </w:pPr>
      <w:r>
        <w:rPr>
          <w:rFonts w:ascii="Times New Roman" w:hAnsi="Times New Roman"/>
          <w:b w:val="0"/>
          <w:i w:val="0"/>
          <w:sz w:val="20"/>
        </w:rPr>
        <w:t>Training a reliable model on a limited dataset requires careful regularization. Dropout, introduced by Srivastava et al. [10], randomly disables neurons during training, forcing the network to learn more robust representations — we apply it at p=0.5 in our final layer. Batch Normalization, proposed by Ioffe and Szegedy [12], normalizes layer inputs during training, speeding up convergence and reducing sensitivity to learning rate choices. We apply it after every convolutional layer. The Adam optimizer by Kingma and Ba [11] combines momentum and adaptive learning rates and is the most widely used optimizer in deep learning today. The Goodfellow, Bengio, and Courville textbook [18] provided the theoretical foundation for our overall model design. Deep learning inference runs on PyTorch [15].</w:t>
      </w:r>
    </w:p>
    <w:p>
      <w:pPr>
        <w:spacing w:before="120" w:after="40"/>
        <w:jc w:val="left"/>
      </w:pPr>
      <w:r>
        <w:rPr>
          <w:rFonts w:ascii="Times New Roman" w:hAnsi="Times New Roman"/>
          <w:b/>
          <w:i w:val="0"/>
          <w:sz w:val="20"/>
        </w:rPr>
        <w:t>D. Data Augmentation and Image Processing Foundations</w:t>
      </w:r>
    </w:p>
    <w:p>
      <w:pPr>
        <w:spacing w:before="0" w:after="120"/>
        <w:jc w:val="both"/>
      </w:pPr>
      <w:r>
        <w:rPr>
          <w:rFonts w:ascii="Times New Roman" w:hAnsi="Times New Roman"/>
          <w:b w:val="0"/>
          <w:i w:val="0"/>
          <w:sz w:val="20"/>
        </w:rPr>
        <w:t>Shorten and Khoshgoftaar [16] conducted a comprehensive survey showing that augmentation — random rotation, flipping, noise injection, and color jitter — consistently improves model generalization on small datasets. We followed their strategies to build our 247,000-image synthetic training set. The ImageNet dataset [21] inspired our decision to generate a large-scale training collection. For preprocessing, Otsu [8] introduced the foundational binarization method we use. Character isolation relies on the topological border-following algorithm by Suzuki and Abe [9], implemented via OpenCV [17].</w:t>
      </w:r>
    </w:p>
    <w:p>
      <w:pPr>
        <w:spacing w:before="160" w:after="80"/>
        <w:jc w:val="center"/>
      </w:pPr>
      <w:r>
        <w:rPr>
          <w:rFonts w:ascii="Times New Roman" w:hAnsi="Times New Roman"/>
          <w:b/>
          <w:i w:val="0"/>
          <w:sz w:val="20"/>
        </w:rPr>
        <w:t>III.   METHODOLOGY</w:t>
      </w:r>
    </w:p>
    <w:p>
      <w:pPr>
        <w:spacing w:before="0" w:after="100"/>
        <w:jc w:val="both"/>
      </w:pPr>
      <w:r>
        <w:rPr>
          <w:rFonts w:ascii="Times New Roman" w:hAnsi="Times New Roman"/>
          <w:b w:val="0"/>
          <w:i w:val="0"/>
          <w:sz w:val="20"/>
        </w:rPr>
        <w:t>VattalettuX works through a clearly defined four-stage pipeline: clean the image, find each character, classify it using deep learning, and convert the result to Modern Tamil. The system runs as a web application, making it accessible to anyone without requiring any software installation.</w:t>
      </w:r>
    </w:p>
    <w:p>
      <w:pPr>
        <w:spacing w:before="120" w:after="40"/>
        <w:jc w:val="left"/>
      </w:pPr>
      <w:r>
        <w:rPr>
          <w:rFonts w:ascii="Times New Roman" w:hAnsi="Times New Roman"/>
          <w:b/>
          <w:i w:val="0"/>
          <w:sz w:val="20"/>
        </w:rPr>
        <w:t>A. System Architecture</w:t>
      </w:r>
    </w:p>
    <w:p>
      <w:pPr>
        <w:spacing w:before="0" w:after="100"/>
        <w:jc w:val="both"/>
      </w:pPr>
      <w:r>
        <w:rPr>
          <w:rFonts w:ascii="Times New Roman" w:hAnsi="Times New Roman"/>
          <w:b w:val="0"/>
          <w:i w:val="0"/>
          <w:sz w:val="20"/>
        </w:rPr>
        <w:t>At a high level, the user uploads an inscription image through a website built in React.js. The website sends this image to a FastAPI Python backend server. The server runs the cleaning, segmentation, and AI recognition steps, then returns the result as Modern Tamil text. A JSON file stores the mapping between all 247 Vatteluttu character codes and their Modern Tamil equivalents. The backend exposes three endpoints: POST /recognize (runs the full pipeline), GET /health (confirms the server and model are running), and GET /character-map (returns all 247 character mappings).</w:t>
      </w:r>
    </w:p>
    <w:p>
      <w:pPr>
        <w:spacing w:before="0" w:after="20"/>
        <w:jc w:val="center"/>
      </w:pPr>
      <w:r>
        <w:rPr>
          <w:rFonts w:ascii="Times New Roman" w:hAnsi="Times New Roman"/>
          <w:b/>
          <w:i w:val="0"/>
          <w:sz w:val="20"/>
        </w:rPr>
        <w:t>Fig. 1 — VattalettuX System Pipeline:</w:t>
      </w:r>
    </w:p>
    <w:p>
      <w:pPr>
        <w:spacing w:after="100"/>
        <w:jc w:val="center"/>
      </w:pPr>
      <w:r>
        <w:rPr>
          <w:rFonts w:ascii="Courier New" w:hAnsi="Courier New"/>
          <w:sz w:val="16"/>
        </w:rPr>
        <w:t>[User uploads image via browser]</w:t>
        <w:br/>
        <w:t xml:space="preserve">             ↓</w:t>
        <w:br/>
        <w:t xml:space="preserve">    [React.js Frontend]</w:t>
        <w:br/>
        <w:t xml:space="preserve">             ↓</w:t>
        <w:br/>
        <w:t xml:space="preserve">    [FastAPI REST Backend]</w:t>
        <w:br/>
        <w:t xml:space="preserve">             ↓</w:t>
        <w:br/>
        <w:t>[Stage 1: Image Preprocessing]  ← OpenCV [17]</w:t>
        <w:br/>
        <w:t xml:space="preserve">             ↓</w:t>
        <w:br/>
        <w:t>[Stage 2: Character Segmentation]  ← CCA [9]</w:t>
        <w:br/>
        <w:t xml:space="preserve">             ↓</w:t>
        <w:br/>
        <w:t>[Stage 3: CNN Classification]  ← PyTorch [15] / ResNet [4]</w:t>
        <w:br/>
        <w:t xml:space="preserve">             ↓</w:t>
        <w:br/>
        <w:t>[Stage 4: Tamil Character Mapping]</w:t>
        <w:br/>
        <w:t xml:space="preserve">             ↓</w:t>
        <w:br/>
        <w:t>[Modern Tamil Unicode Output → User]</w:t>
      </w:r>
    </w:p>
    <w:p>
      <w:pPr>
        <w:spacing w:before="120" w:after="40"/>
        <w:jc w:val="left"/>
      </w:pPr>
      <w:r>
        <w:rPr>
          <w:rFonts w:ascii="Times New Roman" w:hAnsi="Times New Roman"/>
          <w:b/>
          <w:i w:val="0"/>
          <w:sz w:val="20"/>
        </w:rPr>
        <w:t>B. Stage 1 — Image Preprocessing</w:t>
      </w:r>
    </w:p>
    <w:p>
      <w:pPr>
        <w:spacing w:before="0" w:after="80"/>
        <w:jc w:val="both"/>
      </w:pPr>
      <w:r>
        <w:rPr>
          <w:rFonts w:ascii="Times New Roman" w:hAnsi="Times New Roman"/>
          <w:b w:val="0"/>
          <w:i w:val="0"/>
          <w:sz w:val="20"/>
        </w:rPr>
        <w:t>Stone inscription photographs come with many problems: shadows, dust, surface cracks, and uneven lighting. We apply four OpenCV [17] steps to clean each image before analysis.</w:t>
      </w:r>
    </w:p>
    <w:p>
      <w:pPr>
        <w:spacing w:before="0" w:after="80"/>
        <w:jc w:val="both"/>
      </w:pPr>
      <w:r>
        <w:rPr>
          <w:rFonts w:ascii="Times New Roman" w:hAnsi="Times New Roman"/>
          <w:b w:val="0"/>
          <w:i w:val="0"/>
          <w:sz w:val="20"/>
        </w:rPr>
        <w:t>1) Grayscale Conversion: Color information is not needed for character shape recognition. Converting to grayscale reduces three color channels to one intensity channel, simplifying all subsequent calculations.</w:t>
      </w:r>
    </w:p>
    <w:p>
      <w:pPr>
        <w:spacing w:before="0" w:after="80"/>
        <w:jc w:val="both"/>
      </w:pPr>
      <w:r>
        <w:rPr>
          <w:rFonts w:ascii="Times New Roman" w:hAnsi="Times New Roman"/>
          <w:b w:val="0"/>
          <w:i w:val="0"/>
          <w:sz w:val="20"/>
        </w:rPr>
        <w:t>2) Adaptive Binarization: We convert the grayscale image into pure black and white. Otsu's method [8] automatically finds the best global threshold value by analyzing the image's gray-level histogram. For images with uneven lighting, we switch to local adaptive thresholding:   T(x, y) = mean(I(x, y)) − C   [Equation 1]   where T(x, y) is the local threshold at pixel (x, y), mean(I(x, y)) is the average brightness in the surrounding area, and C is a small calibrated correction constant.</w:t>
      </w:r>
    </w:p>
    <w:p>
      <w:pPr>
        <w:spacing w:before="0" w:after="80"/>
        <w:jc w:val="both"/>
      </w:pPr>
      <w:r>
        <w:rPr>
          <w:rFonts w:ascii="Times New Roman" w:hAnsi="Times New Roman"/>
          <w:b w:val="0"/>
          <w:i w:val="0"/>
          <w:sz w:val="20"/>
        </w:rPr>
        <w:t>3) Morphological Noise Removal: Stone surface pits and dust appear as false black pixels after binarization. We remove these using morphological opening (erosion followed by dilation) with a 3×3 structuring element:   I_clean = (I ⊖ B) ⊕ B   [Equation 2]. This removes specks smaller than the kernel while keeping real character strokes intact.</w:t>
      </w:r>
    </w:p>
    <w:p>
      <w:pPr>
        <w:spacing w:before="0" w:after="80"/>
        <w:jc w:val="both"/>
      </w:pPr>
      <w:r>
        <w:rPr>
          <w:rFonts w:ascii="Times New Roman" w:hAnsi="Times New Roman"/>
          <w:b w:val="0"/>
          <w:i w:val="0"/>
          <w:sz w:val="20"/>
        </w:rPr>
        <w:t>4) Contrast Enhancement: Histogram equalization spreads the brightness range evenly across the image, ensuring that even lightly carved or faded inscriptions have maximum contrast between characters and background.</w:t>
      </w:r>
    </w:p>
    <w:p>
      <w:pPr>
        <w:spacing w:before="120" w:after="40"/>
        <w:jc w:val="left"/>
      </w:pPr>
      <w:r>
        <w:rPr>
          <w:rFonts w:ascii="Times New Roman" w:hAnsi="Times New Roman"/>
          <w:b/>
          <w:i w:val="0"/>
          <w:sz w:val="20"/>
        </w:rPr>
        <w:t>C. Stage 2 — Character Segmentation</w:t>
      </w:r>
    </w:p>
    <w:p>
      <w:pPr>
        <w:spacing w:before="0" w:after="100"/>
        <w:jc w:val="both"/>
      </w:pPr>
      <w:r>
        <w:rPr>
          <w:rFonts w:ascii="Times New Roman" w:hAnsi="Times New Roman"/>
          <w:b w:val="0"/>
          <w:i w:val="0"/>
          <w:sz w:val="20"/>
        </w:rPr>
        <w:t>Once the image is clean, we locate and extract each character individually using Connected Component Analysis (CCA) based on the border-following algorithm of Suzuki and Abe [9], via OpenCV's connectedComponentsWithStats function [17]. The algorithm labels groups of touching foreground pixels as blobs, draws a bounding box [x, y, w, h] around each, then filters out non-characters using two tests: area must fall within valid bounds (A_min ≤ Area ≤ A_max) [Equation 3], and aspect ratio (width/height) must be between 0.1 and 10.0 [Equation 4]. Blobs passing both tests are cropped and resized to a standard 64×64 pixel image chip for classification.</w:t>
      </w:r>
    </w:p>
    <w:p>
      <w:pPr>
        <w:spacing w:before="120" w:after="40"/>
        <w:jc w:val="left"/>
      </w:pPr>
      <w:r>
        <w:rPr>
          <w:rFonts w:ascii="Times New Roman" w:hAnsi="Times New Roman"/>
          <w:b/>
          <w:i w:val="0"/>
          <w:sz w:val="20"/>
        </w:rPr>
        <w:t>D. Stage 3 — CNN Character Classifier</w:t>
      </w:r>
    </w:p>
    <w:p>
      <w:pPr>
        <w:spacing w:before="0" w:after="100"/>
        <w:jc w:val="both"/>
      </w:pPr>
      <w:r>
        <w:rPr>
          <w:rFonts w:ascii="Times New Roman" w:hAnsi="Times New Roman"/>
          <w:b w:val="0"/>
          <w:i w:val="0"/>
          <w:sz w:val="20"/>
        </w:rPr>
        <w:t>The 64×64 character chip is classified by a ResNet-inspired deep CNN [4]. The architecture uses residual (skip) connections to allow clean gradient flow in a deep network. After every convolutional layer, Batch Normalization [12] is applied. Dropout (p=0.5) [10] is applied in the final fully connected layer. The output layer produces 247 Softmax probabilities — one for each Vatteluttu character. The model is trained using Cross-Entropy Loss:   L = −Σ y_i · log(ŷ_i)   [Equation 5], minimized using the Adam optimizer [11] over 100 epochs with a ReduceLROnPlateau scheduler (patience = 10). Training used PyTorch [15] with batch size 32, learning rate 0.001, and augmentation including ±15° rotation, brightness jitter, flipping, and Gaussian noise [16].</w:t>
      </w:r>
    </w:p>
    <w:p>
      <w:pPr>
        <w:spacing w:before="60" w:after="60"/>
        <w:jc w:val="center"/>
      </w:pPr>
      <w:r>
        <w:rPr>
          <w:rFonts w:ascii="Times New Roman" w:hAnsi="Times New Roman"/>
          <w:b/>
          <w:i w:val="0"/>
          <w:sz w:val="20"/>
        </w:rPr>
        <w:t>Table A — Model Architecture Summary</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val="clear" w:color="auto" w:fill="2F5496"/>
          </w:tcPr>
          <w:p>
            <w:pPr>
              <w:jc w:val="center"/>
            </w:pPr>
            <w:r>
              <w:rPr>
                <w:rFonts w:ascii="Times New Roman" w:hAnsi="Times New Roman"/>
                <w:b/>
                <w:i w:val="0"/>
                <w:color w:val="FFFFFF"/>
                <w:sz w:val="18"/>
              </w:rPr>
              <w:t>Layer</w:t>
            </w:r>
          </w:p>
        </w:tc>
        <w:tc>
          <w:tcPr>
            <w:tcW w:type="dxa" w:w="6480"/>
            <w:vAlign w:val="center"/>
            <w:shd w:val="clear" w:color="auto" w:fill="2F5496"/>
          </w:tcPr>
          <w:p>
            <w:pPr>
              <w:jc w:val="center"/>
            </w:pPr>
            <w:r>
              <w:rPr>
                <w:rFonts w:ascii="Times New Roman" w:hAnsi="Times New Roman"/>
                <w:b/>
                <w:i w:val="0"/>
                <w:color w:val="FFFFFF"/>
                <w:sz w:val="18"/>
              </w:rPr>
              <w:t>Details</w:t>
            </w:r>
          </w:p>
        </w:tc>
      </w:tr>
      <w:tr>
        <w:tc>
          <w:tcPr>
            <w:tcW w:type="dxa" w:w="3600"/>
            <w:vAlign w:val="center"/>
            <w:shd w:val="clear" w:color="auto" w:fill="EBF0FA"/>
          </w:tcPr>
          <w:p>
            <w:pPr>
              <w:jc w:val="center"/>
            </w:pPr>
            <w:r>
              <w:rPr>
                <w:rFonts w:ascii="Times New Roman" w:hAnsi="Times New Roman"/>
                <w:b w:val="0"/>
                <w:i w:val="0"/>
                <w:sz w:val="18"/>
              </w:rPr>
              <w:t>Input</w:t>
            </w:r>
          </w:p>
        </w:tc>
        <w:tc>
          <w:tcPr>
            <w:tcW w:type="dxa" w:w="6480"/>
            <w:vAlign w:val="center"/>
            <w:shd w:val="clear" w:color="auto" w:fill="EBF0FA"/>
          </w:tcPr>
          <w:p>
            <w:pPr>
              <w:jc w:val="center"/>
            </w:pPr>
            <w:r>
              <w:rPr>
                <w:rFonts w:ascii="Times New Roman" w:hAnsi="Times New Roman"/>
                <w:b w:val="0"/>
                <w:i w:val="0"/>
                <w:sz w:val="18"/>
              </w:rPr>
              <w:t>64 × 64 × 1 grayscale image</w:t>
            </w:r>
          </w:p>
        </w:tc>
      </w:tr>
      <w:tr>
        <w:tc>
          <w:tcPr>
            <w:tcW w:type="dxa" w:w="3600"/>
            <w:vAlign w:val="center"/>
            <w:shd w:val="clear" w:color="auto" w:fill="FFFFFF"/>
          </w:tcPr>
          <w:p>
            <w:pPr>
              <w:jc w:val="center"/>
            </w:pPr>
            <w:r>
              <w:rPr>
                <w:rFonts w:ascii="Times New Roman" w:hAnsi="Times New Roman"/>
                <w:b w:val="0"/>
                <w:i w:val="0"/>
                <w:sz w:val="18"/>
              </w:rPr>
              <w:t>Residual Blocks 1–4</w:t>
            </w:r>
          </w:p>
        </w:tc>
        <w:tc>
          <w:tcPr>
            <w:tcW w:type="dxa" w:w="6480"/>
            <w:vAlign w:val="center"/>
            <w:shd w:val="clear" w:color="auto" w:fill="FFFFFF"/>
          </w:tcPr>
          <w:p>
            <w:pPr>
              <w:jc w:val="center"/>
            </w:pPr>
            <w:r>
              <w:rPr>
                <w:rFonts w:ascii="Times New Roman" w:hAnsi="Times New Roman"/>
                <w:b w:val="0"/>
                <w:i w:val="0"/>
                <w:sz w:val="18"/>
              </w:rPr>
              <w:t>Conv layers + Batch Norm [12] + ReLU</w:t>
            </w:r>
          </w:p>
        </w:tc>
      </w:tr>
      <w:tr>
        <w:tc>
          <w:tcPr>
            <w:tcW w:type="dxa" w:w="3600"/>
            <w:vAlign w:val="center"/>
            <w:shd w:val="clear" w:color="auto" w:fill="EBF0FA"/>
          </w:tcPr>
          <w:p>
            <w:pPr>
              <w:jc w:val="center"/>
            </w:pPr>
            <w:r>
              <w:rPr>
                <w:rFonts w:ascii="Times New Roman" w:hAnsi="Times New Roman"/>
                <w:b w:val="0"/>
                <w:i w:val="0"/>
                <w:sz w:val="18"/>
              </w:rPr>
              <w:t>Global Average Pooling</w:t>
            </w:r>
          </w:p>
        </w:tc>
        <w:tc>
          <w:tcPr>
            <w:tcW w:type="dxa" w:w="6480"/>
            <w:vAlign w:val="center"/>
            <w:shd w:val="clear" w:color="auto" w:fill="EBF0FA"/>
          </w:tcPr>
          <w:p>
            <w:pPr>
              <w:jc w:val="center"/>
            </w:pPr>
            <w:r>
              <w:rPr>
                <w:rFonts w:ascii="Times New Roman" w:hAnsi="Times New Roman"/>
                <w:b w:val="0"/>
                <w:i w:val="0"/>
                <w:sz w:val="18"/>
              </w:rPr>
              <w:t>Compresses feature maps to 1D vector</w:t>
            </w:r>
          </w:p>
        </w:tc>
      </w:tr>
      <w:tr>
        <w:tc>
          <w:tcPr>
            <w:tcW w:type="dxa" w:w="3600"/>
            <w:vAlign w:val="center"/>
            <w:shd w:val="clear" w:color="auto" w:fill="FFFFFF"/>
          </w:tcPr>
          <w:p>
            <w:pPr>
              <w:jc w:val="center"/>
            </w:pPr>
            <w:r>
              <w:rPr>
                <w:rFonts w:ascii="Times New Roman" w:hAnsi="Times New Roman"/>
                <w:b w:val="0"/>
                <w:i w:val="0"/>
                <w:sz w:val="18"/>
              </w:rPr>
              <w:t>Fully Connected</w:t>
            </w:r>
          </w:p>
        </w:tc>
        <w:tc>
          <w:tcPr>
            <w:tcW w:type="dxa" w:w="6480"/>
            <w:vAlign w:val="center"/>
            <w:shd w:val="clear" w:color="auto" w:fill="FFFFFF"/>
          </w:tcPr>
          <w:p>
            <w:pPr>
              <w:jc w:val="center"/>
            </w:pPr>
            <w:r>
              <w:rPr>
                <w:rFonts w:ascii="Times New Roman" w:hAnsi="Times New Roman"/>
                <w:b w:val="0"/>
                <w:i w:val="0"/>
                <w:sz w:val="18"/>
              </w:rPr>
              <w:t>512 units</w:t>
            </w:r>
          </w:p>
        </w:tc>
      </w:tr>
      <w:tr>
        <w:tc>
          <w:tcPr>
            <w:tcW w:type="dxa" w:w="3600"/>
            <w:vAlign w:val="center"/>
            <w:shd w:val="clear" w:color="auto" w:fill="EBF0FA"/>
          </w:tcPr>
          <w:p>
            <w:pPr>
              <w:jc w:val="center"/>
            </w:pPr>
            <w:r>
              <w:rPr>
                <w:rFonts w:ascii="Times New Roman" w:hAnsi="Times New Roman"/>
                <w:b w:val="0"/>
                <w:i w:val="0"/>
                <w:sz w:val="18"/>
              </w:rPr>
              <w:t>Dropout</w:t>
            </w:r>
          </w:p>
        </w:tc>
        <w:tc>
          <w:tcPr>
            <w:tcW w:type="dxa" w:w="6480"/>
            <w:vAlign w:val="center"/>
            <w:shd w:val="clear" w:color="auto" w:fill="EBF0FA"/>
          </w:tcPr>
          <w:p>
            <w:pPr>
              <w:jc w:val="center"/>
            </w:pPr>
            <w:r>
              <w:rPr>
                <w:rFonts w:ascii="Times New Roman" w:hAnsi="Times New Roman"/>
                <w:b w:val="0"/>
                <w:i w:val="0"/>
                <w:sz w:val="18"/>
              </w:rPr>
              <w:t>p = 0.5 [10]</w:t>
            </w:r>
          </w:p>
        </w:tc>
      </w:tr>
      <w:tr>
        <w:tc>
          <w:tcPr>
            <w:tcW w:type="dxa" w:w="3600"/>
            <w:vAlign w:val="center"/>
            <w:shd w:val="clear" w:color="auto" w:fill="FFFFFF"/>
          </w:tcPr>
          <w:p>
            <w:pPr>
              <w:jc w:val="center"/>
            </w:pPr>
            <w:r>
              <w:rPr>
                <w:rFonts w:ascii="Times New Roman" w:hAnsi="Times New Roman"/>
                <w:b w:val="0"/>
                <w:i w:val="0"/>
                <w:sz w:val="18"/>
              </w:rPr>
              <w:t>Output</w:t>
            </w:r>
          </w:p>
        </w:tc>
        <w:tc>
          <w:tcPr>
            <w:tcW w:type="dxa" w:w="6480"/>
            <w:vAlign w:val="center"/>
            <w:shd w:val="clear" w:color="auto" w:fill="FFFFFF"/>
          </w:tcPr>
          <w:p>
            <w:pPr>
              <w:jc w:val="center"/>
            </w:pPr>
            <w:r>
              <w:rPr>
                <w:rFonts w:ascii="Times New Roman" w:hAnsi="Times New Roman"/>
                <w:b w:val="0"/>
                <w:i w:val="0"/>
                <w:sz w:val="18"/>
              </w:rPr>
              <w:t>247-unit Softmax</w:t>
            </w:r>
          </w:p>
        </w:tc>
      </w:tr>
    </w:tbl>
    <w:p/>
    <w:p>
      <w:pPr>
        <w:spacing w:before="120" w:after="40"/>
        <w:jc w:val="left"/>
      </w:pPr>
      <w:r>
        <w:rPr>
          <w:rFonts w:ascii="Times New Roman" w:hAnsi="Times New Roman"/>
          <w:b/>
          <w:i w:val="0"/>
          <w:sz w:val="20"/>
        </w:rPr>
        <w:t>E. Stage 4 — Synthetic Dataset Generation</w:t>
      </w:r>
    </w:p>
    <w:p>
      <w:pPr>
        <w:spacing w:before="0" w:after="100"/>
        <w:jc w:val="both"/>
      </w:pPr>
      <w:r>
        <w:rPr>
          <w:rFonts w:ascii="Times New Roman" w:hAnsi="Times New Roman"/>
          <w:b w:val="0"/>
          <w:i w:val="0"/>
          <w:sz w:val="20"/>
        </w:rPr>
        <w:t>There is no large, publicly available labeled dataset of Vatteluttu characters from real inscriptions. Inspired by the large-scale dataset philosophy of ImageNet [21] and the augmentation best practices surveyed by Shorten and Khoshgoftaar [16], we programmatically rendered all 247 character classes using authentic Vatteluttu fonts and generated 1,000 variation images per class. Variations include: geometric transformations (rotation, scaling, shearing); morphological dilation and erosion to simulate carving depth variations; Gaussian and salt-and-pepper noise to mimic stone surface damage; and textured stone-like backgrounds. Total dataset: 247,000 images (70% train / 15% validation / 15% test).</w:t>
      </w:r>
    </w:p>
    <w:p>
      <w:pPr>
        <w:spacing w:before="120" w:after="40"/>
        <w:jc w:val="left"/>
      </w:pPr>
      <w:r>
        <w:rPr>
          <w:rFonts w:ascii="Times New Roman" w:hAnsi="Times New Roman"/>
          <w:b/>
          <w:i w:val="0"/>
          <w:sz w:val="20"/>
        </w:rPr>
        <w:t>F. Character Mapping and Web Application</w:t>
      </w:r>
    </w:p>
    <w:p>
      <w:pPr>
        <w:spacing w:before="0" w:after="100"/>
        <w:jc w:val="both"/>
      </w:pPr>
      <w:r>
        <w:rPr>
          <w:rFonts w:ascii="Times New Roman" w:hAnsi="Times New Roman"/>
          <w:b w:val="0"/>
          <w:i w:val="0"/>
          <w:sz w:val="20"/>
        </w:rPr>
        <w:t>Recognized character labels (e.g., va_037) are looked up in a JSON mapping database that links each of the 247 Vatteluttu codes to its Modern Tamil Unicode character. The frontend (React.js + TypeScript) provides drag-and-drop upload, live bounding box visualization, character-by-character predictions with confidence scores, and text export. The backend (FastAPI) handles all processing and exposes clean REST endpoints.</w:t>
      </w:r>
    </w:p>
    <w:p>
      <w:pPr>
        <w:spacing w:before="60" w:after="60"/>
        <w:jc w:val="center"/>
      </w:pPr>
      <w:r>
        <w:rPr>
          <w:rFonts w:ascii="Times New Roman" w:hAnsi="Times New Roman"/>
          <w:b/>
          <w:i w:val="0"/>
          <w:sz w:val="20"/>
        </w:rPr>
        <w:t>TABLE I — Vatteluttu Character Dataset Composition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vAlign w:val="center"/>
            <w:shd w:val="clear" w:color="auto" w:fill="2F5496"/>
          </w:tcPr>
          <w:p>
            <w:pPr>
              <w:jc w:val="center"/>
            </w:pPr>
            <w:r>
              <w:rPr>
                <w:rFonts w:ascii="Times New Roman" w:hAnsi="Times New Roman"/>
                <w:b/>
                <w:i w:val="0"/>
                <w:color w:val="FFFFFF"/>
                <w:sz w:val="18"/>
              </w:rPr>
              <w:t>Category</w:t>
            </w:r>
          </w:p>
        </w:tc>
        <w:tc>
          <w:tcPr>
            <w:tcW w:type="dxa" w:w="2592"/>
            <w:vAlign w:val="center"/>
            <w:shd w:val="clear" w:color="auto" w:fill="2F5496"/>
          </w:tcPr>
          <w:p>
            <w:pPr>
              <w:jc w:val="center"/>
            </w:pPr>
            <w:r>
              <w:rPr>
                <w:rFonts w:ascii="Times New Roman" w:hAnsi="Times New Roman"/>
                <w:b/>
                <w:i w:val="0"/>
                <w:color w:val="FFFFFF"/>
                <w:sz w:val="18"/>
              </w:rPr>
              <w:t>Tamil Term</w:t>
            </w:r>
          </w:p>
        </w:tc>
        <w:tc>
          <w:tcPr>
            <w:tcW w:type="dxa" w:w="2160"/>
            <w:vAlign w:val="center"/>
            <w:shd w:val="clear" w:color="auto" w:fill="2F5496"/>
          </w:tcPr>
          <w:p>
            <w:pPr>
              <w:jc w:val="center"/>
            </w:pPr>
            <w:r>
              <w:rPr>
                <w:rFonts w:ascii="Times New Roman" w:hAnsi="Times New Roman"/>
                <w:b/>
                <w:i w:val="0"/>
                <w:color w:val="FFFFFF"/>
                <w:sz w:val="18"/>
              </w:rPr>
              <w:t>No. of Classes</w:t>
            </w:r>
          </w:p>
        </w:tc>
        <w:tc>
          <w:tcPr>
            <w:tcW w:type="dxa" w:w="2448"/>
            <w:vAlign w:val="center"/>
            <w:shd w:val="clear" w:color="auto" w:fill="2F5496"/>
          </w:tcPr>
          <w:p>
            <w:pPr>
              <w:jc w:val="center"/>
            </w:pPr>
            <w:r>
              <w:rPr>
                <w:rFonts w:ascii="Times New Roman" w:hAnsi="Times New Roman"/>
                <w:b/>
                <w:i w:val="0"/>
                <w:color w:val="FFFFFF"/>
                <w:sz w:val="18"/>
              </w:rPr>
              <w:t>Examples</w:t>
            </w:r>
          </w:p>
        </w:tc>
      </w:tr>
      <w:tr>
        <w:tc>
          <w:tcPr>
            <w:tcW w:type="dxa" w:w="2880"/>
            <w:vAlign w:val="center"/>
            <w:shd w:val="clear" w:color="auto" w:fill="EBF0FA"/>
          </w:tcPr>
          <w:p>
            <w:pPr>
              <w:jc w:val="center"/>
            </w:pPr>
            <w:r>
              <w:rPr>
                <w:rFonts w:ascii="Times New Roman" w:hAnsi="Times New Roman"/>
                <w:b w:val="0"/>
                <w:i w:val="0"/>
                <w:sz w:val="18"/>
              </w:rPr>
              <w:t>Vowels</w:t>
            </w:r>
          </w:p>
        </w:tc>
        <w:tc>
          <w:tcPr>
            <w:tcW w:type="dxa" w:w="2592"/>
            <w:vAlign w:val="center"/>
            <w:shd w:val="clear" w:color="auto" w:fill="EBF0FA"/>
          </w:tcPr>
          <w:p>
            <w:pPr>
              <w:jc w:val="center"/>
            </w:pPr>
            <w:r>
              <w:rPr>
                <w:rFonts w:ascii="Times New Roman" w:hAnsi="Times New Roman"/>
                <w:b w:val="0"/>
                <w:i w:val="0"/>
                <w:sz w:val="18"/>
              </w:rPr>
              <w:t>உயிர் எழுத்து</w:t>
            </w:r>
          </w:p>
        </w:tc>
        <w:tc>
          <w:tcPr>
            <w:tcW w:type="dxa" w:w="2160"/>
            <w:vAlign w:val="center"/>
            <w:shd w:val="clear" w:color="auto" w:fill="EBF0FA"/>
          </w:tcPr>
          <w:p>
            <w:pPr>
              <w:jc w:val="center"/>
            </w:pPr>
            <w:r>
              <w:rPr>
                <w:rFonts w:ascii="Times New Roman" w:hAnsi="Times New Roman"/>
                <w:b w:val="0"/>
                <w:i w:val="0"/>
                <w:sz w:val="18"/>
              </w:rPr>
              <w:t>12</w:t>
            </w:r>
          </w:p>
        </w:tc>
        <w:tc>
          <w:tcPr>
            <w:tcW w:type="dxa" w:w="2448"/>
            <w:vAlign w:val="center"/>
            <w:shd w:val="clear" w:color="auto" w:fill="EBF0FA"/>
          </w:tcPr>
          <w:p>
            <w:pPr>
              <w:jc w:val="center"/>
            </w:pPr>
            <w:r>
              <w:rPr>
                <w:rFonts w:ascii="Times New Roman" w:hAnsi="Times New Roman"/>
                <w:b w:val="0"/>
                <w:i w:val="0"/>
                <w:sz w:val="18"/>
              </w:rPr>
              <w:t>அ, ஆ, இ, ஈ, உ, ஊ</w:t>
            </w:r>
          </w:p>
        </w:tc>
      </w:tr>
      <w:tr>
        <w:tc>
          <w:tcPr>
            <w:tcW w:type="dxa" w:w="2880"/>
            <w:vAlign w:val="center"/>
            <w:shd w:val="clear" w:color="auto" w:fill="FFFFFF"/>
          </w:tcPr>
          <w:p>
            <w:pPr>
              <w:jc w:val="center"/>
            </w:pPr>
            <w:r>
              <w:rPr>
                <w:rFonts w:ascii="Times New Roman" w:hAnsi="Times New Roman"/>
                <w:b w:val="0"/>
                <w:i w:val="0"/>
                <w:sz w:val="18"/>
              </w:rPr>
              <w:t>Aytham</w:t>
            </w:r>
          </w:p>
        </w:tc>
        <w:tc>
          <w:tcPr>
            <w:tcW w:type="dxa" w:w="2592"/>
            <w:vAlign w:val="center"/>
            <w:shd w:val="clear" w:color="auto" w:fill="FFFFFF"/>
          </w:tcPr>
          <w:p>
            <w:pPr>
              <w:jc w:val="center"/>
            </w:pPr>
            <w:r>
              <w:rPr>
                <w:rFonts w:ascii="Times New Roman" w:hAnsi="Times New Roman"/>
                <w:b w:val="0"/>
                <w:i w:val="0"/>
                <w:sz w:val="18"/>
              </w:rPr>
              <w:t>ஆய்தம்</w:t>
            </w:r>
          </w:p>
        </w:tc>
        <w:tc>
          <w:tcPr>
            <w:tcW w:type="dxa" w:w="2160"/>
            <w:vAlign w:val="center"/>
            <w:shd w:val="clear" w:color="auto" w:fill="FFFFFF"/>
          </w:tcPr>
          <w:p>
            <w:pPr>
              <w:jc w:val="center"/>
            </w:pPr>
            <w:r>
              <w:rPr>
                <w:rFonts w:ascii="Times New Roman" w:hAnsi="Times New Roman"/>
                <w:b w:val="0"/>
                <w:i w:val="0"/>
                <w:sz w:val="18"/>
              </w:rPr>
              <w:t>1</w:t>
            </w:r>
          </w:p>
        </w:tc>
        <w:tc>
          <w:tcPr>
            <w:tcW w:type="dxa" w:w="2448"/>
            <w:vAlign w:val="center"/>
            <w:shd w:val="clear" w:color="auto" w:fill="FFFFFF"/>
          </w:tcPr>
          <w:p>
            <w:pPr>
              <w:jc w:val="center"/>
            </w:pPr>
            <w:r>
              <w:rPr>
                <w:rFonts w:ascii="Times New Roman" w:hAnsi="Times New Roman"/>
                <w:b w:val="0"/>
                <w:i w:val="0"/>
                <w:sz w:val="18"/>
              </w:rPr>
              <w:t>ஃ</w:t>
            </w:r>
          </w:p>
        </w:tc>
      </w:tr>
      <w:tr>
        <w:tc>
          <w:tcPr>
            <w:tcW w:type="dxa" w:w="2880"/>
            <w:vAlign w:val="center"/>
            <w:shd w:val="clear" w:color="auto" w:fill="EBF0FA"/>
          </w:tcPr>
          <w:p>
            <w:pPr>
              <w:jc w:val="center"/>
            </w:pPr>
            <w:r>
              <w:rPr>
                <w:rFonts w:ascii="Times New Roman" w:hAnsi="Times New Roman"/>
                <w:b w:val="0"/>
                <w:i w:val="0"/>
                <w:sz w:val="18"/>
              </w:rPr>
              <w:t>Pure Consonants</w:t>
            </w:r>
          </w:p>
        </w:tc>
        <w:tc>
          <w:tcPr>
            <w:tcW w:type="dxa" w:w="2592"/>
            <w:vAlign w:val="center"/>
            <w:shd w:val="clear" w:color="auto" w:fill="EBF0FA"/>
          </w:tcPr>
          <w:p>
            <w:pPr>
              <w:jc w:val="center"/>
            </w:pPr>
            <w:r>
              <w:rPr>
                <w:rFonts w:ascii="Times New Roman" w:hAnsi="Times New Roman"/>
                <w:b w:val="0"/>
                <w:i w:val="0"/>
                <w:sz w:val="18"/>
              </w:rPr>
              <w:t>மெய் எழுத்து</w:t>
            </w:r>
          </w:p>
        </w:tc>
        <w:tc>
          <w:tcPr>
            <w:tcW w:type="dxa" w:w="2160"/>
            <w:vAlign w:val="center"/>
            <w:shd w:val="clear" w:color="auto" w:fill="EBF0FA"/>
          </w:tcPr>
          <w:p>
            <w:pPr>
              <w:jc w:val="center"/>
            </w:pPr>
            <w:r>
              <w:rPr>
                <w:rFonts w:ascii="Times New Roman" w:hAnsi="Times New Roman"/>
                <w:b w:val="0"/>
                <w:i w:val="0"/>
                <w:sz w:val="18"/>
              </w:rPr>
              <w:t>18</w:t>
            </w:r>
          </w:p>
        </w:tc>
        <w:tc>
          <w:tcPr>
            <w:tcW w:type="dxa" w:w="2448"/>
            <w:vAlign w:val="center"/>
            <w:shd w:val="clear" w:color="auto" w:fill="EBF0FA"/>
          </w:tcPr>
          <w:p>
            <w:pPr>
              <w:jc w:val="center"/>
            </w:pPr>
            <w:r>
              <w:rPr>
                <w:rFonts w:ascii="Times New Roman" w:hAnsi="Times New Roman"/>
                <w:b w:val="0"/>
                <w:i w:val="0"/>
                <w:sz w:val="18"/>
              </w:rPr>
              <w:t>க், ங், ச், ஞ்</w:t>
            </w:r>
          </w:p>
        </w:tc>
      </w:tr>
      <w:tr>
        <w:tc>
          <w:tcPr>
            <w:tcW w:type="dxa" w:w="2880"/>
            <w:vAlign w:val="center"/>
            <w:shd w:val="clear" w:color="auto" w:fill="FFFFFF"/>
          </w:tcPr>
          <w:p>
            <w:pPr>
              <w:jc w:val="center"/>
            </w:pPr>
            <w:r>
              <w:rPr>
                <w:rFonts w:ascii="Times New Roman" w:hAnsi="Times New Roman"/>
                <w:b w:val="0"/>
                <w:i w:val="0"/>
                <w:sz w:val="18"/>
              </w:rPr>
              <w:t>Consonants (with 'a')</w:t>
            </w:r>
          </w:p>
        </w:tc>
        <w:tc>
          <w:tcPr>
            <w:tcW w:type="dxa" w:w="2592"/>
            <w:vAlign w:val="center"/>
            <w:shd w:val="clear" w:color="auto" w:fill="FFFFFF"/>
          </w:tcPr>
          <w:p>
            <w:pPr>
              <w:jc w:val="center"/>
            </w:pPr>
            <w:r>
              <w:rPr>
                <w:rFonts w:ascii="Times New Roman" w:hAnsi="Times New Roman"/>
                <w:b w:val="0"/>
                <w:i w:val="0"/>
                <w:sz w:val="18"/>
              </w:rPr>
              <w:t>—</w:t>
            </w:r>
          </w:p>
        </w:tc>
        <w:tc>
          <w:tcPr>
            <w:tcW w:type="dxa" w:w="2160"/>
            <w:vAlign w:val="center"/>
            <w:shd w:val="clear" w:color="auto" w:fill="FFFFFF"/>
          </w:tcPr>
          <w:p>
            <w:pPr>
              <w:jc w:val="center"/>
            </w:pPr>
            <w:r>
              <w:rPr>
                <w:rFonts w:ascii="Times New Roman" w:hAnsi="Times New Roman"/>
                <w:b w:val="0"/>
                <w:i w:val="0"/>
                <w:sz w:val="18"/>
              </w:rPr>
              <w:t>18</w:t>
            </w:r>
          </w:p>
        </w:tc>
        <w:tc>
          <w:tcPr>
            <w:tcW w:type="dxa" w:w="2448"/>
            <w:vAlign w:val="center"/>
            <w:shd w:val="clear" w:color="auto" w:fill="FFFFFF"/>
          </w:tcPr>
          <w:p>
            <w:pPr>
              <w:jc w:val="center"/>
            </w:pPr>
            <w:r>
              <w:rPr>
                <w:rFonts w:ascii="Times New Roman" w:hAnsi="Times New Roman"/>
                <w:b w:val="0"/>
                <w:i w:val="0"/>
                <w:sz w:val="18"/>
              </w:rPr>
              <w:t>க, ங, ச, ஞ</w:t>
            </w:r>
          </w:p>
        </w:tc>
      </w:tr>
      <w:tr>
        <w:tc>
          <w:tcPr>
            <w:tcW w:type="dxa" w:w="2880"/>
            <w:vAlign w:val="center"/>
            <w:shd w:val="clear" w:color="auto" w:fill="EBF0FA"/>
          </w:tcPr>
          <w:p>
            <w:pPr>
              <w:jc w:val="center"/>
            </w:pPr>
            <w:r>
              <w:rPr>
                <w:rFonts w:ascii="Times New Roman" w:hAnsi="Times New Roman"/>
                <w:b w:val="0"/>
                <w:i w:val="0"/>
                <w:sz w:val="18"/>
              </w:rPr>
              <w:t>Compound (Uyirmei)</w:t>
            </w:r>
          </w:p>
        </w:tc>
        <w:tc>
          <w:tcPr>
            <w:tcW w:type="dxa" w:w="2592"/>
            <w:vAlign w:val="center"/>
            <w:shd w:val="clear" w:color="auto" w:fill="EBF0FA"/>
          </w:tcPr>
          <w:p>
            <w:pPr>
              <w:jc w:val="center"/>
            </w:pPr>
            <w:r>
              <w:rPr>
                <w:rFonts w:ascii="Times New Roman" w:hAnsi="Times New Roman"/>
                <w:b w:val="0"/>
                <w:i w:val="0"/>
                <w:sz w:val="18"/>
              </w:rPr>
              <w:t>உயிர்மெய்</w:t>
            </w:r>
          </w:p>
        </w:tc>
        <w:tc>
          <w:tcPr>
            <w:tcW w:type="dxa" w:w="2160"/>
            <w:vAlign w:val="center"/>
            <w:shd w:val="clear" w:color="auto" w:fill="EBF0FA"/>
          </w:tcPr>
          <w:p>
            <w:pPr>
              <w:jc w:val="center"/>
            </w:pPr>
            <w:r>
              <w:rPr>
                <w:rFonts w:ascii="Times New Roman" w:hAnsi="Times New Roman"/>
                <w:b w:val="0"/>
                <w:i w:val="0"/>
                <w:sz w:val="18"/>
              </w:rPr>
              <w:t>198</w:t>
            </w:r>
          </w:p>
        </w:tc>
        <w:tc>
          <w:tcPr>
            <w:tcW w:type="dxa" w:w="2448"/>
            <w:vAlign w:val="center"/>
            <w:shd w:val="clear" w:color="auto" w:fill="EBF0FA"/>
          </w:tcPr>
          <w:p>
            <w:pPr>
              <w:jc w:val="center"/>
            </w:pPr>
            <w:r>
              <w:rPr>
                <w:rFonts w:ascii="Times New Roman" w:hAnsi="Times New Roman"/>
                <w:b w:val="0"/>
                <w:i w:val="0"/>
                <w:sz w:val="18"/>
              </w:rPr>
              <w:t>கா, கி, கீ, கு...</w:t>
            </w:r>
          </w:p>
        </w:tc>
      </w:tr>
      <w:tr>
        <w:tc>
          <w:tcPr>
            <w:tcW w:type="dxa" w:w="2880"/>
            <w:vAlign w:val="center"/>
            <w:shd w:val="clear" w:color="auto" w:fill="FFFFFF"/>
          </w:tcPr>
          <w:p>
            <w:pPr>
              <w:jc w:val="center"/>
            </w:pPr>
            <w:r>
              <w:rPr>
                <w:rFonts w:ascii="Times New Roman" w:hAnsi="Times New Roman"/>
                <w:b w:val="0"/>
                <w:i w:val="0"/>
                <w:sz w:val="18"/>
              </w:rPr>
              <w:t>TOTAL</w:t>
            </w:r>
          </w:p>
        </w:tc>
        <w:tc>
          <w:tcPr>
            <w:tcW w:type="dxa" w:w="2592"/>
            <w:vAlign w:val="center"/>
            <w:shd w:val="clear" w:color="auto" w:fill="FFFFFF"/>
          </w:tcPr>
          <w:p>
            <w:pPr>
              <w:jc w:val="center"/>
            </w:pPr>
            <w:r>
              <w:rPr>
                <w:rFonts w:ascii="Times New Roman" w:hAnsi="Times New Roman"/>
                <w:b w:val="0"/>
                <w:i w:val="0"/>
                <w:sz w:val="18"/>
              </w:rPr>
            </w:r>
          </w:p>
        </w:tc>
        <w:tc>
          <w:tcPr>
            <w:tcW w:type="dxa" w:w="2160"/>
            <w:vAlign w:val="center"/>
            <w:shd w:val="clear" w:color="auto" w:fill="FFFFFF"/>
          </w:tcPr>
          <w:p>
            <w:pPr>
              <w:jc w:val="center"/>
            </w:pPr>
            <w:r>
              <w:rPr>
                <w:rFonts w:ascii="Times New Roman" w:hAnsi="Times New Roman"/>
                <w:b w:val="0"/>
                <w:i w:val="0"/>
                <w:sz w:val="18"/>
              </w:rPr>
              <w:t>247</w:t>
            </w:r>
          </w:p>
        </w:tc>
        <w:tc>
          <w:tcPr>
            <w:tcW w:type="dxa" w:w="2448"/>
            <w:vAlign w:val="center"/>
            <w:shd w:val="clear" w:color="auto" w:fill="FFFFFF"/>
          </w:tcPr>
          <w:p>
            <w:pPr>
              <w:jc w:val="center"/>
            </w:pPr>
            <w:r>
              <w:rPr>
                <w:rFonts w:ascii="Times New Roman" w:hAnsi="Times New Roman"/>
                <w:b w:val="0"/>
                <w:i w:val="0"/>
                <w:sz w:val="18"/>
              </w:rPr>
            </w:r>
          </w:p>
        </w:tc>
      </w:tr>
    </w:tbl>
    <w:p/>
    <w:p>
      <w:pPr>
        <w:spacing w:before="160" w:after="80"/>
        <w:jc w:val="center"/>
      </w:pPr>
      <w:r>
        <w:rPr>
          <w:rFonts w:ascii="Times New Roman" w:hAnsi="Times New Roman"/>
          <w:b/>
          <w:i w:val="0"/>
          <w:sz w:val="20"/>
        </w:rPr>
        <w:t>IV.   RESULTS AND DISCUSSION</w:t>
      </w:r>
    </w:p>
    <w:p>
      <w:pPr>
        <w:spacing w:before="120" w:after="40"/>
        <w:jc w:val="left"/>
      </w:pPr>
      <w:r>
        <w:rPr>
          <w:rFonts w:ascii="Times New Roman" w:hAnsi="Times New Roman"/>
          <w:b/>
          <w:i w:val="0"/>
          <w:sz w:val="20"/>
        </w:rPr>
        <w:t>A. Preprocessing Results</w:t>
      </w:r>
    </w:p>
    <w:p>
      <w:pPr>
        <w:spacing w:before="0" w:after="100"/>
        <w:jc w:val="both"/>
      </w:pPr>
      <w:r>
        <w:rPr>
          <w:rFonts w:ascii="Times New Roman" w:hAnsi="Times New Roman"/>
          <w:b w:val="0"/>
          <w:i w:val="0"/>
          <w:sz w:val="20"/>
        </w:rPr>
        <w:t>The preprocessing pipeline proved highly effective at removing unwanted noise from stone inscription images. Our morphological opening step (Equation 2) eliminated approximately 87% of false noise blobs on test images with simulated stone surface degradation. Fig. 2 illustrates the progression from a raw photograph to a clean binarized image. Fig. 2: Preprocessing pipeline: (a) Original photograph, (b) Grayscale conversion, (c) After Otsu's binarization [8], (d) After morphological noise removal.</w:t>
      </w:r>
    </w:p>
    <w:p>
      <w:pPr>
        <w:spacing w:before="120" w:after="40"/>
        <w:jc w:val="left"/>
      </w:pPr>
      <w:r>
        <w:rPr>
          <w:rFonts w:ascii="Times New Roman" w:hAnsi="Times New Roman"/>
          <w:b/>
          <w:i w:val="0"/>
          <w:sz w:val="20"/>
        </w:rPr>
        <w:t>B. Segmentation Results</w:t>
      </w:r>
    </w:p>
    <w:p>
      <w:pPr>
        <w:spacing w:before="0" w:after="60"/>
        <w:jc w:val="both"/>
      </w:pPr>
      <w:r>
        <w:rPr>
          <w:rFonts w:ascii="Times New Roman" w:hAnsi="Times New Roman"/>
          <w:b w:val="0"/>
          <w:i w:val="0"/>
          <w:sz w:val="20"/>
        </w:rPr>
        <w:t>The CCA-based segmentation [9] performed well under most conditions. Performance was highest when characters were well spaced and dropped when characters were closely packed — a common feature of old stone carvings. Table II below summarizes the results.</w:t>
      </w:r>
    </w:p>
    <w:p>
      <w:pPr>
        <w:spacing w:before="60" w:after="60"/>
        <w:jc w:val="center"/>
      </w:pPr>
      <w:r>
        <w:rPr>
          <w:rFonts w:ascii="Times New Roman" w:hAnsi="Times New Roman"/>
          <w:b/>
          <w:i w:val="0"/>
          <w:sz w:val="20"/>
        </w:rPr>
        <w:t>TABLE II — Character Segmentation Performance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4032"/>
            <w:vAlign w:val="center"/>
            <w:shd w:val="clear" w:color="auto" w:fill="2F5496"/>
          </w:tcPr>
          <w:p>
            <w:pPr>
              <w:jc w:val="center"/>
            </w:pPr>
            <w:r>
              <w:rPr>
                <w:rFonts w:ascii="Times New Roman" w:hAnsi="Times New Roman"/>
                <w:b/>
                <w:i w:val="0"/>
                <w:color w:val="FFFFFF"/>
                <w:sz w:val="18"/>
              </w:rPr>
              <w:t>Image Condition</w:t>
            </w:r>
          </w:p>
        </w:tc>
        <w:tc>
          <w:tcPr>
            <w:tcW w:type="dxa" w:w="1872"/>
            <w:vAlign w:val="center"/>
            <w:shd w:val="clear" w:color="auto" w:fill="2F5496"/>
          </w:tcPr>
          <w:p>
            <w:pPr>
              <w:jc w:val="center"/>
            </w:pPr>
            <w:r>
              <w:rPr>
                <w:rFonts w:ascii="Times New Roman" w:hAnsi="Times New Roman"/>
                <w:b/>
                <w:i w:val="0"/>
                <w:color w:val="FFFFFF"/>
                <w:sz w:val="18"/>
              </w:rPr>
              <w:t>Precision</w:t>
            </w:r>
          </w:p>
        </w:tc>
        <w:tc>
          <w:tcPr>
            <w:tcW w:type="dxa" w:w="1872"/>
            <w:vAlign w:val="center"/>
            <w:shd w:val="clear" w:color="auto" w:fill="2F5496"/>
          </w:tcPr>
          <w:p>
            <w:pPr>
              <w:jc w:val="center"/>
            </w:pPr>
            <w:r>
              <w:rPr>
                <w:rFonts w:ascii="Times New Roman" w:hAnsi="Times New Roman"/>
                <w:b/>
                <w:i w:val="0"/>
                <w:color w:val="FFFFFF"/>
                <w:sz w:val="18"/>
              </w:rPr>
              <w:t>Recall</w:t>
            </w:r>
          </w:p>
        </w:tc>
        <w:tc>
          <w:tcPr>
            <w:tcW w:type="dxa" w:w="1872"/>
            <w:vAlign w:val="center"/>
            <w:shd w:val="clear" w:color="auto" w:fill="2F5496"/>
          </w:tcPr>
          <w:p>
            <w:pPr>
              <w:jc w:val="center"/>
            </w:pPr>
            <w:r>
              <w:rPr>
                <w:rFonts w:ascii="Times New Roman" w:hAnsi="Times New Roman"/>
                <w:b/>
                <w:i w:val="0"/>
                <w:color w:val="FFFFFF"/>
                <w:sz w:val="18"/>
              </w:rPr>
              <w:t>F1-Score</w:t>
            </w:r>
          </w:p>
        </w:tc>
      </w:tr>
      <w:tr>
        <w:tc>
          <w:tcPr>
            <w:tcW w:type="dxa" w:w="4032"/>
            <w:vAlign w:val="center"/>
            <w:shd w:val="clear" w:color="auto" w:fill="EBF0FA"/>
          </w:tcPr>
          <w:p>
            <w:pPr>
              <w:jc w:val="center"/>
            </w:pPr>
            <w:r>
              <w:rPr>
                <w:rFonts w:ascii="Times New Roman" w:hAnsi="Times New Roman"/>
                <w:b w:val="0"/>
                <w:i w:val="0"/>
                <w:sz w:val="18"/>
              </w:rPr>
              <w:t>Well-separated characters</w:t>
            </w:r>
          </w:p>
        </w:tc>
        <w:tc>
          <w:tcPr>
            <w:tcW w:type="dxa" w:w="1872"/>
            <w:vAlign w:val="center"/>
            <w:shd w:val="clear" w:color="auto" w:fill="EBF0FA"/>
          </w:tcPr>
          <w:p>
            <w:pPr>
              <w:jc w:val="center"/>
            </w:pPr>
            <w:r>
              <w:rPr>
                <w:rFonts w:ascii="Times New Roman" w:hAnsi="Times New Roman"/>
                <w:b w:val="0"/>
                <w:i w:val="0"/>
                <w:sz w:val="18"/>
              </w:rPr>
              <w:t>0.94</w:t>
            </w:r>
          </w:p>
        </w:tc>
        <w:tc>
          <w:tcPr>
            <w:tcW w:type="dxa" w:w="1872"/>
            <w:vAlign w:val="center"/>
            <w:shd w:val="clear" w:color="auto" w:fill="EBF0FA"/>
          </w:tcPr>
          <w:p>
            <w:pPr>
              <w:jc w:val="center"/>
            </w:pPr>
            <w:r>
              <w:rPr>
                <w:rFonts w:ascii="Times New Roman" w:hAnsi="Times New Roman"/>
                <w:b w:val="0"/>
                <w:i w:val="0"/>
                <w:sz w:val="18"/>
              </w:rPr>
              <w:t>0.96</w:t>
            </w:r>
          </w:p>
        </w:tc>
        <w:tc>
          <w:tcPr>
            <w:tcW w:type="dxa" w:w="1872"/>
            <w:vAlign w:val="center"/>
            <w:shd w:val="clear" w:color="auto" w:fill="EBF0FA"/>
          </w:tcPr>
          <w:p>
            <w:pPr>
              <w:jc w:val="center"/>
            </w:pPr>
            <w:r>
              <w:rPr>
                <w:rFonts w:ascii="Times New Roman" w:hAnsi="Times New Roman"/>
                <w:b w:val="0"/>
                <w:i w:val="0"/>
                <w:sz w:val="18"/>
              </w:rPr>
              <w:t>0.95</w:t>
            </w:r>
          </w:p>
        </w:tc>
      </w:tr>
      <w:tr>
        <w:tc>
          <w:tcPr>
            <w:tcW w:type="dxa" w:w="4032"/>
            <w:vAlign w:val="center"/>
            <w:shd w:val="clear" w:color="auto" w:fill="FFFFFF"/>
          </w:tcPr>
          <w:p>
            <w:pPr>
              <w:jc w:val="center"/>
            </w:pPr>
            <w:r>
              <w:rPr>
                <w:rFonts w:ascii="Times New Roman" w:hAnsi="Times New Roman"/>
                <w:b w:val="0"/>
                <w:i w:val="0"/>
                <w:sz w:val="18"/>
              </w:rPr>
              <w:t>Moderately spaced</w:t>
            </w:r>
          </w:p>
        </w:tc>
        <w:tc>
          <w:tcPr>
            <w:tcW w:type="dxa" w:w="1872"/>
            <w:vAlign w:val="center"/>
            <w:shd w:val="clear" w:color="auto" w:fill="FFFFFF"/>
          </w:tcPr>
          <w:p>
            <w:pPr>
              <w:jc w:val="center"/>
            </w:pPr>
            <w:r>
              <w:rPr>
                <w:rFonts w:ascii="Times New Roman" w:hAnsi="Times New Roman"/>
                <w:b w:val="0"/>
                <w:i w:val="0"/>
                <w:sz w:val="18"/>
              </w:rPr>
              <w:t>0.88</w:t>
            </w:r>
          </w:p>
        </w:tc>
        <w:tc>
          <w:tcPr>
            <w:tcW w:type="dxa" w:w="1872"/>
            <w:vAlign w:val="center"/>
            <w:shd w:val="clear" w:color="auto" w:fill="FFFFFF"/>
          </w:tcPr>
          <w:p>
            <w:pPr>
              <w:jc w:val="center"/>
            </w:pPr>
            <w:r>
              <w:rPr>
                <w:rFonts w:ascii="Times New Roman" w:hAnsi="Times New Roman"/>
                <w:b w:val="0"/>
                <w:i w:val="0"/>
                <w:sz w:val="18"/>
              </w:rPr>
              <w:t>0.91</w:t>
            </w:r>
          </w:p>
        </w:tc>
        <w:tc>
          <w:tcPr>
            <w:tcW w:type="dxa" w:w="1872"/>
            <w:vAlign w:val="center"/>
            <w:shd w:val="clear" w:color="auto" w:fill="FFFFFF"/>
          </w:tcPr>
          <w:p>
            <w:pPr>
              <w:jc w:val="center"/>
            </w:pPr>
            <w:r>
              <w:rPr>
                <w:rFonts w:ascii="Times New Roman" w:hAnsi="Times New Roman"/>
                <w:b w:val="0"/>
                <w:i w:val="0"/>
                <w:sz w:val="18"/>
              </w:rPr>
              <w:t>0.89</w:t>
            </w:r>
          </w:p>
        </w:tc>
      </w:tr>
      <w:tr>
        <w:tc>
          <w:tcPr>
            <w:tcW w:type="dxa" w:w="4032"/>
            <w:vAlign w:val="center"/>
            <w:shd w:val="clear" w:color="auto" w:fill="EBF0FA"/>
          </w:tcPr>
          <w:p>
            <w:pPr>
              <w:jc w:val="center"/>
            </w:pPr>
            <w:r>
              <w:rPr>
                <w:rFonts w:ascii="Times New Roman" w:hAnsi="Times New Roman"/>
                <w:b w:val="0"/>
                <w:i w:val="0"/>
                <w:sz w:val="18"/>
              </w:rPr>
              <w:t>Closely packed characters</w:t>
            </w:r>
          </w:p>
        </w:tc>
        <w:tc>
          <w:tcPr>
            <w:tcW w:type="dxa" w:w="1872"/>
            <w:vAlign w:val="center"/>
            <w:shd w:val="clear" w:color="auto" w:fill="EBF0FA"/>
          </w:tcPr>
          <w:p>
            <w:pPr>
              <w:jc w:val="center"/>
            </w:pPr>
            <w:r>
              <w:rPr>
                <w:rFonts w:ascii="Times New Roman" w:hAnsi="Times New Roman"/>
                <w:b w:val="0"/>
                <w:i w:val="0"/>
                <w:sz w:val="18"/>
              </w:rPr>
              <w:t>0.79</w:t>
            </w:r>
          </w:p>
        </w:tc>
        <w:tc>
          <w:tcPr>
            <w:tcW w:type="dxa" w:w="1872"/>
            <w:vAlign w:val="center"/>
            <w:shd w:val="clear" w:color="auto" w:fill="EBF0FA"/>
          </w:tcPr>
          <w:p>
            <w:pPr>
              <w:jc w:val="center"/>
            </w:pPr>
            <w:r>
              <w:rPr>
                <w:rFonts w:ascii="Times New Roman" w:hAnsi="Times New Roman"/>
                <w:b w:val="0"/>
                <w:i w:val="0"/>
                <w:sz w:val="18"/>
              </w:rPr>
              <w:t>0.83</w:t>
            </w:r>
          </w:p>
        </w:tc>
        <w:tc>
          <w:tcPr>
            <w:tcW w:type="dxa" w:w="1872"/>
            <w:vAlign w:val="center"/>
            <w:shd w:val="clear" w:color="auto" w:fill="EBF0FA"/>
          </w:tcPr>
          <w:p>
            <w:pPr>
              <w:jc w:val="center"/>
            </w:pPr>
            <w:r>
              <w:rPr>
                <w:rFonts w:ascii="Times New Roman" w:hAnsi="Times New Roman"/>
                <w:b w:val="0"/>
                <w:i w:val="0"/>
                <w:sz w:val="18"/>
              </w:rPr>
              <w:t>0.81</w:t>
            </w:r>
          </w:p>
        </w:tc>
      </w:tr>
      <w:tr>
        <w:tc>
          <w:tcPr>
            <w:tcW w:type="dxa" w:w="4032"/>
            <w:vAlign w:val="center"/>
            <w:shd w:val="clear" w:color="auto" w:fill="FFFFFF"/>
          </w:tcPr>
          <w:p>
            <w:pPr>
              <w:jc w:val="center"/>
            </w:pPr>
            <w:r>
              <w:rPr>
                <w:rFonts w:ascii="Times New Roman" w:hAnsi="Times New Roman"/>
                <w:b w:val="0"/>
                <w:i w:val="0"/>
                <w:sz w:val="18"/>
              </w:rPr>
              <w:t>Overall Average</w:t>
            </w:r>
          </w:p>
        </w:tc>
        <w:tc>
          <w:tcPr>
            <w:tcW w:type="dxa" w:w="1872"/>
            <w:vAlign w:val="center"/>
            <w:shd w:val="clear" w:color="auto" w:fill="FFFFFF"/>
          </w:tcPr>
          <w:p>
            <w:pPr>
              <w:jc w:val="center"/>
            </w:pPr>
            <w:r>
              <w:rPr>
                <w:rFonts w:ascii="Times New Roman" w:hAnsi="Times New Roman"/>
                <w:b w:val="0"/>
                <w:i w:val="0"/>
                <w:sz w:val="18"/>
              </w:rPr>
              <w:t>0.87</w:t>
            </w:r>
          </w:p>
        </w:tc>
        <w:tc>
          <w:tcPr>
            <w:tcW w:type="dxa" w:w="1872"/>
            <w:vAlign w:val="center"/>
            <w:shd w:val="clear" w:color="auto" w:fill="FFFFFF"/>
          </w:tcPr>
          <w:p>
            <w:pPr>
              <w:jc w:val="center"/>
            </w:pPr>
            <w:r>
              <w:rPr>
                <w:rFonts w:ascii="Times New Roman" w:hAnsi="Times New Roman"/>
                <w:b w:val="0"/>
                <w:i w:val="0"/>
                <w:sz w:val="18"/>
              </w:rPr>
              <w:t>0.90</w:t>
            </w:r>
          </w:p>
        </w:tc>
        <w:tc>
          <w:tcPr>
            <w:tcW w:type="dxa" w:w="1872"/>
            <w:vAlign w:val="center"/>
            <w:shd w:val="clear" w:color="auto" w:fill="FFFFFF"/>
          </w:tcPr>
          <w:p>
            <w:pPr>
              <w:jc w:val="center"/>
            </w:pPr>
            <w:r>
              <w:rPr>
                <w:rFonts w:ascii="Times New Roman" w:hAnsi="Times New Roman"/>
                <w:b w:val="0"/>
                <w:i w:val="0"/>
                <w:sz w:val="18"/>
              </w:rPr>
              <w:t>0.88</w:t>
            </w:r>
          </w:p>
        </w:tc>
      </w:tr>
    </w:tbl>
    <w:p/>
    <w:p>
      <w:pPr>
        <w:spacing w:before="0" w:after="100"/>
        <w:jc w:val="both"/>
      </w:pPr>
      <w:r>
        <w:rPr>
          <w:rFonts w:ascii="Times New Roman" w:hAnsi="Times New Roman"/>
          <w:b w:val="0"/>
          <w:i w:val="0"/>
          <w:sz w:val="20"/>
        </w:rPr>
        <w:t>An overall F1-score of 0.88 is a solid result, especially given that ancient stone carvers did not follow standardized character spacing rules. The main failure cases involve characters that touch or overlap, causing CCA to merge them into a single blob.</w:t>
      </w:r>
    </w:p>
    <w:p>
      <w:pPr>
        <w:spacing w:before="120" w:after="40"/>
        <w:jc w:val="left"/>
      </w:pPr>
      <w:r>
        <w:rPr>
          <w:rFonts w:ascii="Times New Roman" w:hAnsi="Times New Roman"/>
          <w:b/>
          <w:i w:val="0"/>
          <w:sz w:val="20"/>
        </w:rPr>
        <w:t>C. Classification Results</w:t>
      </w:r>
    </w:p>
    <w:p>
      <w:pPr>
        <w:spacing w:before="0" w:after="60"/>
        <w:jc w:val="both"/>
      </w:pPr>
      <w:r>
        <w:rPr>
          <w:rFonts w:ascii="Times New Roman" w:hAnsi="Times New Roman"/>
          <w:b w:val="0"/>
          <w:i w:val="0"/>
          <w:sz w:val="20"/>
        </w:rPr>
        <w:t>The ResNet-based CNN [4] was evaluated on the held-out test set — 37,050 images the model had never seen during training. Results broken down by character type are shown in Table III.</w:t>
      </w:r>
    </w:p>
    <w:p>
      <w:pPr>
        <w:spacing w:before="60" w:after="60"/>
        <w:jc w:val="center"/>
      </w:pPr>
      <w:r>
        <w:rPr>
          <w:rFonts w:ascii="Times New Roman" w:hAnsi="Times New Roman"/>
          <w:b/>
          <w:i w:val="0"/>
          <w:sz w:val="20"/>
        </w:rPr>
        <w:t>TABLE III — Classification Accuracy by Character Category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4032"/>
            <w:vAlign w:val="center"/>
            <w:shd w:val="clear" w:color="auto" w:fill="2F5496"/>
          </w:tcPr>
          <w:p>
            <w:pPr>
              <w:jc w:val="center"/>
            </w:pPr>
            <w:r>
              <w:rPr>
                <w:rFonts w:ascii="Times New Roman" w:hAnsi="Times New Roman"/>
                <w:b/>
                <w:i w:val="0"/>
                <w:color w:val="FFFFFF"/>
                <w:sz w:val="18"/>
              </w:rPr>
              <w:t>Character Category</w:t>
            </w:r>
          </w:p>
        </w:tc>
        <w:tc>
          <w:tcPr>
            <w:tcW w:type="dxa" w:w="1440"/>
            <w:vAlign w:val="center"/>
            <w:shd w:val="clear" w:color="auto" w:fill="2F5496"/>
          </w:tcPr>
          <w:p>
            <w:pPr>
              <w:jc w:val="center"/>
            </w:pPr>
            <w:r>
              <w:rPr>
                <w:rFonts w:ascii="Times New Roman" w:hAnsi="Times New Roman"/>
                <w:b/>
                <w:i w:val="0"/>
                <w:color w:val="FFFFFF"/>
                <w:sz w:val="18"/>
              </w:rPr>
              <w:t>Classes</w:t>
            </w:r>
          </w:p>
        </w:tc>
        <w:tc>
          <w:tcPr>
            <w:tcW w:type="dxa" w:w="2160"/>
            <w:vAlign w:val="center"/>
            <w:shd w:val="clear" w:color="auto" w:fill="2F5496"/>
          </w:tcPr>
          <w:p>
            <w:pPr>
              <w:jc w:val="center"/>
            </w:pPr>
            <w:r>
              <w:rPr>
                <w:rFonts w:ascii="Times New Roman" w:hAnsi="Times New Roman"/>
                <w:b/>
                <w:i w:val="0"/>
                <w:color w:val="FFFFFF"/>
                <w:sz w:val="18"/>
              </w:rPr>
              <w:t>Top-1 Accuracy</w:t>
            </w:r>
          </w:p>
        </w:tc>
        <w:tc>
          <w:tcPr>
            <w:tcW w:type="dxa" w:w="2160"/>
            <w:vAlign w:val="center"/>
            <w:shd w:val="clear" w:color="auto" w:fill="2F5496"/>
          </w:tcPr>
          <w:p>
            <w:pPr>
              <w:jc w:val="center"/>
            </w:pPr>
            <w:r>
              <w:rPr>
                <w:rFonts w:ascii="Times New Roman" w:hAnsi="Times New Roman"/>
                <w:b/>
                <w:i w:val="0"/>
                <w:color w:val="FFFFFF"/>
                <w:sz w:val="18"/>
              </w:rPr>
              <w:t>Top-5 Accuracy</w:t>
            </w:r>
          </w:p>
        </w:tc>
      </w:tr>
      <w:tr>
        <w:tc>
          <w:tcPr>
            <w:tcW w:type="dxa" w:w="4032"/>
            <w:vAlign w:val="center"/>
            <w:shd w:val="clear" w:color="auto" w:fill="EBF0FA"/>
          </w:tcPr>
          <w:p>
            <w:pPr>
              <w:jc w:val="center"/>
            </w:pPr>
            <w:r>
              <w:rPr>
                <w:rFonts w:ascii="Times New Roman" w:hAnsi="Times New Roman"/>
                <w:b w:val="0"/>
                <w:i w:val="0"/>
                <w:sz w:val="18"/>
              </w:rPr>
              <w:t>Vowels</w:t>
            </w:r>
          </w:p>
        </w:tc>
        <w:tc>
          <w:tcPr>
            <w:tcW w:type="dxa" w:w="1440"/>
            <w:vAlign w:val="center"/>
            <w:shd w:val="clear" w:color="auto" w:fill="EBF0FA"/>
          </w:tcPr>
          <w:p>
            <w:pPr>
              <w:jc w:val="center"/>
            </w:pPr>
            <w:r>
              <w:rPr>
                <w:rFonts w:ascii="Times New Roman" w:hAnsi="Times New Roman"/>
                <w:b w:val="0"/>
                <w:i w:val="0"/>
                <w:sz w:val="18"/>
              </w:rPr>
              <w:t>12</w:t>
            </w:r>
          </w:p>
        </w:tc>
        <w:tc>
          <w:tcPr>
            <w:tcW w:type="dxa" w:w="2160"/>
            <w:vAlign w:val="center"/>
            <w:shd w:val="clear" w:color="auto" w:fill="EBF0FA"/>
          </w:tcPr>
          <w:p>
            <w:pPr>
              <w:jc w:val="center"/>
            </w:pPr>
            <w:r>
              <w:rPr>
                <w:rFonts w:ascii="Times New Roman" w:hAnsi="Times New Roman"/>
                <w:b w:val="0"/>
                <w:i w:val="0"/>
                <w:sz w:val="18"/>
              </w:rPr>
              <w:t>97.3%</w:t>
            </w:r>
          </w:p>
        </w:tc>
        <w:tc>
          <w:tcPr>
            <w:tcW w:type="dxa" w:w="2160"/>
            <w:vAlign w:val="center"/>
            <w:shd w:val="clear" w:color="auto" w:fill="EBF0FA"/>
          </w:tcPr>
          <w:p>
            <w:pPr>
              <w:jc w:val="center"/>
            </w:pPr>
            <w:r>
              <w:rPr>
                <w:rFonts w:ascii="Times New Roman" w:hAnsi="Times New Roman"/>
                <w:b w:val="0"/>
                <w:i w:val="0"/>
                <w:sz w:val="18"/>
              </w:rPr>
              <w:t>99.8%</w:t>
            </w:r>
          </w:p>
        </w:tc>
      </w:tr>
      <w:tr>
        <w:tc>
          <w:tcPr>
            <w:tcW w:type="dxa" w:w="4032"/>
            <w:vAlign w:val="center"/>
            <w:shd w:val="clear" w:color="auto" w:fill="FFFFFF"/>
          </w:tcPr>
          <w:p>
            <w:pPr>
              <w:jc w:val="center"/>
            </w:pPr>
            <w:r>
              <w:rPr>
                <w:rFonts w:ascii="Times New Roman" w:hAnsi="Times New Roman"/>
                <w:b w:val="0"/>
                <w:i w:val="0"/>
                <w:sz w:val="18"/>
              </w:rPr>
              <w:t>Aytham</w:t>
            </w:r>
          </w:p>
        </w:tc>
        <w:tc>
          <w:tcPr>
            <w:tcW w:type="dxa" w:w="1440"/>
            <w:vAlign w:val="center"/>
            <w:shd w:val="clear" w:color="auto" w:fill="FFFFFF"/>
          </w:tcPr>
          <w:p>
            <w:pPr>
              <w:jc w:val="center"/>
            </w:pPr>
            <w:r>
              <w:rPr>
                <w:rFonts w:ascii="Times New Roman" w:hAnsi="Times New Roman"/>
                <w:b w:val="0"/>
                <w:i w:val="0"/>
                <w:sz w:val="18"/>
              </w:rPr>
              <w:t>1</w:t>
            </w:r>
          </w:p>
        </w:tc>
        <w:tc>
          <w:tcPr>
            <w:tcW w:type="dxa" w:w="2160"/>
            <w:vAlign w:val="center"/>
            <w:shd w:val="clear" w:color="auto" w:fill="FFFFFF"/>
          </w:tcPr>
          <w:p>
            <w:pPr>
              <w:jc w:val="center"/>
            </w:pPr>
            <w:r>
              <w:rPr>
                <w:rFonts w:ascii="Times New Roman" w:hAnsi="Times New Roman"/>
                <w:b w:val="0"/>
                <w:i w:val="0"/>
                <w:sz w:val="18"/>
              </w:rPr>
              <w:t>99.1%</w:t>
            </w:r>
          </w:p>
        </w:tc>
        <w:tc>
          <w:tcPr>
            <w:tcW w:type="dxa" w:w="2160"/>
            <w:vAlign w:val="center"/>
            <w:shd w:val="clear" w:color="auto" w:fill="FFFFFF"/>
          </w:tcPr>
          <w:p>
            <w:pPr>
              <w:jc w:val="center"/>
            </w:pPr>
            <w:r>
              <w:rPr>
                <w:rFonts w:ascii="Times New Roman" w:hAnsi="Times New Roman"/>
                <w:b w:val="0"/>
                <w:i w:val="0"/>
                <w:sz w:val="18"/>
              </w:rPr>
              <w:t>100.0%</w:t>
            </w:r>
          </w:p>
        </w:tc>
      </w:tr>
      <w:tr>
        <w:tc>
          <w:tcPr>
            <w:tcW w:type="dxa" w:w="4032"/>
            <w:vAlign w:val="center"/>
            <w:shd w:val="clear" w:color="auto" w:fill="EBF0FA"/>
          </w:tcPr>
          <w:p>
            <w:pPr>
              <w:jc w:val="center"/>
            </w:pPr>
            <w:r>
              <w:rPr>
                <w:rFonts w:ascii="Times New Roman" w:hAnsi="Times New Roman"/>
                <w:b w:val="0"/>
                <w:i w:val="0"/>
                <w:sz w:val="18"/>
              </w:rPr>
              <w:t>Pure Consonants</w:t>
            </w:r>
          </w:p>
        </w:tc>
        <w:tc>
          <w:tcPr>
            <w:tcW w:type="dxa" w:w="1440"/>
            <w:vAlign w:val="center"/>
            <w:shd w:val="clear" w:color="auto" w:fill="EBF0FA"/>
          </w:tcPr>
          <w:p>
            <w:pPr>
              <w:jc w:val="center"/>
            </w:pPr>
            <w:r>
              <w:rPr>
                <w:rFonts w:ascii="Times New Roman" w:hAnsi="Times New Roman"/>
                <w:b w:val="0"/>
                <w:i w:val="0"/>
                <w:sz w:val="18"/>
              </w:rPr>
              <w:t>18</w:t>
            </w:r>
          </w:p>
        </w:tc>
        <w:tc>
          <w:tcPr>
            <w:tcW w:type="dxa" w:w="2160"/>
            <w:vAlign w:val="center"/>
            <w:shd w:val="clear" w:color="auto" w:fill="EBF0FA"/>
          </w:tcPr>
          <w:p>
            <w:pPr>
              <w:jc w:val="center"/>
            </w:pPr>
            <w:r>
              <w:rPr>
                <w:rFonts w:ascii="Times New Roman" w:hAnsi="Times New Roman"/>
                <w:b w:val="0"/>
                <w:i w:val="0"/>
                <w:sz w:val="18"/>
              </w:rPr>
              <w:t>95.6%</w:t>
            </w:r>
          </w:p>
        </w:tc>
        <w:tc>
          <w:tcPr>
            <w:tcW w:type="dxa" w:w="2160"/>
            <w:vAlign w:val="center"/>
            <w:shd w:val="clear" w:color="auto" w:fill="EBF0FA"/>
          </w:tcPr>
          <w:p>
            <w:pPr>
              <w:jc w:val="center"/>
            </w:pPr>
            <w:r>
              <w:rPr>
                <w:rFonts w:ascii="Times New Roman" w:hAnsi="Times New Roman"/>
                <w:b w:val="0"/>
                <w:i w:val="0"/>
                <w:sz w:val="18"/>
              </w:rPr>
              <w:t>99.2%</w:t>
            </w:r>
          </w:p>
        </w:tc>
      </w:tr>
      <w:tr>
        <w:tc>
          <w:tcPr>
            <w:tcW w:type="dxa" w:w="4032"/>
            <w:vAlign w:val="center"/>
            <w:shd w:val="clear" w:color="auto" w:fill="FFFFFF"/>
          </w:tcPr>
          <w:p>
            <w:pPr>
              <w:jc w:val="center"/>
            </w:pPr>
            <w:r>
              <w:rPr>
                <w:rFonts w:ascii="Times New Roman" w:hAnsi="Times New Roman"/>
                <w:b w:val="0"/>
                <w:i w:val="0"/>
                <w:sz w:val="18"/>
              </w:rPr>
              <w:t>Consonants (with 'a')</w:t>
            </w:r>
          </w:p>
        </w:tc>
        <w:tc>
          <w:tcPr>
            <w:tcW w:type="dxa" w:w="1440"/>
            <w:vAlign w:val="center"/>
            <w:shd w:val="clear" w:color="auto" w:fill="FFFFFF"/>
          </w:tcPr>
          <w:p>
            <w:pPr>
              <w:jc w:val="center"/>
            </w:pPr>
            <w:r>
              <w:rPr>
                <w:rFonts w:ascii="Times New Roman" w:hAnsi="Times New Roman"/>
                <w:b w:val="0"/>
                <w:i w:val="0"/>
                <w:sz w:val="18"/>
              </w:rPr>
              <w:t>18</w:t>
            </w:r>
          </w:p>
        </w:tc>
        <w:tc>
          <w:tcPr>
            <w:tcW w:type="dxa" w:w="2160"/>
            <w:vAlign w:val="center"/>
            <w:shd w:val="clear" w:color="auto" w:fill="FFFFFF"/>
          </w:tcPr>
          <w:p>
            <w:pPr>
              <w:jc w:val="center"/>
            </w:pPr>
            <w:r>
              <w:rPr>
                <w:rFonts w:ascii="Times New Roman" w:hAnsi="Times New Roman"/>
                <w:b w:val="0"/>
                <w:i w:val="0"/>
                <w:sz w:val="18"/>
              </w:rPr>
              <w:t>96.1%</w:t>
            </w:r>
          </w:p>
        </w:tc>
        <w:tc>
          <w:tcPr>
            <w:tcW w:type="dxa" w:w="2160"/>
            <w:vAlign w:val="center"/>
            <w:shd w:val="clear" w:color="auto" w:fill="FFFFFF"/>
          </w:tcPr>
          <w:p>
            <w:pPr>
              <w:jc w:val="center"/>
            </w:pPr>
            <w:r>
              <w:rPr>
                <w:rFonts w:ascii="Times New Roman" w:hAnsi="Times New Roman"/>
                <w:b w:val="0"/>
                <w:i w:val="0"/>
                <w:sz w:val="18"/>
              </w:rPr>
              <w:t>99.4%</w:t>
            </w:r>
          </w:p>
        </w:tc>
      </w:tr>
      <w:tr>
        <w:tc>
          <w:tcPr>
            <w:tcW w:type="dxa" w:w="4032"/>
            <w:vAlign w:val="center"/>
            <w:shd w:val="clear" w:color="auto" w:fill="EBF0FA"/>
          </w:tcPr>
          <w:p>
            <w:pPr>
              <w:jc w:val="center"/>
            </w:pPr>
            <w:r>
              <w:rPr>
                <w:rFonts w:ascii="Times New Roman" w:hAnsi="Times New Roman"/>
                <w:b w:val="0"/>
                <w:i w:val="0"/>
                <w:sz w:val="18"/>
              </w:rPr>
              <w:t>Compound Characters (Uyirmei)</w:t>
            </w:r>
          </w:p>
        </w:tc>
        <w:tc>
          <w:tcPr>
            <w:tcW w:type="dxa" w:w="1440"/>
            <w:vAlign w:val="center"/>
            <w:shd w:val="clear" w:color="auto" w:fill="EBF0FA"/>
          </w:tcPr>
          <w:p>
            <w:pPr>
              <w:jc w:val="center"/>
            </w:pPr>
            <w:r>
              <w:rPr>
                <w:rFonts w:ascii="Times New Roman" w:hAnsi="Times New Roman"/>
                <w:b w:val="0"/>
                <w:i w:val="0"/>
                <w:sz w:val="18"/>
              </w:rPr>
              <w:t>198</w:t>
            </w:r>
          </w:p>
        </w:tc>
        <w:tc>
          <w:tcPr>
            <w:tcW w:type="dxa" w:w="2160"/>
            <w:vAlign w:val="center"/>
            <w:shd w:val="clear" w:color="auto" w:fill="EBF0FA"/>
          </w:tcPr>
          <w:p>
            <w:pPr>
              <w:jc w:val="center"/>
            </w:pPr>
            <w:r>
              <w:rPr>
                <w:rFonts w:ascii="Times New Roman" w:hAnsi="Times New Roman"/>
                <w:b w:val="0"/>
                <w:i w:val="0"/>
                <w:sz w:val="18"/>
              </w:rPr>
              <w:t>91.4%</w:t>
            </w:r>
          </w:p>
        </w:tc>
        <w:tc>
          <w:tcPr>
            <w:tcW w:type="dxa" w:w="2160"/>
            <w:vAlign w:val="center"/>
            <w:shd w:val="clear" w:color="auto" w:fill="EBF0FA"/>
          </w:tcPr>
          <w:p>
            <w:pPr>
              <w:jc w:val="center"/>
            </w:pPr>
            <w:r>
              <w:rPr>
                <w:rFonts w:ascii="Times New Roman" w:hAnsi="Times New Roman"/>
                <w:b w:val="0"/>
                <w:i w:val="0"/>
                <w:sz w:val="18"/>
              </w:rPr>
              <w:t>97.8%</w:t>
            </w:r>
          </w:p>
        </w:tc>
      </w:tr>
      <w:tr>
        <w:tc>
          <w:tcPr>
            <w:tcW w:type="dxa" w:w="4032"/>
            <w:vAlign w:val="center"/>
            <w:shd w:val="clear" w:color="auto" w:fill="FFFFFF"/>
          </w:tcPr>
          <w:p>
            <w:pPr>
              <w:jc w:val="center"/>
            </w:pPr>
            <w:r>
              <w:rPr>
                <w:rFonts w:ascii="Times New Roman" w:hAnsi="Times New Roman"/>
                <w:b w:val="0"/>
                <w:i w:val="0"/>
                <w:sz w:val="18"/>
              </w:rPr>
              <w:t>Overall</w:t>
            </w:r>
          </w:p>
        </w:tc>
        <w:tc>
          <w:tcPr>
            <w:tcW w:type="dxa" w:w="1440"/>
            <w:vAlign w:val="center"/>
            <w:shd w:val="clear" w:color="auto" w:fill="FFFFFF"/>
          </w:tcPr>
          <w:p>
            <w:pPr>
              <w:jc w:val="center"/>
            </w:pPr>
            <w:r>
              <w:rPr>
                <w:rFonts w:ascii="Times New Roman" w:hAnsi="Times New Roman"/>
                <w:b w:val="0"/>
                <w:i w:val="0"/>
                <w:sz w:val="18"/>
              </w:rPr>
              <w:t>247</w:t>
            </w:r>
          </w:p>
        </w:tc>
        <w:tc>
          <w:tcPr>
            <w:tcW w:type="dxa" w:w="2160"/>
            <w:vAlign w:val="center"/>
            <w:shd w:val="clear" w:color="auto" w:fill="FFFFFF"/>
          </w:tcPr>
          <w:p>
            <w:pPr>
              <w:jc w:val="center"/>
            </w:pPr>
            <w:r>
              <w:rPr>
                <w:rFonts w:ascii="Times New Roman" w:hAnsi="Times New Roman"/>
                <w:b w:val="0"/>
                <w:i w:val="0"/>
                <w:sz w:val="18"/>
              </w:rPr>
              <w:t>92.8%</w:t>
            </w:r>
          </w:p>
        </w:tc>
        <w:tc>
          <w:tcPr>
            <w:tcW w:type="dxa" w:w="2160"/>
            <w:vAlign w:val="center"/>
            <w:shd w:val="clear" w:color="auto" w:fill="FFFFFF"/>
          </w:tcPr>
          <w:p>
            <w:pPr>
              <w:jc w:val="center"/>
            </w:pPr>
            <w:r>
              <w:rPr>
                <w:rFonts w:ascii="Times New Roman" w:hAnsi="Times New Roman"/>
                <w:b w:val="0"/>
                <w:i w:val="0"/>
                <w:sz w:val="18"/>
              </w:rPr>
              <w:t>98.1%</w:t>
            </w:r>
          </w:p>
        </w:tc>
      </w:tr>
    </w:tbl>
    <w:p/>
    <w:p>
      <w:pPr>
        <w:spacing w:before="0" w:after="100"/>
        <w:jc w:val="both"/>
      </w:pPr>
      <w:r>
        <w:rPr>
          <w:rFonts w:ascii="Times New Roman" w:hAnsi="Times New Roman"/>
          <w:b w:val="0"/>
          <w:i w:val="0"/>
          <w:sz w:val="20"/>
        </w:rPr>
        <w:t>The overall Top-1 accuracy of 92.8% demonstrates that our model handles the 247-class problem effectively. Simple categories — vowels, consonants, and the Aytham marker — achieved accuracy above 95%. Compound (Uyirmei) characters scored 91.4% because many of these 198 classes differ only in small diacritic vowel marks that can be hard to distinguish on worn stone, even for human experts. The Top-5 accuracy of 98.1% means the correct character is almost always within the model's top five predictions, opening the door for language model post-correction in future work.</w:t>
      </w:r>
    </w:p>
    <w:p>
      <w:pPr>
        <w:spacing w:before="120" w:after="40"/>
        <w:jc w:val="left"/>
      </w:pPr>
      <w:r>
        <w:rPr>
          <w:rFonts w:ascii="Times New Roman" w:hAnsi="Times New Roman"/>
          <w:b/>
          <w:i w:val="0"/>
          <w:sz w:val="20"/>
        </w:rPr>
        <w:t>D. Comparison with Related Work</w:t>
      </w:r>
    </w:p>
    <w:p>
      <w:pPr>
        <w:spacing w:before="60" w:after="60"/>
        <w:jc w:val="center"/>
      </w:pPr>
      <w:r>
        <w:rPr>
          <w:rFonts w:ascii="Times New Roman" w:hAnsi="Times New Roman"/>
          <w:b/>
          <w:i w:val="0"/>
          <w:sz w:val="20"/>
        </w:rPr>
        <w:t>TABLE IV — Comparison with Related Research</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880"/>
            <w:vAlign w:val="center"/>
            <w:shd w:val="clear" w:color="auto" w:fill="2F5496"/>
          </w:tcPr>
          <w:p>
            <w:pPr>
              <w:jc w:val="center"/>
            </w:pPr>
            <w:r>
              <w:rPr>
                <w:rFonts w:ascii="Times New Roman" w:hAnsi="Times New Roman"/>
                <w:b/>
                <w:i w:val="0"/>
                <w:color w:val="FFFFFF"/>
                <w:sz w:val="18"/>
              </w:rPr>
              <w:t>Study</w:t>
            </w:r>
          </w:p>
        </w:tc>
        <w:tc>
          <w:tcPr>
            <w:tcW w:type="dxa" w:w="2160"/>
            <w:vAlign w:val="center"/>
            <w:shd w:val="clear" w:color="auto" w:fill="2F5496"/>
          </w:tcPr>
          <w:p>
            <w:pPr>
              <w:jc w:val="center"/>
            </w:pPr>
            <w:r>
              <w:rPr>
                <w:rFonts w:ascii="Times New Roman" w:hAnsi="Times New Roman"/>
                <w:b/>
                <w:i w:val="0"/>
                <w:color w:val="FFFFFF"/>
                <w:sz w:val="18"/>
              </w:rPr>
              <w:t>Script</w:t>
            </w:r>
          </w:p>
        </w:tc>
        <w:tc>
          <w:tcPr>
            <w:tcW w:type="dxa" w:w="2160"/>
            <w:vAlign w:val="center"/>
            <w:shd w:val="clear" w:color="auto" w:fill="2F5496"/>
          </w:tcPr>
          <w:p>
            <w:pPr>
              <w:jc w:val="center"/>
            </w:pPr>
            <w:r>
              <w:rPr>
                <w:rFonts w:ascii="Times New Roman" w:hAnsi="Times New Roman"/>
                <w:b/>
                <w:i w:val="0"/>
                <w:color w:val="FFFFFF"/>
                <w:sz w:val="18"/>
              </w:rPr>
              <w:t>Method</w:t>
            </w:r>
          </w:p>
        </w:tc>
        <w:tc>
          <w:tcPr>
            <w:tcW w:type="dxa" w:w="1440"/>
            <w:vAlign w:val="center"/>
            <w:shd w:val="clear" w:color="auto" w:fill="2F5496"/>
          </w:tcPr>
          <w:p>
            <w:pPr>
              <w:jc w:val="center"/>
            </w:pPr>
            <w:r>
              <w:rPr>
                <w:rFonts w:ascii="Times New Roman" w:hAnsi="Times New Roman"/>
                <w:b/>
                <w:i w:val="0"/>
                <w:color w:val="FFFFFF"/>
                <w:sz w:val="18"/>
              </w:rPr>
              <w:t>Classes</w:t>
            </w:r>
          </w:p>
        </w:tc>
        <w:tc>
          <w:tcPr>
            <w:tcW w:type="dxa" w:w="1440"/>
            <w:vAlign w:val="center"/>
            <w:shd w:val="clear" w:color="auto" w:fill="2F5496"/>
          </w:tcPr>
          <w:p>
            <w:pPr>
              <w:jc w:val="center"/>
            </w:pPr>
            <w:r>
              <w:rPr>
                <w:rFonts w:ascii="Times New Roman" w:hAnsi="Times New Roman"/>
                <w:b/>
                <w:i w:val="0"/>
                <w:color w:val="FFFFFF"/>
                <w:sz w:val="18"/>
              </w:rPr>
              <w:t>Accuracy</w:t>
            </w:r>
          </w:p>
        </w:tc>
      </w:tr>
      <w:tr>
        <w:tc>
          <w:tcPr>
            <w:tcW w:type="dxa" w:w="2880"/>
            <w:vAlign w:val="center"/>
            <w:shd w:val="clear" w:color="auto" w:fill="EBF0FA"/>
          </w:tcPr>
          <w:p>
            <w:pPr>
              <w:jc w:val="center"/>
            </w:pPr>
            <w:r>
              <w:rPr>
                <w:rFonts w:ascii="Times New Roman" w:hAnsi="Times New Roman"/>
                <w:b w:val="0"/>
                <w:i w:val="0"/>
                <w:sz w:val="18"/>
              </w:rPr>
              <w:t>Murugan &amp; Visalakshi [1]</w:t>
            </w:r>
          </w:p>
        </w:tc>
        <w:tc>
          <w:tcPr>
            <w:tcW w:type="dxa" w:w="2160"/>
            <w:vAlign w:val="center"/>
            <w:shd w:val="clear" w:color="auto" w:fill="EBF0FA"/>
          </w:tcPr>
          <w:p>
            <w:pPr>
              <w:jc w:val="center"/>
            </w:pPr>
            <w:r>
              <w:rPr>
                <w:rFonts w:ascii="Times New Roman" w:hAnsi="Times New Roman"/>
                <w:b w:val="0"/>
                <w:i w:val="0"/>
                <w:sz w:val="18"/>
              </w:rPr>
              <w:t>Ancient Tamil</w:t>
            </w:r>
          </w:p>
        </w:tc>
        <w:tc>
          <w:tcPr>
            <w:tcW w:type="dxa" w:w="2160"/>
            <w:vAlign w:val="center"/>
            <w:shd w:val="clear" w:color="auto" w:fill="EBF0FA"/>
          </w:tcPr>
          <w:p>
            <w:pPr>
              <w:jc w:val="center"/>
            </w:pPr>
            <w:r>
              <w:rPr>
                <w:rFonts w:ascii="Times New Roman" w:hAnsi="Times New Roman"/>
                <w:b w:val="0"/>
                <w:i w:val="0"/>
                <w:sz w:val="18"/>
              </w:rPr>
              <w:t>DRL Framework</w:t>
            </w:r>
          </w:p>
        </w:tc>
        <w:tc>
          <w:tcPr>
            <w:tcW w:type="dxa" w:w="1440"/>
            <w:vAlign w:val="center"/>
            <w:shd w:val="clear" w:color="auto" w:fill="EBF0FA"/>
          </w:tcPr>
          <w:p>
            <w:pPr>
              <w:jc w:val="center"/>
            </w:pPr>
            <w:r>
              <w:rPr>
                <w:rFonts w:ascii="Times New Roman" w:hAnsi="Times New Roman"/>
                <w:b w:val="0"/>
                <w:i w:val="0"/>
                <w:sz w:val="18"/>
              </w:rPr>
              <w:t>—</w:t>
            </w:r>
          </w:p>
        </w:tc>
        <w:tc>
          <w:tcPr>
            <w:tcW w:type="dxa" w:w="1440"/>
            <w:vAlign w:val="center"/>
            <w:shd w:val="clear" w:color="auto" w:fill="EBF0FA"/>
          </w:tcPr>
          <w:p>
            <w:pPr>
              <w:jc w:val="center"/>
            </w:pPr>
            <w:r>
              <w:rPr>
                <w:rFonts w:ascii="Times New Roman" w:hAnsi="Times New Roman"/>
                <w:b w:val="0"/>
                <w:i w:val="0"/>
                <w:sz w:val="18"/>
              </w:rPr>
              <w:t>—</w:t>
            </w:r>
          </w:p>
        </w:tc>
      </w:tr>
      <w:tr>
        <w:tc>
          <w:tcPr>
            <w:tcW w:type="dxa" w:w="2880"/>
            <w:vAlign w:val="center"/>
            <w:shd w:val="clear" w:color="auto" w:fill="FFFFFF"/>
          </w:tcPr>
          <w:p>
            <w:pPr>
              <w:jc w:val="center"/>
            </w:pPr>
            <w:r>
              <w:rPr>
                <w:rFonts w:ascii="Times New Roman" w:hAnsi="Times New Roman"/>
                <w:b w:val="0"/>
                <w:i w:val="0"/>
                <w:sz w:val="18"/>
              </w:rPr>
              <w:t>Gayathri Devi et al. [2]</w:t>
            </w:r>
          </w:p>
        </w:tc>
        <w:tc>
          <w:tcPr>
            <w:tcW w:type="dxa" w:w="2160"/>
            <w:vAlign w:val="center"/>
            <w:shd w:val="clear" w:color="auto" w:fill="FFFFFF"/>
          </w:tcPr>
          <w:p>
            <w:pPr>
              <w:jc w:val="center"/>
            </w:pPr>
            <w:r>
              <w:rPr>
                <w:rFonts w:ascii="Times New Roman" w:hAnsi="Times New Roman"/>
                <w:b w:val="0"/>
                <w:i w:val="0"/>
                <w:sz w:val="18"/>
              </w:rPr>
              <w:t>Tamil Palm Leaf</w:t>
            </w:r>
          </w:p>
        </w:tc>
        <w:tc>
          <w:tcPr>
            <w:tcW w:type="dxa" w:w="2160"/>
            <w:vAlign w:val="center"/>
            <w:shd w:val="clear" w:color="auto" w:fill="FFFFFF"/>
          </w:tcPr>
          <w:p>
            <w:pPr>
              <w:jc w:val="center"/>
            </w:pPr>
            <w:r>
              <w:rPr>
                <w:rFonts w:ascii="Times New Roman" w:hAnsi="Times New Roman"/>
                <w:b w:val="0"/>
                <w:i w:val="0"/>
                <w:sz w:val="18"/>
              </w:rPr>
              <w:t>CNN</w:t>
            </w:r>
          </w:p>
        </w:tc>
        <w:tc>
          <w:tcPr>
            <w:tcW w:type="dxa" w:w="1440"/>
            <w:vAlign w:val="center"/>
            <w:shd w:val="clear" w:color="auto" w:fill="FFFFFF"/>
          </w:tcPr>
          <w:p>
            <w:pPr>
              <w:jc w:val="center"/>
            </w:pPr>
            <w:r>
              <w:rPr>
                <w:rFonts w:ascii="Times New Roman" w:hAnsi="Times New Roman"/>
                <w:b w:val="0"/>
                <w:i w:val="0"/>
                <w:sz w:val="18"/>
              </w:rPr>
              <w:t>—</w:t>
            </w:r>
          </w:p>
        </w:tc>
        <w:tc>
          <w:tcPr>
            <w:tcW w:type="dxa" w:w="1440"/>
            <w:vAlign w:val="center"/>
            <w:shd w:val="clear" w:color="auto" w:fill="FFFFFF"/>
          </w:tcPr>
          <w:p>
            <w:pPr>
              <w:jc w:val="center"/>
            </w:pPr>
            <w:r>
              <w:rPr>
                <w:rFonts w:ascii="Times New Roman" w:hAnsi="Times New Roman"/>
                <w:b w:val="0"/>
                <w:i w:val="0"/>
                <w:sz w:val="18"/>
              </w:rPr>
              <w:t>—</w:t>
            </w:r>
          </w:p>
        </w:tc>
      </w:tr>
      <w:tr>
        <w:tc>
          <w:tcPr>
            <w:tcW w:type="dxa" w:w="2880"/>
            <w:vAlign w:val="center"/>
            <w:shd w:val="clear" w:color="auto" w:fill="EBF0FA"/>
          </w:tcPr>
          <w:p>
            <w:pPr>
              <w:jc w:val="center"/>
            </w:pPr>
            <w:r>
              <w:rPr>
                <w:rFonts w:ascii="Times New Roman" w:hAnsi="Times New Roman"/>
                <w:b w:val="0"/>
                <w:i w:val="0"/>
                <w:sz w:val="18"/>
              </w:rPr>
              <w:t>Vijaya Arjunan et al. [3]</w:t>
            </w:r>
          </w:p>
        </w:tc>
        <w:tc>
          <w:tcPr>
            <w:tcW w:type="dxa" w:w="2160"/>
            <w:vAlign w:val="center"/>
            <w:shd w:val="clear" w:color="auto" w:fill="EBF0FA"/>
          </w:tcPr>
          <w:p>
            <w:pPr>
              <w:jc w:val="center"/>
            </w:pPr>
            <w:r>
              <w:rPr>
                <w:rFonts w:ascii="Times New Roman" w:hAnsi="Times New Roman"/>
                <w:b w:val="0"/>
                <w:i w:val="0"/>
                <w:sz w:val="18"/>
              </w:rPr>
              <w:t>Vatteluttu</w:t>
            </w:r>
          </w:p>
        </w:tc>
        <w:tc>
          <w:tcPr>
            <w:tcW w:type="dxa" w:w="2160"/>
            <w:vAlign w:val="center"/>
            <w:shd w:val="clear" w:color="auto" w:fill="EBF0FA"/>
          </w:tcPr>
          <w:p>
            <w:pPr>
              <w:jc w:val="center"/>
            </w:pPr>
            <w:r>
              <w:rPr>
                <w:rFonts w:ascii="Times New Roman" w:hAnsi="Times New Roman"/>
                <w:b w:val="0"/>
                <w:i w:val="0"/>
                <w:sz w:val="18"/>
              </w:rPr>
              <w:t>Deep Learning</w:t>
            </w:r>
          </w:p>
        </w:tc>
        <w:tc>
          <w:tcPr>
            <w:tcW w:type="dxa" w:w="1440"/>
            <w:vAlign w:val="center"/>
            <w:shd w:val="clear" w:color="auto" w:fill="EBF0FA"/>
          </w:tcPr>
          <w:p>
            <w:pPr>
              <w:jc w:val="center"/>
            </w:pPr>
            <w:r>
              <w:rPr>
                <w:rFonts w:ascii="Times New Roman" w:hAnsi="Times New Roman"/>
                <w:b w:val="0"/>
                <w:i w:val="0"/>
                <w:sz w:val="18"/>
              </w:rPr>
              <w:t>28</w:t>
            </w:r>
          </w:p>
        </w:tc>
        <w:tc>
          <w:tcPr>
            <w:tcW w:type="dxa" w:w="1440"/>
            <w:vAlign w:val="center"/>
            <w:shd w:val="clear" w:color="auto" w:fill="EBF0FA"/>
          </w:tcPr>
          <w:p>
            <w:pPr>
              <w:jc w:val="center"/>
            </w:pPr>
            <w:r>
              <w:rPr>
                <w:rFonts w:ascii="Times New Roman" w:hAnsi="Times New Roman"/>
                <w:b w:val="0"/>
                <w:i w:val="0"/>
                <w:sz w:val="18"/>
              </w:rPr>
              <w:t>98.0%</w:t>
            </w:r>
          </w:p>
        </w:tc>
      </w:tr>
      <w:tr>
        <w:tc>
          <w:tcPr>
            <w:tcW w:type="dxa" w:w="2880"/>
            <w:vAlign w:val="center"/>
            <w:shd w:val="clear" w:color="auto" w:fill="FFFFFF"/>
          </w:tcPr>
          <w:p>
            <w:pPr>
              <w:jc w:val="center"/>
            </w:pPr>
            <w:r>
              <w:rPr>
                <w:rFonts w:ascii="Times New Roman" w:hAnsi="Times New Roman"/>
                <w:b w:val="0"/>
                <w:i w:val="0"/>
                <w:sz w:val="18"/>
              </w:rPr>
              <w:t>Howard et al. [25]</w:t>
            </w:r>
          </w:p>
        </w:tc>
        <w:tc>
          <w:tcPr>
            <w:tcW w:type="dxa" w:w="2160"/>
            <w:vAlign w:val="center"/>
            <w:shd w:val="clear" w:color="auto" w:fill="FFFFFF"/>
          </w:tcPr>
          <w:p>
            <w:pPr>
              <w:jc w:val="center"/>
            </w:pPr>
            <w:r>
              <w:rPr>
                <w:rFonts w:ascii="Times New Roman" w:hAnsi="Times New Roman"/>
                <w:b w:val="0"/>
                <w:i w:val="0"/>
                <w:sz w:val="18"/>
              </w:rPr>
              <w:t>Generic</w:t>
            </w:r>
          </w:p>
        </w:tc>
        <w:tc>
          <w:tcPr>
            <w:tcW w:type="dxa" w:w="2160"/>
            <w:vAlign w:val="center"/>
            <w:shd w:val="clear" w:color="auto" w:fill="FFFFFF"/>
          </w:tcPr>
          <w:p>
            <w:pPr>
              <w:jc w:val="center"/>
            </w:pPr>
            <w:r>
              <w:rPr>
                <w:rFonts w:ascii="Times New Roman" w:hAnsi="Times New Roman"/>
                <w:b w:val="0"/>
                <w:i w:val="0"/>
                <w:sz w:val="18"/>
              </w:rPr>
              <w:t>MobileNet</w:t>
            </w:r>
          </w:p>
        </w:tc>
        <w:tc>
          <w:tcPr>
            <w:tcW w:type="dxa" w:w="1440"/>
            <w:vAlign w:val="center"/>
            <w:shd w:val="clear" w:color="auto" w:fill="FFFFFF"/>
          </w:tcPr>
          <w:p>
            <w:pPr>
              <w:jc w:val="center"/>
            </w:pPr>
            <w:r>
              <w:rPr>
                <w:rFonts w:ascii="Times New Roman" w:hAnsi="Times New Roman"/>
                <w:b w:val="0"/>
                <w:i w:val="0"/>
                <w:sz w:val="18"/>
              </w:rPr>
              <w:t>1000</w:t>
            </w:r>
          </w:p>
        </w:tc>
        <w:tc>
          <w:tcPr>
            <w:tcW w:type="dxa" w:w="1440"/>
            <w:vAlign w:val="center"/>
            <w:shd w:val="clear" w:color="auto" w:fill="FFFFFF"/>
          </w:tcPr>
          <w:p>
            <w:pPr>
              <w:jc w:val="center"/>
            </w:pPr>
            <w:r>
              <w:rPr>
                <w:rFonts w:ascii="Times New Roman" w:hAnsi="Times New Roman"/>
                <w:b w:val="0"/>
                <w:i w:val="0"/>
                <w:sz w:val="18"/>
              </w:rPr>
              <w:t>70.6%</w:t>
            </w:r>
          </w:p>
        </w:tc>
      </w:tr>
      <w:tr>
        <w:tc>
          <w:tcPr>
            <w:tcW w:type="dxa" w:w="2880"/>
            <w:vAlign w:val="center"/>
            <w:shd w:val="clear" w:color="auto" w:fill="EBF0FA"/>
          </w:tcPr>
          <w:p>
            <w:pPr>
              <w:jc w:val="center"/>
            </w:pPr>
            <w:r>
              <w:rPr>
                <w:rFonts w:ascii="Times New Roman" w:hAnsi="Times New Roman"/>
                <w:b w:val="0"/>
                <w:i w:val="0"/>
                <w:sz w:val="18"/>
              </w:rPr>
              <w:t>VattalettuX (Proposed)</w:t>
            </w:r>
          </w:p>
        </w:tc>
        <w:tc>
          <w:tcPr>
            <w:tcW w:type="dxa" w:w="2160"/>
            <w:vAlign w:val="center"/>
            <w:shd w:val="clear" w:color="auto" w:fill="EBF0FA"/>
          </w:tcPr>
          <w:p>
            <w:pPr>
              <w:jc w:val="center"/>
            </w:pPr>
            <w:r>
              <w:rPr>
                <w:rFonts w:ascii="Times New Roman" w:hAnsi="Times New Roman"/>
                <w:b w:val="0"/>
                <w:i w:val="0"/>
                <w:sz w:val="18"/>
              </w:rPr>
              <w:t>Vatteluttu</w:t>
            </w:r>
          </w:p>
        </w:tc>
        <w:tc>
          <w:tcPr>
            <w:tcW w:type="dxa" w:w="2160"/>
            <w:vAlign w:val="center"/>
            <w:shd w:val="clear" w:color="auto" w:fill="EBF0FA"/>
          </w:tcPr>
          <w:p>
            <w:pPr>
              <w:jc w:val="center"/>
            </w:pPr>
            <w:r>
              <w:rPr>
                <w:rFonts w:ascii="Times New Roman" w:hAnsi="Times New Roman"/>
                <w:b w:val="0"/>
                <w:i w:val="0"/>
                <w:sz w:val="18"/>
              </w:rPr>
              <w:t>ResNet CNN [4]</w:t>
            </w:r>
          </w:p>
        </w:tc>
        <w:tc>
          <w:tcPr>
            <w:tcW w:type="dxa" w:w="1440"/>
            <w:vAlign w:val="center"/>
            <w:shd w:val="clear" w:color="auto" w:fill="EBF0FA"/>
          </w:tcPr>
          <w:p>
            <w:pPr>
              <w:jc w:val="center"/>
            </w:pPr>
            <w:r>
              <w:rPr>
                <w:rFonts w:ascii="Times New Roman" w:hAnsi="Times New Roman"/>
                <w:b w:val="0"/>
                <w:i w:val="0"/>
                <w:sz w:val="18"/>
              </w:rPr>
              <w:t>247</w:t>
            </w:r>
          </w:p>
        </w:tc>
        <w:tc>
          <w:tcPr>
            <w:tcW w:type="dxa" w:w="1440"/>
            <w:vAlign w:val="center"/>
            <w:shd w:val="clear" w:color="auto" w:fill="EBF0FA"/>
          </w:tcPr>
          <w:p>
            <w:pPr>
              <w:jc w:val="center"/>
            </w:pPr>
            <w:r>
              <w:rPr>
                <w:rFonts w:ascii="Times New Roman" w:hAnsi="Times New Roman"/>
                <w:b w:val="0"/>
                <w:i w:val="0"/>
                <w:sz w:val="18"/>
              </w:rPr>
              <w:t>92.8%</w:t>
            </w:r>
          </w:p>
        </w:tc>
      </w:tr>
    </w:tbl>
    <w:p/>
    <w:p>
      <w:pPr>
        <w:spacing w:before="0" w:after="100"/>
        <w:jc w:val="both"/>
      </w:pPr>
      <w:r>
        <w:rPr>
          <w:rFonts w:ascii="Times New Roman" w:hAnsi="Times New Roman"/>
          <w:b w:val="0"/>
          <w:i w:val="0"/>
          <w:sz w:val="20"/>
        </w:rPr>
        <w:t>The most important comparison is with Vijaya Arjunan et al. [3], the only other deep learning study specifically targeting Vatteluttu. Their 98.0% accuracy was on 28 character classes. Our system handles 247 classes — nearly nine times more — making the problems inherently incomparable in difficulty. The fact that VattalettuX achieves 92.8% on a problem nine times harder is a meaningful result. Furthermore, VattalettuX is the only system in this comparison that is fully deployed as a working web application.</w:t>
      </w:r>
    </w:p>
    <w:p>
      <w:pPr>
        <w:spacing w:before="120" w:after="40"/>
        <w:jc w:val="left"/>
      </w:pPr>
      <w:r>
        <w:rPr>
          <w:rFonts w:ascii="Times New Roman" w:hAnsi="Times New Roman"/>
          <w:b/>
          <w:i w:val="0"/>
          <w:sz w:val="20"/>
        </w:rPr>
        <w:t>E. System Speed</w:t>
      </w:r>
    </w:p>
    <w:p>
      <w:pPr>
        <w:spacing w:before="0" w:after="120"/>
        <w:jc w:val="both"/>
      </w:pPr>
      <w:r>
        <w:rPr>
          <w:rFonts w:ascii="Times New Roman" w:hAnsi="Times New Roman"/>
          <w:b w:val="0"/>
          <w:i w:val="0"/>
          <w:sz w:val="20"/>
        </w:rPr>
        <w:t>We measured end-to-end processing time from image upload to result display on a standard CPU server: average 1.8 seconds for an inscription with 5-15 characters. With GPU acceleration via PyTorch CUDA [15], this is expected to drop below 0.5 seconds, making VattalettuX practical for interactive real-time use.</w:t>
      </w:r>
    </w:p>
    <w:p>
      <w:pPr>
        <w:spacing w:before="160" w:after="80"/>
        <w:jc w:val="center"/>
      </w:pPr>
      <w:r>
        <w:rPr>
          <w:rFonts w:ascii="Times New Roman" w:hAnsi="Times New Roman"/>
          <w:b/>
          <w:i w:val="0"/>
          <w:sz w:val="20"/>
        </w:rPr>
        <w:t>V.   CONCLUSION</w:t>
      </w:r>
    </w:p>
    <w:p>
      <w:pPr>
        <w:spacing w:before="0" w:after="100"/>
        <w:jc w:val="both"/>
      </w:pPr>
      <w:r>
        <w:rPr>
          <w:rFonts w:ascii="Times New Roman" w:hAnsi="Times New Roman"/>
          <w:b w:val="0"/>
          <w:i w:val="0"/>
          <w:sz w:val="20"/>
        </w:rPr>
        <w:t>This paper presented VattalettuX, a full-stack deep learning OCR system designed to read Vatteluttu ancient Tamil inscriptions and convert them into Modern Tamil Unicode text. The system brings together classical image processing (Otsu thresholding [8], Connected Component Analysis [9]) and deep learning (ResNet [4], Adam optimizer [11], Dropout [10], Batch Normalization [12]) inside a practical web application, achieving an overall Top-1 accuracy of 92.8% across 247 character classes.</w:t>
      </w:r>
    </w:p>
    <w:p>
      <w:pPr>
        <w:spacing w:before="0" w:after="100"/>
        <w:jc w:val="both"/>
      </w:pPr>
      <w:r>
        <w:rPr>
          <w:rFonts w:ascii="Times New Roman" w:hAnsi="Times New Roman"/>
          <w:b w:val="0"/>
          <w:i w:val="0"/>
          <w:sz w:val="20"/>
        </w:rPr>
        <w:t>Key contributions of this work are: (1) The largest Vatteluttu character set tackled—247 classes, far more than the 28 covered by any prior study [3]; (2) A systematic synthetic data pipeline following best practices from [16] that generated 247,000 training images simulating real stone surface conditions; (3) A ResNet-based model [4] trained with PyTorch [15] achieving 92.8% overall accuracy; and (4) A fully deployed web application accessible to historians and the public with no installation required.</w:t>
      </w:r>
    </w:p>
    <w:p>
      <w:pPr>
        <w:spacing w:before="0" w:after="100"/>
        <w:jc w:val="both"/>
      </w:pPr>
      <w:r>
        <w:rPr>
          <w:rFonts w:ascii="Times New Roman" w:hAnsi="Times New Roman"/>
          <w:b w:val="0"/>
          <w:i w:val="0"/>
          <w:sz w:val="20"/>
        </w:rPr>
        <w:t>Future work will explore Transformer-based recognition [23] for contextual word-level accuracy, GAN-based data synthesis [24] for more realistic training samples, MobileNet [25] deployment as a mobile app for field use by archaeologists, and — most critically — collection of real labeled inscription photographs to bridge the gap between synthetic training data and genuinely degraded historical surfaces. The digitization of Vatteluttu inscriptions grows more urgent every year as physical stone surfaces continue to erode. We hope VattalettuX provides a meaningful, accessible, and scalable tool for this effort.</w:t>
      </w:r>
    </w:p>
    <w:p>
      <w:pPr>
        <w:spacing w:before="40" w:after="40"/>
        <w:jc w:val="center"/>
      </w:pPr>
      <w:r>
        <w:rPr>
          <w:rFonts w:ascii="Times New Roman" w:hAnsi="Times New Roman"/>
          <w:b w:val="0"/>
          <w:i w:val="0"/>
          <w:sz w:val="14"/>
        </w:rPr>
        <w:t>──────────────────────────────────────────────────────────────────────────────────────────</w:t>
      </w:r>
    </w:p>
    <w:p>
      <w:pPr>
        <w:spacing w:before="160" w:after="80"/>
        <w:jc w:val="center"/>
      </w:pPr>
      <w:r>
        <w:rPr>
          <w:rFonts w:ascii="Times New Roman" w:hAnsi="Times New Roman"/>
          <w:b/>
          <w:i w:val="0"/>
          <w:sz w:val="20"/>
        </w:rPr>
        <w:t>REFERENCES</w:t>
      </w:r>
    </w:p>
    <w:p>
      <w:pPr>
        <w:spacing w:before="0" w:after="60"/>
        <w:ind w:left="360" w:hanging="360"/>
        <w:jc w:val="both"/>
      </w:pPr>
      <w:r>
        <w:rPr>
          <w:rFonts w:ascii="Times New Roman" w:hAnsi="Times New Roman"/>
          <w:b w:val="0"/>
          <w:i w:val="0"/>
          <w:sz w:val="18"/>
        </w:rPr>
        <w:t>[1] B. Murugan and P. Visalakshi, "Ancient Tamil Inscription Recognition Using Detect, Recognize and Labelling, Interpreter Framework of Text Method," Heritage Science, vol. 12, no. 1, Article 74, 2024. https://doi.org/10.1186/s40494-024-01522-9</w:t>
      </w:r>
    </w:p>
    <w:p>
      <w:pPr>
        <w:spacing w:before="0" w:after="60"/>
        <w:ind w:left="360" w:hanging="360"/>
        <w:jc w:val="both"/>
      </w:pPr>
      <w:r>
        <w:rPr>
          <w:rFonts w:ascii="Times New Roman" w:hAnsi="Times New Roman"/>
          <w:b w:val="0"/>
          <w:i w:val="0"/>
          <w:sz w:val="18"/>
        </w:rPr>
        <w:t>[2] S. Gayathri Devi, V. Subramaniyaswamy, T. Yuvaraja, K. Ramya, and R. Arun, "A Deep Learning Approach for Recognizing the Cursive Tamil Characters in Palm Leaf Manuscripts," Computational Intelligence and Neuroscience, vol. 2022, Article ID 4226871, 2022. https://doi.org/10.1155/2022/4226871</w:t>
      </w:r>
    </w:p>
    <w:p>
      <w:pPr>
        <w:spacing w:before="0" w:after="60"/>
        <w:ind w:left="360" w:hanging="360"/>
        <w:jc w:val="both"/>
      </w:pPr>
      <w:r>
        <w:rPr>
          <w:rFonts w:ascii="Times New Roman" w:hAnsi="Times New Roman"/>
          <w:b w:val="0"/>
          <w:i w:val="0"/>
          <w:sz w:val="18"/>
        </w:rPr>
        <w:t>[3] R. Vijaya Arjunan, S. Krishnamurthy, and P. Ramasamy, "Deciphering Ancient Tamil Epigraphy: A Deep Learning Approach for Vatteluttu Script Recognition," Journal of Internet Services and Information Security (JISIS), vol. 15, no. 1, pp. 1-18, 2025. https://doi.org/10.58346/JISIS.2025.I1.001</w:t>
      </w:r>
    </w:p>
    <w:p>
      <w:pPr>
        <w:spacing w:before="0" w:after="60"/>
        <w:ind w:left="360" w:hanging="360"/>
        <w:jc w:val="both"/>
      </w:pPr>
      <w:r>
        <w:rPr>
          <w:rFonts w:ascii="Times New Roman" w:hAnsi="Times New Roman"/>
          <w:b w:val="0"/>
          <w:i w:val="0"/>
          <w:sz w:val="18"/>
        </w:rPr>
        <w:t>[4] K. He, X. Zhang, S. Ren, and J. Sun, "Deep Residual Learning for Image Recognition," in Proc. IEEE CVPR, 2016. https://doi.org/10.1109/CVPR.2016.90</w:t>
      </w:r>
    </w:p>
    <w:p>
      <w:pPr>
        <w:spacing w:before="0" w:after="60"/>
        <w:ind w:left="360" w:hanging="360"/>
        <w:jc w:val="both"/>
      </w:pPr>
      <w:r>
        <w:rPr>
          <w:rFonts w:ascii="Times New Roman" w:hAnsi="Times New Roman"/>
          <w:b w:val="0"/>
          <w:i w:val="0"/>
          <w:sz w:val="18"/>
        </w:rPr>
        <w:t>[5] K. Simonyan and A. Zisserman, "Very Deep Convolutional Networks for Large-Scale Image Recognition," in 3rd Int. Conf. Learning Representations (ICLR), 2015. https://arxiv.org/abs/1409.1556</w:t>
      </w:r>
    </w:p>
    <w:p>
      <w:pPr>
        <w:spacing w:before="0" w:after="60"/>
        <w:ind w:left="360" w:hanging="360"/>
        <w:jc w:val="both"/>
      </w:pPr>
      <w:r>
        <w:rPr>
          <w:rFonts w:ascii="Times New Roman" w:hAnsi="Times New Roman"/>
          <w:b w:val="0"/>
          <w:i w:val="0"/>
          <w:sz w:val="18"/>
        </w:rPr>
        <w:t>[6] A. Krizhevsky, I. Sutskever, and G. E. Hinton, "ImageNet Classification with Deep Convolutional Neural Networks," Advances in Neural Information Processing Systems (NIPS), vol. 25, pp. 1097-1105, 2012. https://doi.org/10.1145/3065386</w:t>
      </w:r>
    </w:p>
    <w:p>
      <w:pPr>
        <w:spacing w:before="0" w:after="60"/>
        <w:ind w:left="360" w:hanging="360"/>
        <w:jc w:val="both"/>
      </w:pPr>
      <w:r>
        <w:rPr>
          <w:rFonts w:ascii="Times New Roman" w:hAnsi="Times New Roman"/>
          <w:b w:val="0"/>
          <w:i w:val="0"/>
          <w:sz w:val="18"/>
        </w:rPr>
        <w:t>[7] Y. LeCun, L. Bottou, Y. Bengio, and P. Haffner, "Gradient-Based Learning Applied to Document Recognition," Proceedings of the IEEE, vol. 86, no. 11, pp. 2278-2324, 1998. https://doi.org/10.1109/5.726791</w:t>
      </w:r>
    </w:p>
    <w:p>
      <w:pPr>
        <w:spacing w:before="0" w:after="60"/>
        <w:ind w:left="360" w:hanging="360"/>
        <w:jc w:val="both"/>
      </w:pPr>
      <w:r>
        <w:rPr>
          <w:rFonts w:ascii="Times New Roman" w:hAnsi="Times New Roman"/>
          <w:b w:val="0"/>
          <w:i w:val="0"/>
          <w:sz w:val="18"/>
        </w:rPr>
        <w:t>[8] N. Otsu, "A Threshold Selection Method from Gray-Level Histograms," IEEE Transactions on Systems, Man, and Cybernetics, vol. 9, no. 1, pp. 62-66, 1979. https://doi.org/10.1109/TSMC.1979.4310076</w:t>
      </w:r>
    </w:p>
    <w:p>
      <w:pPr>
        <w:spacing w:before="0" w:after="60"/>
        <w:ind w:left="360" w:hanging="360"/>
        <w:jc w:val="both"/>
      </w:pPr>
      <w:r>
        <w:rPr>
          <w:rFonts w:ascii="Times New Roman" w:hAnsi="Times New Roman"/>
          <w:b w:val="0"/>
          <w:i w:val="0"/>
          <w:sz w:val="18"/>
        </w:rPr>
        <w:t>[9] S. Suzuki and K. Abe, "Topological Structural Analysis of Digitized Binary Images by Border Following," Computer Vision, Graphics, and Image Processing, vol. 30, no. 1, pp. 32-46, 1985. https://doi.org/10.1016/0734-189X(85)90016-7</w:t>
      </w:r>
    </w:p>
    <w:p>
      <w:pPr>
        <w:spacing w:before="0" w:after="60"/>
        <w:ind w:left="360" w:hanging="360"/>
        <w:jc w:val="both"/>
      </w:pPr>
      <w:r>
        <w:rPr>
          <w:rFonts w:ascii="Times New Roman" w:hAnsi="Times New Roman"/>
          <w:b w:val="0"/>
          <w:i w:val="0"/>
          <w:sz w:val="18"/>
        </w:rPr>
        <w:t>[10] N. Srivastava, G. Hinton, A. Krizhevsky, I. Sutskever, and R. Salakhutdinov, "Dropout: A Simple Way to Prevent Neural Networks from Overfitting," Journal of Machine Learning Research, vol. 15, no. 56, pp. 1929-1958, 2014. https://jmlr.org/papers/v15/srivastava14a.html</w:t>
      </w:r>
    </w:p>
    <w:p>
      <w:pPr>
        <w:spacing w:before="0" w:after="60"/>
        <w:ind w:left="360" w:hanging="360"/>
        <w:jc w:val="both"/>
      </w:pPr>
      <w:r>
        <w:rPr>
          <w:rFonts w:ascii="Times New Roman" w:hAnsi="Times New Roman"/>
          <w:b w:val="0"/>
          <w:i w:val="0"/>
          <w:sz w:val="18"/>
        </w:rPr>
        <w:t>[11] D. P. Kingma and J. Ba, "Adam: A Method for Stochastic Optimization," in 3rd Int. Conf. Learning Representations (ICLR), 2015. https://arxiv.org/abs/1412.6980</w:t>
      </w:r>
    </w:p>
    <w:p>
      <w:pPr>
        <w:spacing w:before="0" w:after="60"/>
        <w:ind w:left="360" w:hanging="360"/>
        <w:jc w:val="both"/>
      </w:pPr>
      <w:r>
        <w:rPr>
          <w:rFonts w:ascii="Times New Roman" w:hAnsi="Times New Roman"/>
          <w:b w:val="0"/>
          <w:i w:val="0"/>
          <w:sz w:val="18"/>
        </w:rPr>
        <w:t>[12] S. Ioffe and C. Szegedy, "Batch Normalization: Accelerating Deep Network Training by Reducing Internal Covariate Shift," in Proc. 32nd Int. Conf. Machine Learning (ICML), PMLR 37, pp. 448-456, 2015. https://arxiv.org/abs/1502.03167</w:t>
      </w:r>
    </w:p>
    <w:p>
      <w:pPr>
        <w:spacing w:before="0" w:after="60"/>
        <w:ind w:left="360" w:hanging="360"/>
        <w:jc w:val="both"/>
      </w:pPr>
      <w:r>
        <w:rPr>
          <w:rFonts w:ascii="Times New Roman" w:hAnsi="Times New Roman"/>
          <w:b w:val="0"/>
          <w:i w:val="0"/>
          <w:sz w:val="18"/>
        </w:rPr>
        <w:t>[13] R. Girshick, J. Donahue, T. Darrell, and J. Malik, "Rich Feature Hierarchies for Accurate Object Detection and Semantic Segmentation," in Proc. IEEE CVPR, 2014. https://doi.org/10.1109/CVPR.2014.81</w:t>
      </w:r>
    </w:p>
    <w:p>
      <w:pPr>
        <w:spacing w:before="0" w:after="60"/>
        <w:ind w:left="360" w:hanging="360"/>
        <w:jc w:val="both"/>
      </w:pPr>
      <w:r>
        <w:rPr>
          <w:rFonts w:ascii="Times New Roman" w:hAnsi="Times New Roman"/>
          <w:b w:val="0"/>
          <w:i w:val="0"/>
          <w:sz w:val="18"/>
        </w:rPr>
        <w:t>[14] C. Szegedy et al., "Going Deeper with Convolutions," in Proc. IEEE CVPR, 2015. https://doi.org/10.1109/CVPR.2015.7298594</w:t>
      </w:r>
    </w:p>
    <w:p>
      <w:pPr>
        <w:spacing w:before="0" w:after="60"/>
        <w:ind w:left="360" w:hanging="360"/>
        <w:jc w:val="both"/>
      </w:pPr>
      <w:r>
        <w:rPr>
          <w:rFonts w:ascii="Times New Roman" w:hAnsi="Times New Roman"/>
          <w:b w:val="0"/>
          <w:i w:val="0"/>
          <w:sz w:val="18"/>
        </w:rPr>
        <w:t>[15] A. Paszke et al., "PyTorch: An Imperative Style, High-Performance Deep Learning Library," Advances in Neural Information Processing Systems (NeurIPS), vol. 32, pp. 8024-8035, 2019. https://arxiv.org/abs/1912.01703</w:t>
      </w:r>
    </w:p>
    <w:p>
      <w:pPr>
        <w:spacing w:before="0" w:after="60"/>
        <w:ind w:left="360" w:hanging="360"/>
        <w:jc w:val="both"/>
      </w:pPr>
      <w:r>
        <w:rPr>
          <w:rFonts w:ascii="Times New Roman" w:hAnsi="Times New Roman"/>
          <w:b w:val="0"/>
          <w:i w:val="0"/>
          <w:sz w:val="18"/>
        </w:rPr>
        <w:t>[16] C. Shorten and T. M. Khoshgoftaar, "A Survey on Image Data Augmentation for Deep Learning," Journal of Big Data, vol. 6, no. 1, p. 60, 2019. https://link.springer.com/article/10.1186/s40537-019-0197-0</w:t>
      </w:r>
    </w:p>
    <w:p>
      <w:pPr>
        <w:spacing w:before="0" w:after="60"/>
        <w:ind w:left="360" w:hanging="360"/>
        <w:jc w:val="both"/>
      </w:pPr>
      <w:r>
        <w:rPr>
          <w:rFonts w:ascii="Times New Roman" w:hAnsi="Times New Roman"/>
          <w:b w:val="0"/>
          <w:i w:val="0"/>
          <w:sz w:val="18"/>
        </w:rPr>
        <w:t>[17] G. Bradski, "The OpenCV Library," Dr. Dobb's Journal of Software Tools, vol. 25, no. 11, pp. 120-125, 2000.</w:t>
      </w:r>
    </w:p>
    <w:p>
      <w:pPr>
        <w:spacing w:before="0" w:after="60"/>
        <w:ind w:left="360" w:hanging="360"/>
        <w:jc w:val="both"/>
      </w:pPr>
      <w:r>
        <w:rPr>
          <w:rFonts w:ascii="Times New Roman" w:hAnsi="Times New Roman"/>
          <w:b w:val="0"/>
          <w:i w:val="0"/>
          <w:sz w:val="18"/>
        </w:rPr>
        <w:t>[18] I. Goodfellow, Y. Bengio, and A. Courville, Deep Learning. MIT Press, 2016. ISBN: 978-0-262-03561-3. https://www.deeplearningbook.org</w:t>
      </w:r>
    </w:p>
    <w:p>
      <w:pPr>
        <w:spacing w:before="0" w:after="60"/>
        <w:ind w:left="360" w:hanging="360"/>
        <w:jc w:val="both"/>
      </w:pPr>
      <w:r>
        <w:rPr>
          <w:rFonts w:ascii="Times New Roman" w:hAnsi="Times New Roman"/>
          <w:b w:val="0"/>
          <w:i w:val="0"/>
          <w:sz w:val="18"/>
        </w:rPr>
        <w:t>[19] S. Hochreiter and J. Schmidhuber, "Long Short-Term Memory," Neural Computation, vol. 9, no. 8, pp. 1735-1780, 1997. https://doi.org/10.1162/neco.1997.9.8.1735</w:t>
      </w:r>
    </w:p>
    <w:p>
      <w:pPr>
        <w:spacing w:before="0" w:after="60"/>
        <w:ind w:left="360" w:hanging="360"/>
        <w:jc w:val="both"/>
      </w:pPr>
      <w:r>
        <w:rPr>
          <w:rFonts w:ascii="Times New Roman" w:hAnsi="Times New Roman"/>
          <w:b w:val="0"/>
          <w:i w:val="0"/>
          <w:sz w:val="18"/>
        </w:rPr>
        <w:t>[20] M. Abadi et al., "TensorFlow: A System for Large-Scale Machine Learning," in 12th USENIX Symposium on Operating Systems Design and Implementation (OSDI), pp. 265-283, 2016. https://arxiv.org/abs/1605.08695</w:t>
      </w:r>
    </w:p>
    <w:p>
      <w:pPr>
        <w:spacing w:before="0" w:after="60"/>
        <w:ind w:left="360" w:hanging="360"/>
        <w:jc w:val="both"/>
      </w:pPr>
      <w:r>
        <w:rPr>
          <w:rFonts w:ascii="Times New Roman" w:hAnsi="Times New Roman"/>
          <w:b w:val="0"/>
          <w:i w:val="0"/>
          <w:sz w:val="18"/>
        </w:rPr>
        <w:t>[21] J. Deng, W. Dong, R. Socher, L.-J. Li, K. Li, and L. Fei-Fei, "ImageNet: A Large-Scale Hierarchical Image Database," in Proc. IEEE CVPR, 2009. https://doi.org/10.1109/CVPR.2009.5206848</w:t>
      </w:r>
    </w:p>
    <w:p>
      <w:pPr>
        <w:spacing w:before="0" w:after="60"/>
        <w:ind w:left="360" w:hanging="360"/>
        <w:jc w:val="both"/>
      </w:pPr>
      <w:r>
        <w:rPr>
          <w:rFonts w:ascii="Times New Roman" w:hAnsi="Times New Roman"/>
          <w:b w:val="0"/>
          <w:i w:val="0"/>
          <w:sz w:val="18"/>
        </w:rPr>
        <w:t>[22] O. Ronneberger, P. Fischer, and T. Brox, "U-Net: Convolutional Networks for Biomedical Image Segmentation," in MICCAI, Lecture Notes in Computer Science, vol. 9351, pp. 234-241, 2015. https://link.springer.com/chapter/10.1007/978-3-319-24574-4_28</w:t>
      </w:r>
    </w:p>
    <w:p>
      <w:pPr>
        <w:spacing w:before="0" w:after="60"/>
        <w:ind w:left="360" w:hanging="360"/>
        <w:jc w:val="both"/>
      </w:pPr>
      <w:r>
        <w:rPr>
          <w:rFonts w:ascii="Times New Roman" w:hAnsi="Times New Roman"/>
          <w:b w:val="0"/>
          <w:i w:val="0"/>
          <w:sz w:val="18"/>
        </w:rPr>
        <w:t>[23] A. Vaswani et al., "Attention Is All You Need," Advances in Neural Information Processing Systems (NIPS), vol. 30, 2017. https://arxiv.org/abs/1706.03762</w:t>
      </w:r>
    </w:p>
    <w:p>
      <w:pPr>
        <w:spacing w:before="0" w:after="60"/>
        <w:ind w:left="360" w:hanging="360"/>
        <w:jc w:val="both"/>
      </w:pPr>
      <w:r>
        <w:rPr>
          <w:rFonts w:ascii="Times New Roman" w:hAnsi="Times New Roman"/>
          <w:b w:val="0"/>
          <w:i w:val="0"/>
          <w:sz w:val="18"/>
        </w:rPr>
        <w:t>[24] I. J. Goodfellow et al., "Generative Adversarial Networks," Advances in Neural Information Processing Systems (NIPS), vol. 27, 2014. https://arxiv.org/abs/1406.2661</w:t>
      </w:r>
    </w:p>
    <w:p>
      <w:pPr>
        <w:spacing w:before="0" w:after="60"/>
        <w:ind w:left="360" w:hanging="360"/>
        <w:jc w:val="both"/>
      </w:pPr>
      <w:r>
        <w:rPr>
          <w:rFonts w:ascii="Times New Roman" w:hAnsi="Times New Roman"/>
          <w:b w:val="0"/>
          <w:i w:val="0"/>
          <w:sz w:val="18"/>
        </w:rPr>
        <w:t>[25] A. G. Howard et al., "MobileNets: Efficient Convolutional Neural Networks for Mobile Vision Applications," arXiv preprint arXiv:1704.04861, 2017. https://arxiv.org/abs/1704.04861</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