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B2968">
      <w:bookmarkStart w:id="0" w:name="_GoBack"/>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bookmarkEnd w:id="0"/>
    </w:p>
    <w:p w14:paraId="5A2C0C08">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7AB6A541">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648FF72D">
      <w:pPr>
        <w:wordWrap w:val="0"/>
        <w:ind w:firstLine="1982" w:firstLineChars="450"/>
        <w:jc w:val="center"/>
        <w:rPr>
          <w:rFonts w:eastAsia="黑体"/>
          <w:b/>
          <w:bCs/>
          <w:sz w:val="44"/>
          <w:szCs w:val="44"/>
        </w:rPr>
      </w:pPr>
    </w:p>
    <w:p w14:paraId="431CC178">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4D19C959">
      <w:pPr>
        <w:wordWrap w:val="0"/>
        <w:jc w:val="center"/>
        <w:rPr>
          <w:sz w:val="18"/>
          <w:szCs w:val="18"/>
        </w:rPr>
      </w:pPr>
      <w:r>
        <w:rPr>
          <w:sz w:val="18"/>
          <w:szCs w:val="18"/>
        </w:rPr>
        <w:t> </w:t>
      </w:r>
    </w:p>
    <w:p w14:paraId="32D0D788">
      <w:pPr>
        <w:wordWrap w:val="0"/>
        <w:jc w:val="center"/>
        <w:rPr>
          <w:sz w:val="18"/>
          <w:szCs w:val="18"/>
        </w:rPr>
      </w:pPr>
      <w:r>
        <w:rPr>
          <w:sz w:val="18"/>
          <w:szCs w:val="18"/>
        </w:rPr>
        <w:t> </w:t>
      </w:r>
    </w:p>
    <w:p w14:paraId="7C2EDFBA">
      <w:pPr>
        <w:wordWrap w:val="0"/>
        <w:jc w:val="left"/>
        <w:rPr>
          <w:b/>
          <w:bCs/>
          <w:sz w:val="18"/>
          <w:szCs w:val="18"/>
        </w:rPr>
      </w:pPr>
    </w:p>
    <w:p w14:paraId="140532B7">
      <w:pPr>
        <w:wordWrap w:val="0"/>
        <w:jc w:val="left"/>
        <w:rPr>
          <w:b/>
          <w:bCs/>
          <w:sz w:val="18"/>
          <w:szCs w:val="18"/>
        </w:rPr>
      </w:pPr>
    </w:p>
    <w:p w14:paraId="4D7B5A0B">
      <w:pPr>
        <w:wordWrap w:val="0"/>
        <w:jc w:val="left"/>
        <w:rPr>
          <w:b/>
          <w:bCs/>
          <w:sz w:val="18"/>
          <w:szCs w:val="18"/>
        </w:rPr>
      </w:pPr>
    </w:p>
    <w:p w14:paraId="4B00B6C0">
      <w:pPr>
        <w:tabs>
          <w:tab w:val="left" w:pos="1080"/>
        </w:tabs>
        <w:wordWrap w:val="0"/>
        <w:ind w:left="3314" w:leftChars="852" w:hanging="1525" w:hangingChars="508"/>
        <w:jc w:val="left"/>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lang w:eastAsia="zh-CN"/>
        </w:rPr>
        <w:t>《</w:t>
      </w:r>
      <w:r>
        <w:rPr>
          <w:rFonts w:hint="eastAsia" w:eastAsia="楷体_GB2312"/>
          <w:b/>
          <w:bCs/>
          <w:sz w:val="30"/>
          <w:szCs w:val="30"/>
          <w:u w:val="single"/>
          <w:lang w:val="en-US" w:eastAsia="zh-CN"/>
        </w:rPr>
        <w:t>算法黑箱与社会正义：自动决策系中的伦理困境与治理机制研究</w:t>
      </w:r>
      <w:r>
        <w:rPr>
          <w:rFonts w:hint="eastAsia" w:eastAsia="楷体_GB2312"/>
          <w:b/>
          <w:bCs/>
          <w:sz w:val="30"/>
          <w:szCs w:val="30"/>
          <w:u w:val="single"/>
          <w:lang w:eastAsia="zh-CN"/>
        </w:rPr>
        <w:t>》</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0144D7A3">
      <w:pPr>
        <w:wordWrap w:val="0"/>
        <w:ind w:firstLine="1775"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14:paraId="7E9B6608">
      <w:pPr>
        <w:wordWrap w:val="0"/>
        <w:ind w:firstLine="1775"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p>
    <w:p w14:paraId="74FB1F70">
      <w:pPr>
        <w:wordWrap w:val="0"/>
        <w:ind w:firstLine="1775"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B220408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14:paraId="768B736E">
      <w:pPr>
        <w:wordWrap w:val="0"/>
        <w:ind w:firstLine="1775"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B22040819</w:t>
      </w:r>
      <w:r>
        <w:rPr>
          <w:rFonts w:hint="eastAsia" w:eastAsia="楷体_GB2312"/>
          <w:b/>
          <w:bCs/>
          <w:sz w:val="30"/>
          <w:szCs w:val="30"/>
          <w:u w:val="single"/>
        </w:rPr>
        <w:t xml:space="preserve">  </w:t>
      </w:r>
      <w:r>
        <w:rPr>
          <w:rFonts w:eastAsia="楷体_GB2312"/>
          <w:b/>
          <w:bCs/>
          <w:sz w:val="30"/>
          <w:szCs w:val="30"/>
          <w:u w:val="single"/>
        </w:rPr>
        <w:t xml:space="preserve">           </w:t>
      </w:r>
    </w:p>
    <w:p w14:paraId="60E58F80">
      <w:pPr>
        <w:wordWrap w:val="0"/>
        <w:ind w:firstLine="1775" w:firstLineChars="591"/>
        <w:rPr>
          <w:rFonts w:hint="eastAsia" w:eastAsia="楷体_GB2312"/>
          <w:b/>
          <w:bCs/>
          <w:sz w:val="30"/>
          <w:szCs w:val="30"/>
          <w:u w:val="single"/>
          <w:lang w:val="en-US" w:eastAsia="zh-CN"/>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卓立昊</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22DB4A23">
      <w:pPr>
        <w:wordWrap w:val="0"/>
        <w:ind w:firstLine="1775"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张莹</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3B72B92D">
      <w:pPr>
        <w:wordWrap w:val="0"/>
        <w:rPr>
          <w:sz w:val="18"/>
          <w:szCs w:val="18"/>
        </w:rPr>
      </w:pPr>
    </w:p>
    <w:p w14:paraId="70BC0E8D">
      <w:pPr>
        <w:ind w:firstLine="3330" w:firstLineChars="1850"/>
        <w:rPr>
          <w:sz w:val="18"/>
          <w:szCs w:val="18"/>
        </w:rPr>
      </w:pPr>
    </w:p>
    <w:p w14:paraId="27D6444A">
      <w:pPr>
        <w:rPr>
          <w:sz w:val="18"/>
          <w:szCs w:val="18"/>
        </w:rPr>
      </w:pPr>
    </w:p>
    <w:p w14:paraId="196C72A8">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2D94E627">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ascii="仿宋" w:hAnsi="仿宋" w:eastAsia="仿宋"/>
          <w:sz w:val="24"/>
          <w:szCs w:val="24"/>
        </w:rPr>
        <w:t xml:space="preserve">  </w:t>
      </w:r>
      <w:r>
        <w:rPr>
          <w:rFonts w:hint="eastAsia" w:ascii="仿宋" w:hAnsi="仿宋" w:eastAsia="仿宋"/>
          <w:sz w:val="24"/>
          <w:szCs w:val="24"/>
        </w:rPr>
        <w:t xml:space="preserve">年 </w:t>
      </w:r>
      <w:r>
        <w:rPr>
          <w:rFonts w:hint="eastAsia" w:ascii="仿宋" w:hAnsi="仿宋" w:eastAsia="仿宋"/>
          <w:sz w:val="24"/>
          <w:szCs w:val="24"/>
          <w:lang w:val="en-US" w:eastAsia="zh-CN"/>
        </w:rPr>
        <w:t>12</w:t>
      </w:r>
      <w:r>
        <w:rPr>
          <w:rFonts w:ascii="仿宋" w:hAnsi="仿宋" w:eastAsia="仿宋"/>
          <w:sz w:val="24"/>
          <w:szCs w:val="24"/>
        </w:rPr>
        <w:t xml:space="preserve">  </w:t>
      </w:r>
      <w:r>
        <w:rPr>
          <w:rFonts w:hint="eastAsia" w:ascii="仿宋" w:hAnsi="仿宋" w:eastAsia="仿宋"/>
          <w:sz w:val="24"/>
          <w:szCs w:val="24"/>
        </w:rPr>
        <w:t xml:space="preserve">月 </w:t>
      </w:r>
      <w:r>
        <w:rPr>
          <w:rFonts w:hint="eastAsia" w:ascii="仿宋" w:hAnsi="仿宋" w:eastAsia="仿宋"/>
          <w:sz w:val="24"/>
          <w:szCs w:val="24"/>
          <w:lang w:val="en-US" w:eastAsia="zh-CN"/>
        </w:rPr>
        <w:t>9</w:t>
      </w:r>
      <w:r>
        <w:rPr>
          <w:rFonts w:ascii="仿宋" w:hAnsi="仿宋" w:eastAsia="仿宋"/>
          <w:sz w:val="24"/>
          <w:szCs w:val="24"/>
        </w:rPr>
        <w:t xml:space="preserve">  </w:t>
      </w:r>
      <w:r>
        <w:rPr>
          <w:rFonts w:hint="eastAsia" w:ascii="仿宋" w:hAnsi="仿宋" w:eastAsia="仿宋"/>
          <w:sz w:val="24"/>
          <w:szCs w:val="24"/>
        </w:rPr>
        <w:t>日</w:t>
      </w:r>
    </w:p>
    <w:p w14:paraId="31C7CBB6">
      <w:pPr>
        <w:widowControl/>
        <w:jc w:val="left"/>
        <w:rPr>
          <w:rFonts w:ascii="仿宋" w:hAnsi="仿宋" w:eastAsia="仿宋"/>
          <w:sz w:val="30"/>
          <w:szCs w:val="30"/>
        </w:rPr>
      </w:pPr>
      <w:r>
        <w:rPr>
          <w:rFonts w:ascii="仿宋" w:hAnsi="仿宋" w:eastAsia="仿宋"/>
          <w:sz w:val="30"/>
          <w:szCs w:val="30"/>
        </w:rPr>
        <w:br w:type="page"/>
      </w:r>
    </w:p>
    <w:p w14:paraId="25838DD5">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8"/>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5B07385D">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0C497538">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20328C13">
            <w:pPr>
              <w:tabs>
                <w:tab w:val="left" w:pos="6870"/>
              </w:tabs>
              <w:jc w:val="center"/>
              <w:rPr>
                <w:rFonts w:ascii="仿宋" w:hAnsi="仿宋" w:eastAsia="仿宋"/>
                <w:color w:val="FF0000"/>
              </w:rPr>
            </w:pPr>
            <w:r>
              <w:rPr>
                <w:rFonts w:hint="eastAsia" w:ascii="仿宋" w:hAnsi="仿宋" w:eastAsia="仿宋"/>
                <w:lang w:val="en-US" w:eastAsia="zh-CN"/>
              </w:rPr>
              <w:t>算法黑箱与社会正义：自动决策中的伦理困境与治理机制研究</w:t>
            </w:r>
            <w:r>
              <w:rPr>
                <w:rFonts w:hint="eastAsia" w:ascii="仿宋" w:hAnsi="仿宋" w:eastAsia="仿宋"/>
              </w:rPr>
              <w:t xml:space="preserve"> </w:t>
            </w:r>
          </w:p>
        </w:tc>
      </w:tr>
      <w:tr w14:paraId="1BF22CA7">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1BE82695">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2B894A5B">
            <w:pPr>
              <w:tabs>
                <w:tab w:val="left" w:pos="6870"/>
              </w:tabs>
              <w:jc w:val="center"/>
              <w:rPr>
                <w:rFonts w:ascii="仿宋" w:hAnsi="仿宋" w:eastAsia="仿宋"/>
              </w:rPr>
            </w:pPr>
            <w:r>
              <w:rPr>
                <w:rFonts w:hint="eastAsia" w:ascii="仿宋" w:hAnsi="仿宋" w:eastAsia="仿宋"/>
                <w:lang w:val="en-US" w:eastAsia="zh-CN"/>
              </w:rPr>
              <w:t>卓立昊</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3B76579F">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68AFBBF8">
            <w:pPr>
              <w:tabs>
                <w:tab w:val="left" w:pos="6870"/>
              </w:tabs>
              <w:jc w:val="center"/>
              <w:rPr>
                <w:rFonts w:hint="default" w:ascii="仿宋" w:hAnsi="仿宋" w:eastAsia="仿宋"/>
                <w:lang w:val="en-US" w:eastAsia="zh-CN"/>
              </w:rPr>
            </w:pPr>
            <w:r>
              <w:rPr>
                <w:rFonts w:hint="eastAsia" w:ascii="仿宋" w:hAnsi="仿宋" w:eastAsia="仿宋"/>
                <w:lang w:val="en-US" w:eastAsia="zh-CN"/>
              </w:rPr>
              <w:t>B22040819</w:t>
            </w:r>
          </w:p>
        </w:tc>
        <w:tc>
          <w:tcPr>
            <w:tcW w:w="1134" w:type="dxa"/>
            <w:tcBorders>
              <w:top w:val="single" w:color="auto" w:sz="4" w:space="0"/>
              <w:left w:val="single" w:color="auto" w:sz="4" w:space="0"/>
              <w:bottom w:val="single" w:color="auto" w:sz="4" w:space="0"/>
              <w:right w:val="single" w:color="auto" w:sz="4" w:space="0"/>
            </w:tcBorders>
            <w:vAlign w:val="center"/>
          </w:tcPr>
          <w:p w14:paraId="022E7175">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48B4852C">
            <w:pPr>
              <w:tabs>
                <w:tab w:val="left" w:pos="6870"/>
              </w:tabs>
              <w:jc w:val="center"/>
              <w:rPr>
                <w:rFonts w:hint="default" w:ascii="仿宋" w:hAnsi="仿宋" w:eastAsia="仿宋"/>
                <w:color w:val="FF0000"/>
                <w:lang w:val="en-US" w:eastAsia="zh-CN"/>
              </w:rPr>
            </w:pPr>
            <w:r>
              <w:rPr>
                <w:rFonts w:hint="eastAsia" w:ascii="仿宋" w:hAnsi="仿宋" w:eastAsia="仿宋"/>
                <w:lang w:val="en-US" w:eastAsia="zh-CN"/>
              </w:rPr>
              <w:t>计算机科学与技术</w:t>
            </w:r>
          </w:p>
        </w:tc>
      </w:tr>
      <w:tr w14:paraId="4D9F6105">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6616069">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FB4E50B">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29DA107">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7731D7D">
            <w:pPr>
              <w:tabs>
                <w:tab w:val="left" w:pos="6870"/>
              </w:tabs>
              <w:jc w:val="center"/>
              <w:rPr>
                <w:rFonts w:ascii="楷体" w:hAnsi="楷体" w:eastAsia="楷体"/>
                <w:color w:val="000000"/>
              </w:rPr>
            </w:pPr>
            <w:r>
              <w:rPr>
                <w:rFonts w:hint="eastAsia" w:ascii="楷体" w:hAnsi="楷体" w:eastAsia="楷体"/>
                <w:color w:val="000000"/>
              </w:rPr>
              <w:t>评分</w:t>
            </w:r>
          </w:p>
        </w:tc>
      </w:tr>
      <w:tr w14:paraId="794E628D">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6377E90">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FCF013E">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7ADAD97">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5CF546F">
            <w:pPr>
              <w:tabs>
                <w:tab w:val="left" w:pos="6870"/>
              </w:tabs>
              <w:jc w:val="center"/>
              <w:rPr>
                <w:rFonts w:ascii="仿宋" w:hAnsi="仿宋" w:eastAsia="仿宋"/>
                <w:color w:val="000000"/>
              </w:rPr>
            </w:pPr>
            <w:r>
              <w:rPr>
                <w:rFonts w:ascii="仿宋" w:hAnsi="仿宋" w:eastAsia="仿宋"/>
                <w:color w:val="000000"/>
              </w:rPr>
              <w:t xml:space="preserve"> </w:t>
            </w:r>
          </w:p>
        </w:tc>
      </w:tr>
      <w:tr w14:paraId="741033B8">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FF47BC6">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23D802D">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C02EBFE">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EEF874D">
            <w:pPr>
              <w:tabs>
                <w:tab w:val="left" w:pos="6870"/>
              </w:tabs>
              <w:jc w:val="center"/>
              <w:rPr>
                <w:rFonts w:ascii="仿宋" w:hAnsi="仿宋" w:eastAsia="仿宋"/>
                <w:color w:val="000000"/>
              </w:rPr>
            </w:pPr>
            <w:r>
              <w:rPr>
                <w:rFonts w:ascii="仿宋" w:hAnsi="仿宋" w:eastAsia="仿宋"/>
                <w:color w:val="000000"/>
              </w:rPr>
              <w:t xml:space="preserve"> </w:t>
            </w:r>
          </w:p>
        </w:tc>
      </w:tr>
      <w:tr w14:paraId="778876F6">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09B316F">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5F81CB8">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2D52997">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1015A48">
            <w:pPr>
              <w:tabs>
                <w:tab w:val="left" w:pos="6870"/>
              </w:tabs>
              <w:jc w:val="center"/>
              <w:rPr>
                <w:rFonts w:ascii="仿宋" w:hAnsi="仿宋" w:eastAsia="仿宋"/>
                <w:color w:val="000000"/>
              </w:rPr>
            </w:pPr>
            <w:r>
              <w:rPr>
                <w:rFonts w:ascii="仿宋" w:hAnsi="仿宋" w:eastAsia="仿宋"/>
                <w:color w:val="000000"/>
              </w:rPr>
              <w:t xml:space="preserve"> </w:t>
            </w:r>
          </w:p>
        </w:tc>
      </w:tr>
      <w:tr w14:paraId="50CBE8BB">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02D8F3C">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C7E1C24">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6C3BFDA">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811C5CE">
            <w:pPr>
              <w:tabs>
                <w:tab w:val="left" w:pos="6870"/>
              </w:tabs>
              <w:jc w:val="center"/>
              <w:rPr>
                <w:rFonts w:ascii="仿宋" w:hAnsi="仿宋" w:eastAsia="仿宋"/>
                <w:color w:val="000000"/>
              </w:rPr>
            </w:pPr>
            <w:r>
              <w:rPr>
                <w:rFonts w:ascii="仿宋" w:hAnsi="仿宋" w:eastAsia="仿宋"/>
                <w:color w:val="000000"/>
              </w:rPr>
              <w:t xml:space="preserve"> </w:t>
            </w:r>
          </w:p>
        </w:tc>
      </w:tr>
      <w:tr w14:paraId="360288E5">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95A8D01">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48DC7B3">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3A2BF6E">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F7BB967">
            <w:pPr>
              <w:tabs>
                <w:tab w:val="left" w:pos="6870"/>
              </w:tabs>
              <w:jc w:val="center"/>
              <w:rPr>
                <w:rFonts w:ascii="仿宋" w:hAnsi="仿宋" w:eastAsia="仿宋"/>
                <w:color w:val="000000"/>
              </w:rPr>
            </w:pPr>
            <w:r>
              <w:rPr>
                <w:rFonts w:ascii="仿宋" w:hAnsi="仿宋" w:eastAsia="仿宋"/>
                <w:color w:val="000000"/>
              </w:rPr>
              <w:t xml:space="preserve"> </w:t>
            </w:r>
          </w:p>
        </w:tc>
      </w:tr>
      <w:tr w14:paraId="45451EE6">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1A09D60">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B0BD43A">
            <w:pPr>
              <w:tabs>
                <w:tab w:val="left" w:pos="6870"/>
              </w:tabs>
              <w:rPr>
                <w:rFonts w:ascii="仿宋" w:hAnsi="仿宋" w:eastAsia="仿宋"/>
                <w:color w:val="000000"/>
              </w:rPr>
            </w:pPr>
          </w:p>
        </w:tc>
      </w:tr>
      <w:tr w14:paraId="1194A557">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183905D">
            <w:pPr>
              <w:tabs>
                <w:tab w:val="left" w:pos="6870"/>
              </w:tabs>
              <w:jc w:val="center"/>
              <w:rPr>
                <w:rFonts w:ascii="黑体" w:hAnsi="黑体" w:eastAsia="黑体"/>
              </w:rPr>
            </w:pPr>
          </w:p>
          <w:p w14:paraId="41498A0C">
            <w:pPr>
              <w:tabs>
                <w:tab w:val="left" w:pos="6870"/>
              </w:tabs>
              <w:jc w:val="center"/>
              <w:rPr>
                <w:rFonts w:ascii="黑体" w:hAnsi="黑体" w:eastAsia="黑体"/>
              </w:rPr>
            </w:pPr>
          </w:p>
          <w:p w14:paraId="6FA80275">
            <w:pPr>
              <w:tabs>
                <w:tab w:val="left" w:pos="6870"/>
              </w:tabs>
              <w:jc w:val="center"/>
              <w:rPr>
                <w:rFonts w:ascii="黑体" w:hAnsi="黑体" w:eastAsia="黑体"/>
              </w:rPr>
            </w:pPr>
          </w:p>
          <w:p w14:paraId="7FF02DC8">
            <w:pPr>
              <w:tabs>
                <w:tab w:val="left" w:pos="6870"/>
              </w:tabs>
              <w:jc w:val="center"/>
              <w:rPr>
                <w:rFonts w:ascii="黑体" w:hAnsi="黑体" w:eastAsia="黑体"/>
              </w:rPr>
            </w:pPr>
          </w:p>
          <w:p w14:paraId="2FF3BB75">
            <w:pPr>
              <w:tabs>
                <w:tab w:val="left" w:pos="6870"/>
              </w:tabs>
              <w:jc w:val="center"/>
              <w:rPr>
                <w:rFonts w:ascii="黑体" w:hAnsi="黑体" w:eastAsia="黑体"/>
              </w:rPr>
            </w:pPr>
          </w:p>
          <w:p w14:paraId="15DC4536">
            <w:pPr>
              <w:tabs>
                <w:tab w:val="left" w:pos="6870"/>
              </w:tabs>
              <w:jc w:val="center"/>
              <w:rPr>
                <w:rFonts w:ascii="黑体" w:hAnsi="黑体" w:eastAsia="黑体"/>
              </w:rPr>
            </w:pPr>
          </w:p>
          <w:p w14:paraId="18E1F6F5">
            <w:pPr>
              <w:tabs>
                <w:tab w:val="left" w:pos="6870"/>
              </w:tabs>
              <w:jc w:val="center"/>
              <w:rPr>
                <w:rFonts w:ascii="黑体" w:hAnsi="黑体" w:eastAsia="黑体"/>
              </w:rPr>
            </w:pPr>
            <w:r>
              <w:rPr>
                <w:rFonts w:hint="eastAsia" w:ascii="黑体" w:hAnsi="黑体" w:eastAsia="黑体"/>
              </w:rPr>
              <w:t>任课教师</w:t>
            </w:r>
          </w:p>
          <w:p w14:paraId="36F6D37F">
            <w:pPr>
              <w:tabs>
                <w:tab w:val="left" w:pos="6870"/>
              </w:tabs>
              <w:jc w:val="center"/>
              <w:rPr>
                <w:rFonts w:ascii="黑体" w:hAnsi="黑体" w:eastAsia="黑体"/>
              </w:rPr>
            </w:pPr>
            <w:r>
              <w:rPr>
                <w:rFonts w:hint="eastAsia" w:ascii="黑体" w:hAnsi="黑体" w:eastAsia="黑体"/>
              </w:rPr>
              <w:t>评阅意见</w:t>
            </w:r>
          </w:p>
          <w:p w14:paraId="02A7F946">
            <w:pPr>
              <w:rPr>
                <w:rFonts w:ascii="黑体" w:hAnsi="黑体" w:eastAsia="黑体"/>
              </w:rPr>
            </w:pPr>
          </w:p>
          <w:p w14:paraId="0DDD5AA4">
            <w:pPr>
              <w:rPr>
                <w:rFonts w:ascii="黑体" w:hAnsi="黑体" w:eastAsia="黑体"/>
              </w:rPr>
            </w:pPr>
          </w:p>
          <w:p w14:paraId="3D900A84">
            <w:pPr>
              <w:rPr>
                <w:rFonts w:ascii="黑体" w:hAnsi="黑体" w:eastAsia="黑体"/>
              </w:rPr>
            </w:pPr>
          </w:p>
          <w:p w14:paraId="4550E29D">
            <w:pPr>
              <w:rPr>
                <w:rFonts w:ascii="黑体" w:hAnsi="黑体" w:eastAsia="黑体"/>
              </w:rPr>
            </w:pPr>
          </w:p>
          <w:p w14:paraId="5235FABB">
            <w:pPr>
              <w:rPr>
                <w:rFonts w:ascii="黑体" w:hAnsi="黑体" w:eastAsia="黑体"/>
              </w:rPr>
            </w:pPr>
          </w:p>
          <w:p w14:paraId="17FDDC13">
            <w:pPr>
              <w:rPr>
                <w:rFonts w:ascii="黑体" w:hAnsi="黑体" w:eastAsia="黑体"/>
              </w:rPr>
            </w:pPr>
          </w:p>
          <w:p w14:paraId="6F7AAEDB">
            <w:pPr>
              <w:rPr>
                <w:rFonts w:ascii="黑体" w:hAnsi="黑体" w:eastAsia="黑体"/>
              </w:rPr>
            </w:pPr>
          </w:p>
          <w:p w14:paraId="6957C36C">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C6BAE1E">
            <w:pPr>
              <w:tabs>
                <w:tab w:val="left" w:pos="6870"/>
              </w:tabs>
              <w:jc w:val="center"/>
              <w:rPr>
                <w:rFonts w:ascii="仿宋" w:hAnsi="仿宋" w:eastAsia="仿宋"/>
                <w:color w:val="000000"/>
              </w:rPr>
            </w:pPr>
          </w:p>
          <w:p w14:paraId="3CA5E9C3">
            <w:pPr>
              <w:tabs>
                <w:tab w:val="left" w:pos="6870"/>
              </w:tabs>
              <w:jc w:val="center"/>
              <w:rPr>
                <w:rFonts w:ascii="仿宋" w:hAnsi="仿宋" w:eastAsia="仿宋"/>
                <w:color w:val="000000"/>
              </w:rPr>
            </w:pPr>
          </w:p>
          <w:p w14:paraId="16A72B9A">
            <w:pPr>
              <w:tabs>
                <w:tab w:val="left" w:pos="6870"/>
              </w:tabs>
              <w:jc w:val="center"/>
              <w:rPr>
                <w:rFonts w:ascii="仿宋" w:hAnsi="仿宋" w:eastAsia="仿宋"/>
                <w:color w:val="000000"/>
              </w:rPr>
            </w:pPr>
          </w:p>
          <w:p w14:paraId="452E0A87">
            <w:pPr>
              <w:tabs>
                <w:tab w:val="left" w:pos="6870"/>
              </w:tabs>
              <w:jc w:val="center"/>
              <w:rPr>
                <w:rFonts w:ascii="仿宋" w:hAnsi="仿宋" w:eastAsia="仿宋"/>
                <w:color w:val="000000"/>
              </w:rPr>
            </w:pPr>
          </w:p>
          <w:p w14:paraId="22CB3AD8">
            <w:pPr>
              <w:tabs>
                <w:tab w:val="left" w:pos="6870"/>
              </w:tabs>
              <w:jc w:val="center"/>
              <w:rPr>
                <w:rFonts w:ascii="仿宋" w:hAnsi="仿宋" w:eastAsia="仿宋"/>
                <w:color w:val="000000"/>
              </w:rPr>
            </w:pPr>
          </w:p>
          <w:p w14:paraId="5ADE2917">
            <w:pPr>
              <w:tabs>
                <w:tab w:val="left" w:pos="6870"/>
              </w:tabs>
              <w:jc w:val="center"/>
              <w:rPr>
                <w:rFonts w:ascii="仿宋" w:hAnsi="仿宋" w:eastAsia="仿宋"/>
                <w:color w:val="000000"/>
              </w:rPr>
            </w:pPr>
          </w:p>
          <w:p w14:paraId="77B3ABF3">
            <w:pPr>
              <w:tabs>
                <w:tab w:val="left" w:pos="6870"/>
              </w:tabs>
              <w:jc w:val="center"/>
              <w:rPr>
                <w:rFonts w:ascii="仿宋" w:hAnsi="仿宋" w:eastAsia="仿宋"/>
                <w:color w:val="000000"/>
              </w:rPr>
            </w:pPr>
          </w:p>
          <w:p w14:paraId="25A135F8">
            <w:pPr>
              <w:tabs>
                <w:tab w:val="left" w:pos="6870"/>
              </w:tabs>
              <w:jc w:val="center"/>
              <w:rPr>
                <w:rFonts w:ascii="仿宋" w:hAnsi="仿宋" w:eastAsia="仿宋"/>
                <w:color w:val="000000"/>
              </w:rPr>
            </w:pPr>
          </w:p>
          <w:p w14:paraId="6DCFFE26">
            <w:pPr>
              <w:tabs>
                <w:tab w:val="left" w:pos="6870"/>
              </w:tabs>
              <w:jc w:val="center"/>
              <w:rPr>
                <w:rFonts w:ascii="仿宋" w:hAnsi="仿宋" w:eastAsia="仿宋"/>
                <w:color w:val="000000"/>
              </w:rPr>
            </w:pPr>
          </w:p>
          <w:p w14:paraId="7817F0D7">
            <w:pPr>
              <w:tabs>
                <w:tab w:val="left" w:pos="6870"/>
              </w:tabs>
              <w:rPr>
                <w:rFonts w:ascii="仿宋" w:hAnsi="仿宋" w:eastAsia="仿宋"/>
                <w:color w:val="000000"/>
              </w:rPr>
            </w:pPr>
          </w:p>
          <w:p w14:paraId="367ACEBD">
            <w:pPr>
              <w:tabs>
                <w:tab w:val="left" w:pos="6870"/>
              </w:tabs>
              <w:rPr>
                <w:rFonts w:ascii="仿宋" w:hAnsi="仿宋" w:eastAsia="仿宋"/>
                <w:color w:val="000000"/>
              </w:rPr>
            </w:pPr>
          </w:p>
        </w:tc>
      </w:tr>
    </w:tbl>
    <w:p w14:paraId="12BDC2A2"/>
    <w:p w14:paraId="4CC3B542">
      <w:pPr>
        <w:pStyle w:val="3"/>
        <w:bidi w:val="0"/>
        <w:rPr>
          <w:rFonts w:hint="eastAsia"/>
          <w:b w:val="0"/>
          <w:bCs/>
          <w:shd w:val="clear" w:color="auto" w:fill="auto"/>
        </w:rPr>
      </w:pPr>
      <w:r>
        <w:rPr>
          <w:rFonts w:hint="eastAsia"/>
          <w:b w:val="0"/>
          <w:bCs/>
          <w:shd w:val="clear" w:color="auto" w:fill="auto"/>
          <w:lang w:val="en-US" w:eastAsia="zh-CN"/>
        </w:rPr>
        <w:t>算法黑箱与社会正义：自动决策中的伦理困境与治理机制研究</w:t>
      </w:r>
      <w:r>
        <w:rPr>
          <w:rFonts w:hint="eastAsia"/>
          <w:b w:val="0"/>
          <w:bCs/>
          <w:shd w:val="clear" w:color="auto" w:fill="auto"/>
        </w:rPr>
        <w:t xml:space="preserve"> </w:t>
      </w:r>
    </w:p>
    <w:p w14:paraId="49D1875E">
      <w:pPr>
        <w:pStyle w:val="3"/>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摘要</w:t>
      </w:r>
    </w:p>
    <w:p w14:paraId="40FF4214">
      <w:pPr>
        <w:pStyle w:val="4"/>
        <w:bidi w:val="0"/>
        <w:rPr>
          <w:rFonts w:hint="eastAsia"/>
          <w:lang w:val="en-US" w:eastAsia="zh-CN"/>
        </w:rPr>
      </w:pPr>
      <w:r>
        <w:rPr>
          <w:rFonts w:hint="eastAsia"/>
          <w:lang w:val="en-US" w:eastAsia="zh-CN"/>
        </w:rPr>
        <w:t>随着人工只能与大数据技术深度嵌入社会肌理，算法决策系统已从简单的技术辅助工具转变为资源配置与社会治理的核心主体。然而，技术的“黑箱”属性及其内嵌的效率至上逻辑，正逐渐引发深刻的伦理危机与社会公平问题。本文立足于工程伦理与社会学视角，旨在探讨在数字化转型背景下，技术推理扩展与社会正义保障之间的关系。</w:t>
      </w:r>
    </w:p>
    <w:p w14:paraId="6D021381">
      <w:pPr>
        <w:pStyle w:val="4"/>
        <w:bidi w:val="0"/>
        <w:rPr>
          <w:rFonts w:hint="eastAsia"/>
          <w:lang w:val="en-US" w:eastAsia="zh-CN"/>
        </w:rPr>
      </w:pPr>
      <w:r>
        <w:rPr>
          <w:rFonts w:hint="eastAsia"/>
          <w:lang w:val="en-US" w:eastAsia="zh-CN"/>
        </w:rPr>
        <w:t>本文首先梳理了自动决策系统在价值运行过程中产生“算法偏差”与“责任缺失”的理论根源，指出实践中“工具理性”对“理性”的僭越是导致伦理失范的核心原因。其次，文章中一些“外卖骑手被困系统”与“互联网平台”研究发现，在缺乏伦理规制的情况下，通过对劳动的精细化控制导致人的异化，利用信息不对称侵犯了消费者的公平交易权，进而引发了数字时代的“马太效应”与社会阶层固化。</w:t>
      </w:r>
    </w:p>
    <w:p w14:paraId="44FACEB3">
      <w:pPr>
        <w:pStyle w:val="4"/>
        <w:bidi w:val="0"/>
        <w:rPr>
          <w:rFonts w:hint="eastAsia"/>
          <w:lang w:val="en-US" w:eastAsia="zh-CN"/>
        </w:rPr>
      </w:pPr>
      <w:r>
        <w:rPr>
          <w:rFonts w:hint="eastAsia"/>
          <w:lang w:val="en-US" w:eastAsia="zh-CN"/>
        </w:rPr>
        <w:t>基于此，本文提出了构建技术、伦理与制度完善的“算法善治”框架。在技术层面，从“黑箱”向“灰箱”相当于“白箱”的可解释性人工智能（XAI）转型；在生命制度方面，建立全周期的算法伦理审计机制与增量体系。本文认为，工程活动的终极目标不应仅仅止步于效率的最优化，而应回归到对人的尊严与社会福祉的关心，实现“伦理的人工智能”的可持续发展。</w:t>
      </w:r>
    </w:p>
    <w:p w14:paraId="75F59294">
      <w:pPr>
        <w:bidi w:val="0"/>
        <w:rPr>
          <w:rFonts w:hint="eastAsia"/>
          <w:color w:val="000000" w:themeColor="text1"/>
          <w:lang w:val="en-US" w:eastAsia="zh-CN"/>
          <w14:textFill>
            <w14:solidFill>
              <w14:schemeClr w14:val="tx1"/>
            </w14:solidFill>
          </w14:textFill>
        </w:rPr>
      </w:pPr>
      <w:r>
        <w:rPr>
          <w:rFonts w:hint="eastAsia"/>
          <w:b/>
          <w:bCs/>
          <w:color w:val="000000" w:themeColor="text1"/>
          <w14:textFill>
            <w14:solidFill>
              <w14:schemeClr w14:val="tx1"/>
            </w14:solidFill>
          </w14:textFill>
        </w:rPr>
        <w:t>关键词</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算法黑箱；社会正义；工具理性；平台劳动；算法治理</w:t>
      </w:r>
    </w:p>
    <w:p w14:paraId="5A9D9FB6">
      <w:pPr>
        <w:pStyle w:val="3"/>
        <w:bidi w:val="0"/>
        <w:rPr>
          <w:sz w:val="28"/>
          <w:szCs w:val="28"/>
        </w:rPr>
      </w:pPr>
      <w:r>
        <w:rPr>
          <w:sz w:val="28"/>
          <w:szCs w:val="28"/>
          <w:lang w:val="en-US" w:eastAsia="zh-CN"/>
        </w:rPr>
        <w:t>相关研究综述：从技术异化到算法正义</w:t>
      </w:r>
    </w:p>
    <w:p w14:paraId="33109C0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在自动化决策的背后，隐藏着一种新型的社会权力形态——算法权力（Algorithmic Power）。马长山（2020）[</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t>]指出，数字时代催生了传统公权力的“数字权力”，它跨越了公共领域与私人领域的边界。</w:t>
      </w:r>
    </w:p>
    <w:p w14:paraId="6506CD6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数字私权力的拓展：平台企业凭借对核心架构和海量数据垄断，获得了具有“准公权”的权力。这种权力体现为对商业资源的分配，更体现为对社会规范的“软性重构”。张凌寒（2018）</w:t>
      </w:r>
      <w:r>
        <w:rPr>
          <w:rFonts w:hint="default"/>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t>认为，当架构成为社会运作的底层结构时，这种权力便具有了“外交性”与“转型性”，它能继承传统的法律规制，通过直接代码和协议实现对精细化控制。</w:t>
      </w:r>
    </w:p>
    <w:p w14:paraId="221D3FD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“算法笼牢”的形成：算法通过“数据画像”将复杂的个体简化为单一的数字标签，形成了一道“电子围墙”。在这种环境下，法律的统治存在异化为“算法统治”的风险。正如马长山（2023）[</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t>]所述，数字政府与算法在治理提升效率的同时，可能导致行政相对人的“互动消解”，使公民陷入不透明的自动化决策系统中。</w:t>
      </w:r>
    </w:p>
    <w:p w14:paraId="590E5EA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关于算法决策的伦理与治理研究，学术界已从早期的“技术中立论”转向了“社会-技术系统”的整体性考察。本节从算法黑箱的本质、算法歧视的社会效应、以及治理范式的演进三个维度进行梳理。</w:t>
      </w:r>
    </w:p>
    <w:p w14:paraId="18FB982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1、算法黑箱的来源与类型学研究</w:t>
      </w:r>
    </w:p>
    <w:p w14:paraId="5F6037A0">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学术界对“黑箱”属性的探讨主要集中在不可见性（Invisibility）与不可解释性（Inexplicability）上。</w:t>
      </w:r>
    </w:p>
    <w:p w14:paraId="7A35943E">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Burrell (2016)</w:t>
      </w:r>
      <w:r>
        <w:rPr>
          <w:rFonts w:hint="default"/>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t xml:space="preserve"> 将算法的不透明性归纳为三类：作为商业秘密的法律保护、代码编写的专门性门槛，以及机器学习（尤其是深度学习）中模型演化导致的“本质性不透明”。</w:t>
      </w:r>
    </w:p>
    <w:p w14:paraId="4237D7C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Pasquale (2015)</w:t>
      </w:r>
      <w:r>
        <w:rPr>
          <w:rFonts w:hint="default"/>
          <w:color w:val="000000" w:themeColor="text1"/>
          <w:lang w:val="en-US" w:eastAsia="zh-CN"/>
          <w14:textFill>
            <w14:solidFill>
              <w14:schemeClr w14:val="tx1"/>
            </w14:solidFill>
          </w14:textFill>
        </w:rPr>
        <w:t>[4]</w:t>
      </w:r>
      <w:r>
        <w:rPr>
          <w:rFonts w:hint="eastAsia"/>
          <w:color w:val="000000" w:themeColor="text1"/>
          <w:lang w:val="en-US" w:eastAsia="zh-CN"/>
          <w14:textFill>
            <w14:solidFill>
              <w14:schemeClr w14:val="tx1"/>
            </w14:solidFill>
          </w14:textFill>
        </w:rPr>
        <w:t xml:space="preserve"> 在《黑箱社会》中进一步指出，这种不透明性并非纯粹的技术偶然，而是大型科技公司利用技术屏障获取“认知红利”并规避监管的策略性手段。这为本文探讨“工具理性”对社会公平的侵蚀奠定了基础。</w:t>
      </w:r>
    </w:p>
    <w:p w14:paraId="4C6F552E">
      <w:pPr>
        <w:keepNext w:val="0"/>
        <w:keepLines w:val="0"/>
        <w:widowControl/>
        <w:numPr>
          <w:ilvl w:val="0"/>
          <w:numId w:val="1"/>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算法偏差与社会不平等的再生产</w:t>
      </w:r>
    </w:p>
    <w:p w14:paraId="51D3B34A">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算法决策是否能实现“机器客观性”是争论的焦点。</w:t>
      </w:r>
    </w:p>
    <w:p w14:paraId="754ABD5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O'Neil (2016)</w:t>
      </w:r>
      <w:r>
        <w:rPr>
          <w:rFonts w:hint="default"/>
          <w:color w:val="000000" w:themeColor="text1"/>
          <w:lang w:val="en-US" w:eastAsia="zh-CN"/>
          <w14:textFill>
            <w14:solidFill>
              <w14:schemeClr w14:val="tx1"/>
            </w14:solidFill>
          </w14:textFill>
        </w:rPr>
        <w:t>[5]</w:t>
      </w:r>
      <w:r>
        <w:rPr>
          <w:rFonts w:hint="eastAsia"/>
          <w:color w:val="000000" w:themeColor="text1"/>
          <w:lang w:val="en-US" w:eastAsia="zh-CN"/>
          <w14:textFill>
            <w14:solidFill>
              <w14:schemeClr w14:val="tx1"/>
            </w14:solidFill>
          </w14:textFill>
        </w:rPr>
        <w:t xml:space="preserve"> 提出了“数学杀伤性武器”（WMD）的概念，指出算法往往打着客观的旗号，实则利用带有偏见的历史数据，对贫困人口和少数群体进行系统性的歧视。</w:t>
      </w:r>
    </w:p>
    <w:p w14:paraId="371493B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Safiya Noble (2018)</w:t>
      </w:r>
      <w:r>
        <w:rPr>
          <w:rFonts w:hint="default"/>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t xml:space="preserve"> 通过《压迫算法》一书，揭示了搜索引擎如何强化种族和性别偏见，指出算法在结构上就具有维护既有权力秩序的倾向。</w:t>
      </w:r>
    </w:p>
    <w:p w14:paraId="415465B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在国内语境下，孙萍（2020）</w:t>
      </w:r>
      <w:r>
        <w:rPr>
          <w:rFonts w:hint="default"/>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t xml:space="preserve"> 等学者针对“外卖骑手”的研究，揭示了算法如何通过动态调整劳动时间与计件工资，实现对劳工的深度剥夺。这些研究证明了算法偏差并非简单的程序错误，而是结构性不平等在数字空间中的投射。</w:t>
      </w:r>
    </w:p>
    <w:p w14:paraId="0DE246D6">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3、算法治理的范式转向：从伦理指南到法律规则</w:t>
      </w:r>
    </w:p>
    <w:p w14:paraId="44DDC49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面对算法失范，全球范围内的治理研究经历了从“软法”到“硬法”的演进。</w:t>
      </w:r>
    </w:p>
    <w:p w14:paraId="6F8BBCBB">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Floridi等人提出了人工智能伦理的五大原则（善行、不伤害、自主、公正和可解释性），形成了早期算法治理的伦理基调。</w:t>
      </w:r>
    </w:p>
    <w:p w14:paraId="45EB55F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随着治理需求的深化，研究重心转向了算法问责制（Algorithmic Accountability）。Kroll (2017)</w:t>
      </w:r>
      <w:r>
        <w:rPr>
          <w:rFonts w:hint="default"/>
          <w:color w:val="000000" w:themeColor="text1"/>
          <w:lang w:val="en-US" w:eastAsia="zh-CN"/>
          <w14:textFill>
            <w14:solidFill>
              <w14:schemeClr w14:val="tx1"/>
            </w14:solidFill>
          </w14:textFill>
        </w:rPr>
        <w:t>[8]</w:t>
      </w:r>
      <w:r>
        <w:rPr>
          <w:rFonts w:hint="eastAsia"/>
          <w:color w:val="000000" w:themeColor="text1"/>
          <w:lang w:val="en-US" w:eastAsia="zh-CN"/>
          <w14:textFill>
            <w14:solidFill>
              <w14:schemeClr w14:val="tx1"/>
            </w14:solidFill>
          </w14:textFill>
        </w:rPr>
        <w:t xml:space="preserve"> 提出应通过软件工程手段（如加密证明和自动化审计）在不泄露源码的前提下实现治理。</w:t>
      </w:r>
    </w:p>
    <w:p w14:paraId="155B8F54">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法律层面： 欧盟的《通用数据保护条例》（GDPR）确立了“解释权”与“人工干预权”，标志着治理重点从结果正义向过程正义的跨越。国内学者则更多探讨如何通过《个人信息保护法》与《算法推荐管理规定》构建具有中国特色的“穿透式监管”体系。</w:t>
      </w:r>
    </w:p>
    <w:p w14:paraId="14A5A8A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从Floridi的伦理五原则到欧盟的《通用数据保护条例》（GDPR），治理重点已从结果正义转向过程正义。丁晓东（2021）</w:t>
      </w:r>
      <w:r>
        <w:rPr>
          <w:rFonts w:hint="default"/>
          <w:color w:val="000000" w:themeColor="text1"/>
          <w:lang w:val="en-US" w:eastAsia="zh-CN"/>
          <w14:textFill>
            <w14:solidFill>
              <w14:schemeClr w14:val="tx1"/>
            </w14:solidFill>
          </w14:textFill>
        </w:rPr>
        <w:t>[9]</w:t>
      </w:r>
      <w:r>
        <w:rPr>
          <w:rFonts w:hint="eastAsia"/>
          <w:color w:val="000000" w:themeColor="text1"/>
          <w:lang w:val="en-US" w:eastAsia="zh-CN"/>
          <w14:textFill>
            <w14:solidFill>
              <w14:schemeClr w14:val="tx1"/>
            </w14:solidFill>
          </w14:textFill>
        </w:rPr>
        <w:t>认为，算法治理的关键在于打破技术黑箱，建立一种“过程性正义”，确保受影响主体拥有解释权与异议权。</w:t>
      </w:r>
    </w:p>
    <w:p w14:paraId="61D34217">
      <w:pPr>
        <w:keepNext w:val="0"/>
        <w:keepLines w:val="0"/>
        <w:widowControl/>
        <w:suppressLineNumbers w:val="0"/>
        <w:jc w:val="left"/>
        <w:rPr>
          <w:rFonts w:hint="default"/>
          <w:color w:val="000000" w:themeColor="text1"/>
          <w:lang w:val="en-US" w:eastAsia="zh-CN"/>
          <w14:textFill>
            <w14:solidFill>
              <w14:schemeClr w14:val="tx1"/>
            </w14:solidFill>
          </w14:textFill>
        </w:rPr>
      </w:pPr>
    </w:p>
    <w:p w14:paraId="3DFABBD9">
      <w:pPr>
        <w:pStyle w:val="3"/>
        <w:bidi w:val="0"/>
        <w:rPr>
          <w:rFonts w:hint="eastAsia"/>
          <w:sz w:val="28"/>
          <w:szCs w:val="28"/>
          <w:lang w:val="en-US" w:eastAsia="zh-CN"/>
        </w:rPr>
      </w:pPr>
      <w:r>
        <w:rPr>
          <w:sz w:val="28"/>
          <w:szCs w:val="28"/>
          <w:lang w:val="en-US" w:eastAsia="zh-CN"/>
        </w:rPr>
        <w:t>研究</w:t>
      </w:r>
      <w:r>
        <w:rPr>
          <w:rFonts w:hint="eastAsia"/>
          <w:sz w:val="28"/>
          <w:szCs w:val="28"/>
          <w:lang w:val="en-US" w:eastAsia="zh-CN"/>
        </w:rPr>
        <w:t>过程与分析</w:t>
      </w:r>
    </w:p>
    <w:p w14:paraId="4C92667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算法黑箱的逻辑解构：从技术复杂性到权力非对称</w:t>
      </w:r>
    </w:p>
    <w:p w14:paraId="1655E5DF">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算法黑箱并非仅仅是技术意义上的“不可知”，其核心在于技术复杂性（Technical Complexity）与企业治理闭环的交织，形成了一种实质性的知识权力壁垒。</w:t>
      </w:r>
    </w:p>
    <w:p w14:paraId="782021AD">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技术层面的“不可解释性”： 在深度学习框架下，算法的决策路径往往由数以百万计的参数（Parameters）决定。例如，神经网络中的非线性映射使得输入与输出之间缺乏直观的因果链条。这种物理意义上的黑箱，使得开发者也难以准确预判系统在极端边缘case下的行为。</w:t>
      </w:r>
    </w:p>
    <w:p w14:paraId="25D71CAD">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社会层面的“权力规避”： 张凌寒（2018）</w:t>
      </w:r>
      <w:r>
        <w:rPr>
          <w:rFonts w:hint="default"/>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t>指出，算法黑箱正在成为平台企业逃避法律责任的“挡箭牌”。通过将决策逻辑封装在私有代码中，平台实现了对用户、劳动者以及监管者的“信息降维打击”。在这种逻辑下，算法不再是中立的工具，而是一种“自动化的法律”，其运行规则先于并优于传统社会契约。</w:t>
      </w:r>
    </w:p>
    <w:p w14:paraId="479C8491">
      <w:pPr>
        <w:keepNext w:val="0"/>
        <w:keepLines w:val="0"/>
        <w:widowControl/>
        <w:suppressLineNumbers w:val="0"/>
        <w:jc w:val="left"/>
        <w:rPr>
          <w:rFonts w:hint="eastAsia"/>
          <w:color w:val="000000" w:themeColor="text1"/>
          <w:lang w:val="en-US" w:eastAsia="zh-CN"/>
          <w14:textFill>
            <w14:solidFill>
              <w14:schemeClr w14:val="tx1"/>
            </w14:solidFill>
          </w14:textFill>
        </w:rPr>
      </w:pPr>
    </w:p>
    <w:p w14:paraId="2E2D4B4C">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自动决策对社会正义的剥蚀路径</w:t>
      </w:r>
    </w:p>
    <w:p w14:paraId="0BE7A9E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本文通过对“外卖平台”与“大数据杀熟”两个典型场域的剖析，揭示算法如何将效率逻辑转化为对个体权利的剥夺。</w:t>
      </w:r>
    </w:p>
    <w:p w14:paraId="67BBC60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劳动过程的精细化异化</w:t>
      </w:r>
    </w:p>
    <w:p w14:paraId="014C753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以平台劳工为代表，算法通过实时监测与动态奖惩，构建了一个“数字全景监狱”。</w:t>
      </w:r>
    </w:p>
    <w:p w14:paraId="4F1395FE">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速度的压榨： 陈龙（2020）</w:t>
      </w:r>
      <w:r>
        <w:rPr>
          <w:rFonts w:hint="default"/>
          <w:color w:val="000000" w:themeColor="text1"/>
          <w:lang w:val="en-US" w:eastAsia="zh-CN"/>
          <w14:textFill>
            <w14:solidFill>
              <w14:schemeClr w14:val="tx1"/>
            </w14:solidFill>
          </w14:textFill>
        </w:rPr>
        <w:t>[10]</w:t>
      </w:r>
      <w:r>
        <w:rPr>
          <w:rFonts w:hint="eastAsia"/>
          <w:color w:val="000000" w:themeColor="text1"/>
          <w:lang w:val="en-US" w:eastAsia="zh-CN"/>
          <w14:textFill>
            <w14:solidFill>
              <w14:schemeClr w14:val="tx1"/>
            </w14:solidFill>
          </w14:textFill>
        </w:rPr>
        <w:t>在对北京外卖骑手的参与式观察中发现，算法通过不断缩短“预计送达时间”来逼近人类生理极限。这种逻辑忽略了交通状况、气候等不可控因素，将社会风险完全转嫁给骑手。</w:t>
      </w:r>
    </w:p>
    <w:p w14:paraId="75C9342F">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数字人权危机： 郭春镇（2020）</w:t>
      </w:r>
      <w:r>
        <w:rPr>
          <w:rFonts w:hint="default"/>
          <w:color w:val="000000" w:themeColor="text1"/>
          <w:lang w:val="en-US" w:eastAsia="zh-CN"/>
          <w14:textFill>
            <w14:solidFill>
              <w14:schemeClr w14:val="tx1"/>
            </w14:solidFill>
          </w14:textFill>
        </w:rPr>
        <w:t>[11]</w:t>
      </w:r>
      <w:r>
        <w:rPr>
          <w:rFonts w:hint="eastAsia"/>
          <w:color w:val="000000" w:themeColor="text1"/>
          <w:lang w:val="en-US" w:eastAsia="zh-CN"/>
          <w14:textFill>
            <w14:solidFill>
              <w14:schemeClr w14:val="tx1"/>
            </w14:solidFill>
          </w14:textFill>
        </w:rPr>
        <w:t>指出，当算法仅采纳量化指标而忽略人作为“主体”的复杂需求时，个体的尊严与自主选择权便被算法预设逻辑所取代，导致了数字人格的贬损。</w:t>
      </w:r>
    </w:p>
    <w:p w14:paraId="2093581B">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算法考核的单向性： 决策系统往往只采纳“好评率”、“完成率”等量化指标，而屏蔽了劳动者作为“人”的复杂性需求（如休息、尊严、职业安全），导致了严重的劳动异化。</w:t>
      </w:r>
    </w:p>
    <w:p w14:paraId="69084F7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价格歧视与消费正义的消解</w:t>
      </w:r>
    </w:p>
    <w:p w14:paraId="3EC28805">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利用信息不对称，自动决策系统能够实现“千人千面”的动态定价。</w:t>
      </w:r>
    </w:p>
    <w:p w14:paraId="3E76FA9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价格剥削： 平台通过收集用户的机型、消费历史、实时位置等隐私数据，计算其“支付意愿（Willingness to Pay）”。</w:t>
      </w:r>
    </w:p>
    <w:p w14:paraId="1DC44DE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算法共谋： 在某些行业，算法甚至可以实现自动化的价格协同，从而在不达成明文协议的情况下完成垄断性定价，侵害了消费者的公平交易权，加剧了贫富分配的微观失衡。</w:t>
      </w:r>
    </w:p>
    <w:p w14:paraId="44CB65C5">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 工具理性对价值理性的僭越：算法逻辑的本质缺陷</w:t>
      </w:r>
    </w:p>
    <w:p w14:paraId="6DF5391B">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算法决策的终极目标函数通常被设定为“效率最大化（Efficiency Optimization）”。在数学表达上，这通常表现为一个约束条件下的极值问题：</w:t>
      </w:r>
    </w:p>
    <w:p w14:paraId="0CBBD34B">
      <w:pPr>
        <w:keepNext w:val="0"/>
        <w:keepLines w:val="0"/>
        <w:widowControl/>
        <w:suppressLineNumbers w:val="0"/>
        <w:jc w:val="center"/>
        <w:rPr>
          <w:rFonts w:hint="default"/>
          <w:color w:val="000000" w:themeColor="text1"/>
          <w:lang w:val="en-US" w:eastAsia="zh-CN"/>
          <w14:textFill>
            <w14:solidFill>
              <w14:schemeClr w14:val="tx1"/>
            </w14:solidFill>
          </w14:textFill>
        </w:rPr>
      </w:pPr>
      <w:r>
        <w:drawing>
          <wp:inline distT="0" distB="0" distL="114300" distR="114300">
            <wp:extent cx="3190875" cy="7524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190875" cy="752475"/>
                    </a:xfrm>
                    <a:prstGeom prst="rect">
                      <a:avLst/>
                    </a:prstGeom>
                    <a:noFill/>
                    <a:ln>
                      <a:noFill/>
                    </a:ln>
                  </pic:spPr>
                </pic:pic>
              </a:graphicData>
            </a:graphic>
          </wp:inline>
        </w:drawing>
      </w:r>
    </w:p>
    <w:p w14:paraId="45751F52">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分析： 在上述优化目标中，yi往往代表的是商业利润、点击率或周转速度。而公平（Fairness）、道德（Ethics）等难以量化的社会价值，在没有明确约束项（</w:t>
      </w:r>
      <w:r>
        <w:rPr>
          <w:rFonts w:hint="eastAsia"/>
          <w:color w:val="000000" w:themeColor="text1"/>
          <w:lang w:val="en-US" w:eastAsia="zh-CN"/>
          <w14:textFill>
            <w14:solidFill>
              <w14:schemeClr w14:val="tx1"/>
            </w14:solidFill>
          </w14:textFill>
        </w:rPr>
        <w:t>la</w:t>
      </w:r>
      <w:r>
        <w:rPr>
          <w:rFonts w:hint="default"/>
          <w:color w:val="000000" w:themeColor="text1"/>
          <w:lang w:val="en-US" w:eastAsia="zh-CN"/>
          <w14:textFill>
            <w14:solidFill>
              <w14:schemeClr w14:val="tx1"/>
            </w14:solidFill>
          </w14:textFill>
        </w:rPr>
        <w:t>mbda）的情况下，往往被算法作为“冗余成本”而剔除。</w:t>
      </w:r>
    </w:p>
    <w:p w14:paraId="6A3DF0B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赵鹏（2022）[12]分析称，算法行政或算法决策消解了传统法治中的听证、说明理由等程序正义要求。数据的历史偏见被建模为“规律”并予以增强，导致了偏见的自动化循环。</w:t>
      </w:r>
    </w:p>
    <w:p w14:paraId="393FD0CE">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这种“工具理性”的过度扩张，导致了社会正义的崩塌：</w:t>
      </w:r>
    </w:p>
    <w:p w14:paraId="55D26F7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数据的历史偏见： 算法学习的是过去的数据。如果历史数据中存在对特定群体（如贫困社区、特定性别）的歧视，算法会将其建模为“规律”并予以增强，实现偏见的自动化循环。</w:t>
      </w:r>
    </w:p>
    <w:p w14:paraId="023DCC2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社会评价的单一化： 当一切行为皆可被算法评分时，复杂的社会信用被简化为单一的数字，导致了“数字难民”的产生——那些无法通过算法指标证明自己价值的人被彻底边缘化。</w:t>
      </w:r>
    </w:p>
    <w:p w14:paraId="22E8FA9C">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 治理机制的构建：从“黑箱”到“善治”</w:t>
      </w:r>
    </w:p>
    <w:p w14:paraId="526B0BAD">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针对上述问题，本文提出构建一种“人机协同、价值嵌入”的治理框架：</w:t>
      </w:r>
    </w:p>
    <w:tbl>
      <w:tblPr>
        <w:tblStyle w:val="8"/>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4028"/>
        <w:gridCol w:w="3265"/>
      </w:tblGrid>
      <w:tr w14:paraId="274ECB33">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077B54E">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治理维度</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76BBBB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核心手段</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FA96376">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目标</w:t>
            </w:r>
          </w:p>
        </w:tc>
      </w:tr>
      <w:tr w14:paraId="6255C680">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68F32DF">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技术治理</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EB6A74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引入LIME、SHAP等可解释性框架</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98C41F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实现算法从“黑箱”向“白箱”透明化</w:t>
            </w:r>
          </w:p>
        </w:tc>
      </w:tr>
      <w:tr w14:paraId="4AE881D0">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C13D323">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制度规制</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5FC65B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算法伦理审计、算法备案制</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3582A4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确立平台作为决策主体的追责机制</w:t>
            </w:r>
          </w:p>
        </w:tc>
      </w:tr>
      <w:tr w14:paraId="44768483">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B3EF8F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社会救济</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F47A806">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赋予用户“拒绝自动决策权”与“人工复核权”</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D75D10E">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保障个体的基本主体性与程序正义</w:t>
            </w:r>
          </w:p>
        </w:tc>
      </w:tr>
    </w:tbl>
    <w:p w14:paraId="25E409E3">
      <w:pPr>
        <w:pStyle w:val="3"/>
        <w:bidi w:val="0"/>
        <w:rPr>
          <w:sz w:val="28"/>
          <w:szCs w:val="28"/>
        </w:rPr>
      </w:pPr>
      <w:r>
        <w:rPr>
          <w:sz w:val="28"/>
          <w:szCs w:val="28"/>
          <w:lang w:val="en-US" w:eastAsia="zh-CN"/>
        </w:rPr>
        <w:t>结论与对策：迈向“算法善治”的路径构建</w:t>
      </w:r>
    </w:p>
    <w:p w14:paraId="7729A97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通过对算法决策逻辑及其社会负效应的解构，本文认为，治理算法失范的关键在于打破“效率优先”的单一尺度，建立技术与人文协同的动态平衡。</w:t>
      </w:r>
    </w:p>
    <w:p w14:paraId="0A00D42C">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技术赋能：推动算法从“不可知”向“可解释”转型</w:t>
      </w:r>
    </w:p>
    <w:p w14:paraId="47ACA062">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算法治理的首要环节是技术本身的透明化。</w:t>
      </w:r>
    </w:p>
    <w:p w14:paraId="0621BC4A">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研发可解释性人工智能（XAI）： 改变目前“端到端”的黑箱模式，在模型开发初期引入可解释性约束。通过局部可解释模型（LIME）或沙普利值（SHAP）等方法，使算法在输出结果的同时，能够展示决策的关键权重因子。</w:t>
      </w:r>
    </w:p>
    <w:p w14:paraId="688B971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嵌入“人工干预”机制： 在高风险决策场域（如司法判决、信用信贷）中，必须保留“人类在回路（Human-in-the-loop）”的设计，确保算法仅作为辅助工具，而非终极裁判。</w:t>
      </w:r>
    </w:p>
    <w:p w14:paraId="42645AA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制度引领：构建全生命周期的算法审计体系</w:t>
      </w:r>
    </w:p>
    <w:p w14:paraId="773C98AD">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针对平台权力的无序扩张，应建立穿透式的监管逻辑。</w:t>
      </w:r>
    </w:p>
    <w:p w14:paraId="5E76BE8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推行算法备案与影响评估制度： 参照我国2022年起施行的《互联网信息服务算法推荐管理规定》，要求具有舆论属性或社会动员能力的平台履行备案手续，并在算法上线前进行“算法正义性评估”，识别潜在的歧视风险。</w:t>
      </w:r>
    </w:p>
    <w:p w14:paraId="276DF2F5">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建立第三方算法审计机制： 引入中立的技术专家组对平台算法的源代码、训练数据集进行定期“年检”，打破企业以“商业秘密”为由的防御逻辑。</w:t>
      </w:r>
    </w:p>
    <w:p w14:paraId="3D78909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 社会共治：重构数字时代的权利救济路径</w:t>
      </w:r>
    </w:p>
    <w:p w14:paraId="7C43E0D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治理的核心应回归到对“人”的保护，特别是针对算法弱势群体。</w:t>
      </w:r>
    </w:p>
    <w:p w14:paraId="0D5B9554">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落实“算法解释权”与“拒绝权”： 在法律层面保障用户在面临自动化决策影响自身权益时，有权要求平台给出合理解释，并提供退出自动决策模式的选项。</w:t>
      </w:r>
    </w:p>
    <w:p w14:paraId="4D9AC59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强化劳工数字权利保障： 孙萍（2020）</w:t>
      </w:r>
      <w:r>
        <w:rPr>
          <w:rFonts w:hint="default"/>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t>提出，应在平台算法中嵌入“社会保障因子”。通过行业工会与平台的集体谈判，将骑手的生理极限、心理压力等维度纳入算法调度模型，防止算法沦为数字时代的“电子皮鞭”。</w:t>
      </w:r>
    </w:p>
    <w:p w14:paraId="5981467A">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张欣（2022）</w:t>
      </w:r>
      <w:r>
        <w:rPr>
          <w:rFonts w:hint="default"/>
          <w:color w:val="000000" w:themeColor="text1"/>
          <w:lang w:val="en-US" w:eastAsia="zh-CN"/>
          <w14:textFill>
            <w14:solidFill>
              <w14:schemeClr w14:val="tx1"/>
            </w14:solidFill>
          </w14:textFill>
        </w:rPr>
        <w:t>[13]</w:t>
      </w:r>
      <w:r>
        <w:rPr>
          <w:rFonts w:hint="eastAsia"/>
          <w:color w:val="000000" w:themeColor="text1"/>
          <w:lang w:val="en-US" w:eastAsia="zh-CN"/>
          <w14:textFill>
            <w14:solidFill>
              <w14:schemeClr w14:val="tx1"/>
            </w14:solidFill>
          </w14:textFill>
        </w:rPr>
        <w:t>提出，应在法律层面保障用户在面临自动决策影响时，有权要求平台给出合理解释。同时，应在算法中嵌入“社会保障因子”，通过集体谈判将劳动者的生理与心理承受力纳入调度模型。</w:t>
      </w:r>
    </w:p>
    <w:p w14:paraId="16F418DA">
      <w:pPr>
        <w:pStyle w:val="3"/>
        <w:bidi w:val="0"/>
        <w:rPr>
          <w:rFonts w:hint="eastAsia"/>
          <w:sz w:val="28"/>
          <w:szCs w:val="28"/>
          <w:lang w:val="en-US" w:eastAsia="zh-CN"/>
        </w:rPr>
      </w:pPr>
      <w:r>
        <w:rPr>
          <w:rFonts w:hint="eastAsia"/>
          <w:sz w:val="28"/>
          <w:szCs w:val="28"/>
          <w:lang w:val="en-US" w:eastAsia="zh-CN"/>
        </w:rPr>
        <w:t>结论：算法作为一种社会契约的回归</w:t>
      </w:r>
    </w:p>
    <w:p w14:paraId="5F228872">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通过对算法黑箱、权力异化及其社会负效应的系统解构，本文认为，治理失范的终极逻辑并不在于技术上的简单修复，而在于推动算法从“技术垄断工具”向“数字社会契约”的本质回归。</w:t>
      </w:r>
    </w:p>
    <w:p w14:paraId="19D20552">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1.权力制衡：从“数字利维坦”到“算法民主”</w:t>
      </w:r>
    </w:p>
    <w:p w14:paraId="3620FD2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在数字化生存的今天，算法已成为卢梭笔下“公意”的一种数据化表达，但这种表达目前被平台企业的工具理性所整理，形成了某种类似于的“数字利维坦”。</w:t>
      </w:r>
    </w:p>
    <w:p w14:paraId="56DA47A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契约契约的基石：算法不应是单向的强制指令，而应是开发者、使用者与监管者之间达成的共识。这种契约的合法性及其透明性与可波动性。正如马长山（2020）[1]所强调的，必须通过“以权利剥夺权力”的逻辑，保证权力算法的不需要始终在法律与伦理的闭环之内。</w:t>
      </w:r>
    </w:p>
    <w:p w14:paraId="36987F89">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回归主体地位：社会正义的核心是人的主体性。算法作为契约，必须保证个体不再是社会数据流中的客体，而是拥有“被解释权”和“拒绝自动化决策权”的主体。这就要求我们在算法设计之初，就将“人的权利”作为不可剥夺的硬约束。</w:t>
      </w:r>
    </w:p>
    <w:p w14:paraId="3D5729D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2.价值嵌入：从“效用最大化”到“公共利益最大化”</w:t>
      </w:r>
    </w:p>
    <w:p w14:paraId="6C462CC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算法治理的核心矛盾在于，以效率为导向的数学逻辑与以公平为导向的社会逻辑之间的错位。</w:t>
      </w:r>
    </w:p>
    <w:p w14:paraId="7BD24CF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调整优化函数：前面提到的算法优化公式中，伦理约束系数不应是由企业自行决定的变量，而应是由社会共识确定的。这意味着社会正义不再是算法运行后的“失败措施”，而是内化为算法底层的“伦理内核”。</w:t>
      </w:r>
    </w:p>
    <w:p w14:paraId="57481658">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算法正义的多维构建：真正的算法善治应实现从分配正义（结果公平）向程序正义（过程透明）和承认正义（尊重边缘群体）的覆盖。算法应具备识别和纠正历史偏见的能力，而不是自动地、规模化地复制歧视。</w:t>
      </w:r>
    </w:p>
    <w:p w14:paraId="4E34823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 和谐治理：构建动态平衡的数字秩序</w:t>
      </w:r>
    </w:p>
    <w:p w14:paraId="4754CD53">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“算法善治”不是一种静态的监管结果，而是一个多方博弈的动态过程。</w:t>
      </w:r>
    </w:p>
    <w:p w14:paraId="66561C7C">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敏捷治理与科技伦理：面对算法技术的瞬息万变，传统的滞后监管转向必须“敏捷治理”。这就要求企业在追求经济红利的同时，落实算法影响评估制度，并在高风险领域引入“人类在回路”（Human-in-the-loop）的终极监管机制。</w:t>
      </w:r>
    </w:p>
    <w:p w14:paraId="426BE119">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迈向“数字共产”：治理的最终目标是实现技术进步与社会幸福的和谐共生。当回归其社会契约的本位时，将不再是禁锢骑手的“电子皮鞭”或剥削消费者的“陷阱”，而是成为提升社会运行效率、促进资源公平分配的公共基础设施。</w:t>
      </w:r>
    </w:p>
    <w:p w14:paraId="6ED8506C">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综合来看，工程伦理的归宿在于：当技术效率与人类底层发生冲突时，技术必须为正义让步。只有通过制度的栅栏将算法困在工具理性的范围内，并注入价值理性的灵魂，我们才能在数字文明的浪潮中，守护住社会正义的底线，最终实现以人为本的“算法文明”。</w:t>
      </w:r>
    </w:p>
    <w:p w14:paraId="6A06747F">
      <w:pPr>
        <w:keepNext w:val="0"/>
        <w:keepLines w:val="0"/>
        <w:widowControl/>
        <w:suppressLineNumbers w:val="0"/>
        <w:jc w:val="left"/>
        <w:rPr>
          <w:rFonts w:hint="eastAsia"/>
          <w:color w:val="000000" w:themeColor="text1"/>
          <w:lang w:val="en-US" w:eastAsia="zh-CN"/>
          <w14:textFill>
            <w14:solidFill>
              <w14:schemeClr w14:val="tx1"/>
            </w14:solidFill>
          </w14:textFill>
        </w:rPr>
      </w:pPr>
    </w:p>
    <w:p w14:paraId="7213A99B">
      <w:pPr>
        <w:pStyle w:val="3"/>
        <w:bidi w:val="0"/>
        <w:rPr>
          <w:rFonts w:hint="default"/>
          <w:sz w:val="28"/>
          <w:szCs w:val="28"/>
          <w:lang w:val="en-US" w:eastAsia="zh-CN"/>
        </w:rPr>
      </w:pPr>
      <w:r>
        <w:rPr>
          <w:rFonts w:hint="eastAsia"/>
          <w:sz w:val="28"/>
          <w:szCs w:val="28"/>
          <w:lang w:val="en-US" w:eastAsia="zh-CN"/>
        </w:rPr>
        <w:t>参考文献</w:t>
      </w:r>
    </w:p>
    <w:p w14:paraId="798A59E3">
      <w:pPr>
        <w:keepNext w:val="0"/>
        <w:keepLines w:val="0"/>
        <w:widowControl/>
        <w:suppressLineNumbers w:val="0"/>
        <w:jc w:val="left"/>
      </w:pPr>
      <w:r>
        <w:rPr>
          <w:rFonts w:hint="default" w:ascii="宋体" w:hAnsi="宋体" w:eastAsia="宋体" w:cs="宋体"/>
          <w:b/>
          <w:bCs/>
          <w:kern w:val="0"/>
          <w:sz w:val="24"/>
          <w:szCs w:val="24"/>
          <w:lang w:val="en-US" w:eastAsia="zh-CN" w:bidi="ar"/>
        </w:rPr>
        <w:t xml:space="preserve">[1] </w:t>
      </w:r>
      <w:r>
        <w:rPr>
          <w:rFonts w:ascii="宋体" w:hAnsi="宋体" w:eastAsia="宋体" w:cs="宋体"/>
          <w:b/>
          <w:bCs/>
          <w:kern w:val="0"/>
          <w:sz w:val="24"/>
          <w:szCs w:val="24"/>
          <w:lang w:val="en-US" w:eastAsia="zh-CN" w:bidi="ar"/>
        </w:rPr>
        <w:t>马长山.</w:t>
      </w:r>
      <w:r>
        <w:rPr>
          <w:rFonts w:ascii="宋体" w:hAnsi="宋体" w:eastAsia="宋体" w:cs="宋体"/>
          <w:kern w:val="0"/>
          <w:sz w:val="24"/>
          <w:szCs w:val="24"/>
          <w:lang w:val="en-US" w:eastAsia="zh-CN" w:bidi="ar"/>
        </w:rPr>
        <w:t>数字基础体系的构建[J]. 中国社会科学，2020.</w:t>
      </w:r>
    </w:p>
    <w:p w14:paraId="17030541">
      <w:pPr>
        <w:keepNext w:val="0"/>
        <w:keepLines w:val="0"/>
        <w:widowControl/>
        <w:suppressLineNumbers w:val="0"/>
        <w:jc w:val="left"/>
      </w:pPr>
      <w:r>
        <w:rPr>
          <w:rFonts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xml:space="preserve">] </w:t>
      </w:r>
      <w:r>
        <w:rPr>
          <w:rFonts w:ascii="宋体" w:hAnsi="宋体" w:eastAsia="宋体" w:cs="宋体"/>
          <w:b/>
          <w:bCs/>
          <w:kern w:val="0"/>
          <w:sz w:val="24"/>
          <w:szCs w:val="24"/>
          <w:lang w:val="en-US" w:eastAsia="zh-CN" w:bidi="ar"/>
        </w:rPr>
        <w:t>张凌寒.</w:t>
      </w:r>
      <w:r>
        <w:rPr>
          <w:rFonts w:ascii="宋体" w:hAnsi="宋体" w:eastAsia="宋体" w:cs="宋体"/>
          <w:kern w:val="0"/>
          <w:sz w:val="24"/>
          <w:szCs w:val="24"/>
          <w:lang w:val="en-US" w:eastAsia="zh-CN" w:bidi="ar"/>
        </w:rPr>
        <w:t xml:space="preserve"> 算法权力的法律规制[J]. 法学研究, 2018, 40(04): 103-122.</w:t>
      </w:r>
    </w:p>
    <w:p w14:paraId="79C5CA55">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Burrell, J. (2016). How the machine 'thinks': Understanding opacity in machine learning algorithms. Big Data &amp; Society, 3(1).</w:t>
      </w:r>
    </w:p>
    <w:p w14:paraId="216A5B76">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 xml:space="preserve">Pasquale, F. </w:t>
      </w:r>
      <w:r>
        <w:rPr>
          <w:rFonts w:ascii="宋体" w:hAnsi="宋体" w:eastAsia="宋体" w:cs="宋体"/>
          <w:i/>
          <w:iCs/>
          <w:kern w:val="0"/>
          <w:sz w:val="24"/>
          <w:szCs w:val="24"/>
          <w:lang w:val="en-US" w:eastAsia="zh-CN" w:bidi="ar"/>
        </w:rPr>
        <w:t>The Black Box Society: The Secret Algorithms That Control Money and Information</w:t>
      </w:r>
      <w:r>
        <w:rPr>
          <w:rFonts w:ascii="宋体" w:hAnsi="宋体" w:eastAsia="宋体" w:cs="宋体"/>
          <w:kern w:val="0"/>
          <w:sz w:val="24"/>
          <w:szCs w:val="24"/>
          <w:lang w:val="en-US" w:eastAsia="zh-CN" w:bidi="ar"/>
        </w:rPr>
        <w:t xml:space="preserve"> [M].</w:t>
      </w:r>
    </w:p>
    <w:p w14:paraId="50F49AD2">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 xml:space="preserve">O'Neil, C. (2016). Weapons of Math Destruction: How Big Data Increases Inequality and Threatens Democracy. Crown. </w:t>
      </w:r>
    </w:p>
    <w:p w14:paraId="5CF07839">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[6]</w:t>
      </w:r>
      <w:r>
        <w:rPr>
          <w:rFonts w:hint="eastAsia" w:ascii="宋体" w:hAnsi="宋体" w:eastAsia="宋体" w:cs="宋体"/>
          <w:kern w:val="0"/>
          <w:sz w:val="24"/>
          <w:szCs w:val="24"/>
          <w:lang w:val="en-US" w:eastAsia="zh-CN" w:bidi="ar"/>
        </w:rPr>
        <w:t>Safiya Noble (2018)</w:t>
      </w:r>
      <w:r>
        <w:rPr>
          <w:rFonts w:hint="default" w:ascii="宋体" w:hAnsi="宋体" w:eastAsia="宋体" w:cs="宋体"/>
          <w:kern w:val="0"/>
          <w:sz w:val="24"/>
          <w:szCs w:val="24"/>
          <w:lang w:val="en-US" w:eastAsia="zh-CN" w:bidi="ar"/>
        </w:rPr>
        <w:t>. Algorithms of Oppression: How Search Engines Reinforce Racism</w:t>
      </w:r>
    </w:p>
    <w:p w14:paraId="5CCAF488">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[7]</w:t>
      </w:r>
      <w:r>
        <w:rPr>
          <w:rFonts w:ascii="宋体" w:hAnsi="宋体" w:eastAsia="宋体" w:cs="宋体"/>
          <w:b/>
          <w:bCs/>
          <w:kern w:val="0"/>
          <w:sz w:val="24"/>
          <w:szCs w:val="24"/>
          <w:lang w:val="en-US" w:eastAsia="zh-CN" w:bidi="ar"/>
        </w:rPr>
        <w:t>孙萍.</w:t>
      </w:r>
      <w:r>
        <w:rPr>
          <w:rFonts w:ascii="宋体" w:hAnsi="宋体" w:eastAsia="宋体" w:cs="宋体"/>
          <w:kern w:val="0"/>
          <w:sz w:val="24"/>
          <w:szCs w:val="24"/>
          <w:lang w:val="en-US" w:eastAsia="zh-CN" w:bidi="ar"/>
        </w:rPr>
        <w:t xml:space="preserve"> “算法”的劳动：外卖骑手的劳动、时间与技术[J]. 思想战线, 2019, 45(06): 130-139.</w:t>
      </w:r>
    </w:p>
    <w:p w14:paraId="73C54EEC">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[8]</w:t>
      </w:r>
      <w:r>
        <w:rPr>
          <w:rFonts w:ascii="宋体" w:hAnsi="宋体" w:eastAsia="宋体" w:cs="宋体"/>
          <w:b/>
          <w:bCs/>
          <w:kern w:val="0"/>
          <w:sz w:val="24"/>
          <w:szCs w:val="24"/>
          <w:lang w:val="en-US" w:eastAsia="zh-CN" w:bidi="ar"/>
        </w:rPr>
        <w:t>Kroll, J. A., et al. (2017).</w:t>
      </w:r>
      <w:r>
        <w:rPr>
          <w:rFonts w:ascii="宋体" w:hAnsi="宋体" w:eastAsia="宋体" w:cs="宋体"/>
          <w:kern w:val="0"/>
          <w:sz w:val="24"/>
          <w:szCs w:val="24"/>
          <w:lang w:val="en-US" w:eastAsia="zh-CN" w:bidi="ar"/>
        </w:rPr>
        <w:t xml:space="preserve"> Accountable algorithms. </w:t>
      </w:r>
      <w:r>
        <w:rPr>
          <w:rFonts w:ascii="宋体" w:hAnsi="宋体" w:eastAsia="宋体" w:cs="宋体"/>
          <w:i/>
          <w:iCs/>
          <w:kern w:val="0"/>
          <w:sz w:val="24"/>
          <w:szCs w:val="24"/>
          <w:lang w:val="en-US" w:eastAsia="zh-CN" w:bidi="ar"/>
        </w:rPr>
        <w:t>University of Pennsylvania Law Review</w:t>
      </w:r>
      <w:r>
        <w:rPr>
          <w:rFonts w:ascii="宋体" w:hAnsi="宋体" w:eastAsia="宋体" w:cs="宋体"/>
          <w:kern w:val="0"/>
          <w:sz w:val="24"/>
          <w:szCs w:val="24"/>
          <w:lang w:val="en-US" w:eastAsia="zh-CN" w:bidi="ar"/>
        </w:rPr>
        <w:t>, 165(3), 633-706.</w:t>
      </w:r>
    </w:p>
    <w:p w14:paraId="5240BC6F">
      <w:pPr>
        <w:keepNext w:val="0"/>
        <w:keepLines w:val="0"/>
        <w:widowControl/>
        <w:suppressLineNumbers w:val="0"/>
        <w:jc w:val="left"/>
      </w:pPr>
      <w:r>
        <w:rPr>
          <w:rFonts w:hint="default" w:ascii="宋体" w:hAnsi="宋体" w:eastAsia="宋体" w:cs="宋体"/>
          <w:b/>
          <w:bCs/>
          <w:kern w:val="0"/>
          <w:sz w:val="24"/>
          <w:szCs w:val="24"/>
          <w:lang w:val="en-US" w:eastAsia="zh-CN" w:bidi="ar"/>
        </w:rPr>
        <w:t>[9]</w:t>
      </w:r>
      <w:r>
        <w:rPr>
          <w:rFonts w:ascii="宋体" w:hAnsi="宋体" w:eastAsia="宋体" w:cs="宋体"/>
          <w:b/>
          <w:bCs/>
          <w:kern w:val="0"/>
          <w:sz w:val="24"/>
          <w:szCs w:val="24"/>
          <w:lang w:val="en-US" w:eastAsia="zh-CN" w:bidi="ar"/>
        </w:rPr>
        <w:t>丁晓东.</w:t>
      </w:r>
      <w:r>
        <w:rPr>
          <w:rFonts w:ascii="宋体" w:hAnsi="宋体" w:eastAsia="宋体" w:cs="宋体"/>
          <w:kern w:val="0"/>
          <w:sz w:val="24"/>
          <w:szCs w:val="24"/>
          <w:lang w:val="en-US" w:eastAsia="zh-CN" w:bidi="ar"/>
        </w:rPr>
        <w:t xml:space="preserve"> 什么是算法正义？——算法治理的原则、特征与制度路径[J]. 法制与社会发展, 2021.</w:t>
      </w:r>
    </w:p>
    <w:p w14:paraId="3AB9612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10</w:t>
      </w:r>
      <w:r>
        <w:rPr>
          <w:rFonts w:ascii="宋体" w:hAnsi="宋体" w:eastAsia="宋体" w:cs="宋体"/>
          <w:kern w:val="0"/>
          <w:sz w:val="24"/>
          <w:szCs w:val="24"/>
          <w:lang w:val="en-US" w:eastAsia="zh-CN" w:bidi="ar"/>
        </w:rPr>
        <w:t xml:space="preserve">] </w:t>
      </w:r>
      <w:r>
        <w:rPr>
          <w:rFonts w:ascii="宋体" w:hAnsi="宋体" w:eastAsia="宋体" w:cs="宋体"/>
          <w:b/>
          <w:bCs/>
          <w:kern w:val="0"/>
          <w:sz w:val="24"/>
          <w:szCs w:val="24"/>
          <w:lang w:val="en-US" w:eastAsia="zh-CN" w:bidi="ar"/>
        </w:rPr>
        <w:t>陈龙.</w:t>
      </w:r>
      <w:r>
        <w:rPr>
          <w:rFonts w:ascii="宋体" w:hAnsi="宋体" w:eastAsia="宋体" w:cs="宋体"/>
          <w:kern w:val="0"/>
          <w:sz w:val="24"/>
          <w:szCs w:val="24"/>
          <w:lang w:val="en-US" w:eastAsia="zh-CN" w:bidi="ar"/>
        </w:rPr>
        <w:t xml:space="preserve"> “数字控制”下的劳动过程——以外卖骑手的劳动过程为例[J]. 社会学研究, 2020, 35(06): 124-151+244.</w:t>
      </w:r>
    </w:p>
    <w:p w14:paraId="7628347D">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[11]</w:t>
      </w:r>
      <w:r>
        <w:rPr>
          <w:rFonts w:ascii="宋体" w:hAnsi="宋体" w:eastAsia="宋体" w:cs="宋体"/>
          <w:b/>
          <w:bCs/>
          <w:kern w:val="0"/>
          <w:sz w:val="24"/>
          <w:szCs w:val="24"/>
          <w:lang w:val="en-US" w:eastAsia="zh-CN" w:bidi="ar"/>
        </w:rPr>
        <w:t>郭春镇.</w:t>
      </w:r>
      <w:r>
        <w:rPr>
          <w:rFonts w:ascii="宋体" w:hAnsi="宋体" w:eastAsia="宋体" w:cs="宋体"/>
          <w:kern w:val="0"/>
          <w:sz w:val="24"/>
          <w:szCs w:val="24"/>
          <w:lang w:val="en-US" w:eastAsia="zh-CN" w:bidi="ar"/>
        </w:rPr>
        <w:t xml:space="preserve"> 数字人权时代的人脸识别：风险规制与价值实现[J]. 现代法学, 2020.</w:t>
      </w:r>
    </w:p>
    <w:p w14:paraId="7A1F449B">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[12]</w:t>
      </w:r>
      <w:r>
        <w:rPr>
          <w:rFonts w:ascii="宋体" w:hAnsi="宋体" w:eastAsia="宋体" w:cs="宋体"/>
          <w:b/>
          <w:bCs/>
          <w:kern w:val="0"/>
          <w:sz w:val="24"/>
          <w:szCs w:val="24"/>
          <w:lang w:val="en-US" w:eastAsia="zh-CN" w:bidi="ar"/>
        </w:rPr>
        <w:t>赵鹏.</w:t>
      </w:r>
      <w:r>
        <w:rPr>
          <w:rFonts w:ascii="宋体" w:hAnsi="宋体" w:eastAsia="宋体" w:cs="宋体"/>
          <w:kern w:val="0"/>
          <w:sz w:val="24"/>
          <w:szCs w:val="24"/>
          <w:lang w:val="en-US" w:eastAsia="zh-CN" w:bidi="ar"/>
        </w:rPr>
        <w:t xml:space="preserve"> 自动决策的法律控制：正当程序的视角[J]. 中外法学, 2022(01).</w:t>
      </w:r>
    </w:p>
    <w:p w14:paraId="3C7C6358">
      <w:pPr>
        <w:keepNext w:val="0"/>
        <w:keepLines w:val="0"/>
        <w:widowControl/>
        <w:suppressLineNumbers w:val="0"/>
        <w:jc w:val="left"/>
      </w:pPr>
      <w:r>
        <w:rPr>
          <w:rFonts w:hint="default" w:ascii="宋体" w:hAnsi="宋体" w:eastAsia="宋体" w:cs="宋体"/>
          <w:b/>
          <w:bCs/>
          <w:kern w:val="0"/>
          <w:sz w:val="24"/>
          <w:szCs w:val="24"/>
          <w:lang w:val="en-US" w:eastAsia="zh-CN" w:bidi="ar"/>
        </w:rPr>
        <w:t>[13]</w:t>
      </w:r>
      <w:r>
        <w:rPr>
          <w:rFonts w:ascii="宋体" w:hAnsi="宋体" w:eastAsia="宋体" w:cs="宋体"/>
          <w:b/>
          <w:bCs/>
          <w:kern w:val="0"/>
          <w:sz w:val="24"/>
          <w:szCs w:val="24"/>
          <w:lang w:val="en-US" w:eastAsia="zh-CN" w:bidi="ar"/>
        </w:rPr>
        <w:t>张欣.</w:t>
      </w:r>
      <w:r>
        <w:rPr>
          <w:rFonts w:ascii="宋体" w:hAnsi="宋体" w:eastAsia="宋体" w:cs="宋体"/>
          <w:kern w:val="0"/>
          <w:sz w:val="24"/>
          <w:szCs w:val="24"/>
          <w:lang w:val="en-US" w:eastAsia="zh-CN" w:bidi="ar"/>
        </w:rPr>
        <w:t xml:space="preserve"> 算法解释权的权利内涵与制度实现路径[J]. 浙江学刊, 2022.</w:t>
      </w:r>
    </w:p>
    <w:p w14:paraId="777B49F8">
      <w:pPr>
        <w:keepNext w:val="0"/>
        <w:keepLines w:val="0"/>
        <w:widowControl/>
        <w:suppressLineNumbers w:val="0"/>
        <w:jc w:val="left"/>
        <w:rPr>
          <w:rFonts w:hint="default" w:ascii="宋体" w:hAnsi="宋体" w:eastAsia="宋体" w:cs="宋体"/>
          <w:kern w:val="0"/>
          <w:sz w:val="24"/>
          <w:szCs w:val="24"/>
          <w:lang w:val="en-US" w:eastAsia="zh-CN" w:bidi="ar"/>
        </w:rPr>
      </w:pPr>
      <w:r>
        <w:drawing>
          <wp:inline distT="0" distB="0" distL="114300" distR="114300">
            <wp:extent cx="5269230" cy="5417185"/>
            <wp:effectExtent l="0" t="0" r="13970" b="184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9230" cy="541718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1DE893"/>
    <w:multiLevelType w:val="singleLevel"/>
    <w:tmpl w:val="FC1DE89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5F59E3"/>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BD9B2A5"/>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 w:val="F67EA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4"/>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spacing w:before="180" w:after="180"/>
      <w:jc w:val="left"/>
    </w:pPr>
    <w:rPr>
      <w:kern w:val="0"/>
      <w:sz w:val="24"/>
      <w:szCs w:val="24"/>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56</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2025-06-05T14:08:00Z</dcterms:created>
  <dc:creator>陈灿君</dc:creator>
  <cp:lastModifiedBy>熠耀</cp:lastModifiedBy>
  <dcterms:modified xsi:type="dcterms:W3CDTF">2025-12-28T20:34:57Z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