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정수기 구독 계정 ML 분석모델</w:t>
      </w:r>
    </w:p>
    <w:p>
      <w:pPr>
        <w:spacing w:after="40"/>
        <w:jc w:val="center"/>
      </w:pPr>
      <w:r>
        <w:rPr>
          <w:b/>
          <w:bCs/>
          <w:color w:val="2E5C8A"/>
          <w:sz w:val="28"/>
          <w:szCs w:val="28"/>
        </w:rPr>
        <w:t xml:space="preserve">SHAP 4모델 비교실험 + STL 계절분해 결과 보고서</w:t>
      </w:r>
    </w:p>
    <w:p>
      <w:pPr>
        <w:spacing w:after="400"/>
        <w:jc w:val="center"/>
      </w:pPr>
      <w:r>
        <w:rPr>
          <w:color w:val="666666"/>
          <w:sz w:val="19"/>
          <w:szCs w:val="19"/>
        </w:rPr>
        <w:t xml:space="preserve">작성: 민재  |  대상 저장소: B23en/water-purifier-subscription-management-system  |  models/segment_shap</w:t>
      </w:r>
    </w:p>
    <w:p>
      <w:pPr>
        <w:pStyle w:val="Heading1"/>
      </w:pPr>
      <w:r>
        <w:t xml:space="preserve">1. 배경 및 목적</w:t>
      </w:r>
    </w:p>
    <w:p>
      <w:pPr>
        <w:spacing w:after="120"/>
      </w:pPr>
      <w:r>
        <w:t xml:space="preserve">기존 설계문서(ML_분석모델_설계문서.docx, 정수기_구독_ML분석모델_구상안.docx)는 “어떤 세그먼트(채널분류, 기능, 계약유형 등)가 이번 달 계정수 증감을 주도했는가”를 XGBoost Feature Importance + SHAP으로 정량화하는 것을 목표로 제시했다. 본 보고서는 이 가설을 검증하기 위해 XGBoost·LightGBM·Random Forest·CatBoost 4개 모델을 동일 조건에서 비교하고, 이와 별도로 STL을 이용한 전체 합계 시계열의 계절분해를 수행한 결과를 정리한다.</w:t>
      </w:r>
    </w:p>
    <w:p>
      <w:pPr>
        <w:spacing w:after="120"/>
      </w:pPr>
      <w:r>
        <w:t xml:space="preserve">본 작업은 models/ 폴더(독립 모듈) 안에서 진행했으며, 전체 Streamlit 앱(PythonCode/app.py)이나 팀원이 별도로 개발한 시계열 예측 모듈(models/forecast/, 신규·해지·재구독률의 다음달 값을 ARIMA/ETS 등으로 예측)과는 무관한 별개 작업이다.</w:t>
      </w:r>
    </w:p>
    <w:p>
      <w:pPr>
        <w:pStyle w:val="Heading1"/>
      </w:pPr>
      <w:r>
        <w:t xml:space="preserve">2. 데이터 및 분석 방법</w:t>
      </w:r>
    </w:p>
    <w:p>
      <w:pPr>
        <w:spacing w:after="120"/>
      </w:pPr>
      <w:r>
        <w:t xml:space="preserve">데이터: SummaryDB의 신규_년월.parquet / 해지_년월.parquet / 만기_년월.parquet (월×세그먼트조합 집계, 2019.10~2026.07, 약 77~81개월).</w:t>
      </w:r>
    </w:p>
    <w:p>
      <w:pPr>
        <w:spacing w:after="120"/>
      </w:pPr>
      <w:r>
        <w:t xml:space="preserve">Δ계정수 정의: 세그먼트 조합 대부분이 81개월 중 1~2개월에만 등장하는 희소 데이터이므로, 조합별 시계열을 이어 diff하는 방식이 아니라 “기준월 vs 비교월(전월=MoM, 전년동월=YoY)” 두 시점의 스냅샷을 맞대어 Δ계정수 = 계정수(기준월) - 계정수(비교월)로 계산했다. 한쪽에만 존재하는 조합은 0으로 채운다(구상안 문서의 “결측 세그먼트 0 처리” 원칙과 동일). 이 비교를 가능한 모든 기준월에 대해 반복해 쌓아 학습 데이터셋을 구성했다(신규 MoM 기준 약 45,600행).</w:t>
      </w:r>
    </w:p>
    <w:p>
      <w:pPr>
        <w:spacing w:after="120"/>
      </w:pPr>
      <w:r>
        <w:t xml:space="preserve">평가 방법: 시계열 기준으로 최근 6개월을 테스트, 그 이전 데이터 중 최근 6개월을 조기종료용 검증셋으로 분리했다(계획문서 권장값). 지표는 RMSE/MAE/R².</w:t>
      </w:r>
    </w:p>
    <w:p>
      <w:pPr>
        <w:pStyle w:val="Heading1"/>
      </w:pPr>
      <w:r>
        <w:t xml:space="preserve">3. Phase 2 — 4모델 비교실험</w:t>
      </w:r>
    </w:p>
    <w:p>
      <w:pPr>
        <w:spacing w:after="120"/>
      </w:pPr>
      <w:r>
        <w:t xml:space="preserve">최초 비교(기본 하이퍼파라미터)에서는 CatBoost가 모든 케이스에서 1위였으나(예: 해지/YoY R²=0.26), 원인을 분석한 결과 CatBoost가 구조적으로 우월한 것이 아니라 기본값 자체에 내장된 규제(ordered boosting)로 덜 과적합되었을 뿐이었다. 4모델에 동일한 규제(조기종료 + 서브샘플링 + 최소 잎 표본수)를 적용해 재실험한 최종 결과는 다음과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400"/>
        <w:gridCol w:w="1300"/>
        <w:gridCol w:w="1300"/>
        <w:gridCol w:w="22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타깃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비교방식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RMSE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8.99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3.17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LightGBM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8.99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3.17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CatBoost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8.99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3.16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RandomForest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3.19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CatBoost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6.44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2.61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+0.004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6.44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2.55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+0.002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RandomForest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6.45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2.58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LightGBM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6.46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2.58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해지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LightGBM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해지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-0.0002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해지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RandomForest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해지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CatBoost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해지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LightGBM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1.86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해지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1.87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-0.014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해지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CatBoost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1.87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1.37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-0.019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해지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RandomForest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1.87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-0.019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만기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LightGBM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2.15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만기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CatBoost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2.16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만기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2.15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-0.007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만기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RandomForest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2.16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-0.011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만기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RandomForest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2.22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-0.060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만기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LightGBM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3.51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2.39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-0.199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만기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2.44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-0.281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만기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CatBoost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2.53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-0.414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R²가 거의 0(때로는 음수)이라는 것은 “이 모델이 실패했다”는 뜻이 아니라, 동일 조건에서 4개 모델이 거의 구분되지 않을 만큼 비슷하다는 뜻이다. 즉 모델 선택보다 “세그먼트 정보 자체의 설명력”이 더 근본적인 제약이라는 것이 이 실험의 핵심 발견이다.</w:t>
      </w:r>
    </w:p>
    <w:p>
      <w:pPr>
        <w:spacing w:after="120"/>
      </w:pPr>
      <w:r>
        <w:t xml:space="preserve">해지/YoY가 6개 조합 중 그나마 가장 신호가 있었고(R² 최대 -0.004 수준), 만기/YoY는 모든 모델이 가장 큰 음수 R²를 보여 가장 설명하기 어려운 케이스였다.</w:t>
      </w:r>
    </w:p>
    <w:p>
      <w:pPr>
        <w:pStyle w:val="Heading1"/>
      </w:pPr>
      <w:r>
        <w:t xml:space="preserve">4. Phase 3 — SHAP 분석</w:t>
      </w:r>
    </w:p>
    <w:p>
      <w:pPr>
        <w:spacing w:after="120"/>
      </w:pPr>
      <w:r>
        <w:t xml:space="preserve">R²가 거의 0인 상태에서의 SHAP 해석은 “확정적 원인 규명”이 아니라 “모델이 그나마 의지하는 세그먼트가 무엇인가”를 보는 참고 자료로 다루어야 한다. 특히 SHAP 값의 절대 크기가 큰 케이스(만기/YoY)는 오히려 R²가 가장 나빴던 케이스와 일치했는데, 이는 모델이 특정 희귀 카테고리에 과도하게 의존해 “확신은 크지만 틀린” 예측을 하고 있다는 신호로, 해석 신뢰도가 낮음을 의미한다.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60985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그림 1. 신규/YoY SHAP 전역 중요도 — 6개 비교 조합 중 가장 신호가 뚜렷했던 케이스(R²=+0.004). 모델명 &gt; 계약유형분류 &gt; 서비스주기 순으로 영향력이 컸다.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60985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그림 2. 해지/MoM SHAP 전역 중요도 — 거의 모든 피처의 중요도가 0에 가까워, 모델이 의지할 세그먼트를 찾지 못한 케이스(R²≈-0.0002). 나머지 4개 조합의 차트는 models/segment_shap/shap_outputs/ 폴더에 저장돼 있다.</w:t>
      </w:r>
    </w:p>
    <w:p>
      <w:pPr>
        <w:spacing w:after="120"/>
      </w:pPr>
      <w:r>
        <w:t xml:space="preserve">공통적으로 반복되는 패턴은: 신호가 조금이라도 있을 때는 서비스사무소·모델명·Tool(제품계열) 쪽에 몰려 있었고, 채널분류·서비스관리유형·자재교환유형은 거의 항상 영향력이 낮았다.</w:t>
      </w:r>
    </w:p>
    <w:p>
      <w:pPr>
        <w:pStyle w:val="Heading1"/>
      </w:pPr>
      <w:r>
        <w:t xml:space="preserve">5. Phase 4 — STL 계절분해</w:t>
      </w:r>
    </w:p>
    <w:p>
      <w:pPr>
        <w:spacing w:after="120"/>
      </w:pPr>
      <w:r>
        <w:t xml:space="preserve">세그먼트 단위 분석과는 별개로, 신규/해지/만기 각각의 전체 합계 월별 시계열을 STL(period=12)로 분해했다. 세그먼트로 잘게 쪼갤 때는 거의 사라졌던 신호가, 전체로 합산하자 뚜렷한 계절 패턴으로 나타났다.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그림 3. 신규 STL 분해(81개월). 원본 / Trend / Seasonal / Residual 순. 잔차가 IQR 기준을 벗어난 달은 빨간 점으로 표시.</w:t>
      </w:r>
    </w:p>
    <w:p>
      <w:pPr>
        <w:spacing w:after="120"/>
      </w:pPr>
      <w:r>
        <w:t xml:space="preserve">신규 계절지수(평균): 3월 +191.5(이사철 성수기), 4월 +131.8 — 11월 -326.5, 12월 -263.1(연말 비수기)로 뚜렷한 연간 패턴을 보였다. 잔차 이상치는 2020.11~2021.01, 2021.07, 2021.11~12에 집중되어(코로나 시기 추정) 일반 계절성으로 설명되지 않는 급등이 있었음을 시사한다.</w:t>
      </w:r>
    </w:p>
    <w:p>
      <w:pPr>
        <w:spacing w:after="120"/>
      </w:pPr>
      <w:r>
        <w:t xml:space="preserve">해지·만기 역시 각각의 계절지수와 이상치 월이 식별되었으며(해지: 4월 +36.7로 가장 높음, 9~11월 낮음 / 만기: 1월 -170.1로 가장 낮음, 8월 +107.7로 가장 높음), 상세 차트는 models/segment_shap/stl_outputs/ 폴더에 저장돼 있다.</w:t>
      </w:r>
    </w:p>
    <w:p>
      <w:pPr>
        <w:pStyle w:val="Heading1"/>
      </w:pPr>
      <w:r>
        <w:t xml:space="preserve">6. 추가 구조 검증(Robustness Check)</w:t>
      </w:r>
    </w:p>
    <w:p>
      <w:pPr>
        <w:spacing w:after="120"/>
      </w:pPr>
      <w:r>
        <w:t xml:space="preserve">“세그먼트로는 설명이 안 된다”는 결론을 내리기 전, 구조를 바꾸면 효과적인 모듈이 될 수 있는지 7가지 변형을 추가로 검증했다. 모두 동일한 결론(세그먼트 자체의 설명력 부재)으로 수렴했다.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시도한 변경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미래 6개월 예측(원 검증법)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4모델 모두 R² ≈ 0 (표 1과 동일)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세그먼트만으론 미래 변화 예측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방향 분류(증가/감소)로 재구성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AUC 0.47~0.60 (0.5=무작위)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신규/YoY만 약한 신호, 나머지는 무작위 수준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더 거친 단위로 그룹핑(채널만/모델만)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R² 계속 음수(-0.02~-0.06)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조합을 단순화해도 개선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STL 계절지수를 피처로 추가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개선 없음(R² 거의 동일하거나 악화)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전체 계절성이 개별 조합 노이즈에 묻힘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절대 레벨(계정수) 예측으로 변경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R² ≈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Δ뿐 아니라 레벨 자체도 예측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상대 변화율(%)로 타깃 변경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R² ≈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스케일을 바꿔도 동일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단일 기준월 내 5-fold 교차검증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R² -0.06~-0.17 (5개월 모두 음수)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같은 달 안에서도 안정적 패턴 없음(이전 R²=0.15는 과적합)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전월 계정수(시작값)를 피처로 추가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R²=0.36, 그러나 세그먼트 없이도 R²=0.37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신호는 평균회귀(mean reversion) 현상이며 세그먼트 기여는 거의 0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마지막 항목(전월 계정수를 피처로 추가)이 가장 중요한 발견이다: R²가 0.36까지 뛰지만, 세그먼트 정보를 모두 제거하고 “전월 값” 하나만 넣어도 R²=0.37로 더 잘 맞는다. 즉 이 신호는 통계적 평균회귀(작았던 조합은 늘고, 컸던 조합은 줄어드는 현상) 때문이며, 어떤 채널·모델·계약유형인지와는 무관하다.</w:t>
      </w:r>
    </w:p>
    <w:p>
      <w:pPr>
        <w:pStyle w:val="Heading1"/>
      </w:pPr>
      <w:r>
        <w:t xml:space="preserve">7. 종합 결론 및 권고</w:t>
      </w:r>
    </w:p>
    <w:p>
      <w:pPr>
        <w:spacing w:after="120"/>
      </w:pPr>
      <w:r>
        <w:t xml:space="preserve">(1) 세그먼트(채널분류, 모델명, 계약유형 등 11개 컬럼) 정보만으로는 Δ계정수(MoM/YoY)를 설명하는 데 거의 도움이 되지 않는다. 이는 모델 선택의 문제가 아니라 — 4개 모델, 7가지 구조적 변형(분류 재구성, 그룹 단위 변경, 레벨/비율 타깃 변경, STL 피처 결합, 단일월 교차검증 등) 모두에서 일관되게 확인된 결과다.</w:t>
      </w:r>
    </w:p>
    <w:p>
      <w:pPr>
        <w:spacing w:after="120"/>
      </w:pPr>
      <w:r>
        <w:t xml:space="preserve">(2) 반면 전체 합계 시계열의 계절성(STL)은 뚜렷하고 해석 가능한 신호를 보였다. 신규·해지·만기 모두 연간 계절 패턴이 명확했고, 특정 이상치 월도 식별 가능했다.</w:t>
      </w:r>
    </w:p>
    <w:p>
      <w:pPr>
        <w:spacing w:after="120"/>
      </w:pPr>
      <w:r>
        <w:t xml:space="preserve">(3) Δ계정수와 가장 강하게 연관된 단일 변수는 세그먼트가 아니라 “그 조합의 전월 규모(전월 계정수)”였다(평균회귀). 이는 “어떤 세그먼트가 증감을 주도하는가”라는 원래 질문에 대한 답은 아니지만, “세그먼트 카테고리보다 조합의 절대 규모가 변화량에 더 큰 영향을 준다”는 점에서 참고할 만하다.</w:t>
      </w:r>
    </w:p>
    <w:p>
      <w:pPr>
        <w:spacing w:after="120"/>
      </w:pPr>
      <w:r>
        <w:t xml:space="preserve">권고: 향후 분석은 (a) 세그먼트별 원인 규명보다는 전체/주요 그룹 단위의 STL 추이·이상치 모니터링에 우선순위를 두고, (b) 세그먼트 단위 설명이 필요하다면 이 11개 컬럼 외의 외부 변수(마케팅 캠페인 시점, 영업 인력 변동, 경쟁사 동향 등)를 추가로 확보하는 것을 검토할 것을 제안한다.</w:t>
      </w:r>
    </w:p>
    <w:p>
      <w:pPr>
        <w:pStyle w:val="Heading1"/>
      </w:pPr>
      <w:r>
        <w:t xml:space="preserve">8. 코드 및 산출물 위치</w:t>
      </w:r>
    </w:p>
    <w:p>
      <w:pPr>
        <w:spacing w:after="120"/>
      </w:pPr>
      <w:r>
        <w:t xml:space="preserve">코드: water-purifier-subscription-management-system/models/segment_shap/ (config.py, data_loader.py, dataset.py, train_xgboost.py, train_lightgbm.py, train_randomforest.py, train_catboost.py, compare_models.py, shap_analysis.py, stl_analysis.py)</w:t>
      </w:r>
    </w:p>
    <w:p>
      <w:pPr>
        <w:spacing w:after="120"/>
      </w:pPr>
      <w:r>
        <w:t xml:space="preserve">결과 파일: models/segment_shap/model_comparison_result.csv(4모델 비교 전체 결과), models/segment_shap/shap_outputs/(SHAP 차트 6종), models/segment_shap/stl_outputs/(STL 차트 3종)</w:t>
      </w:r>
    </w:p>
    <w:p>
      <w:pPr>
        <w:spacing w:after="120"/>
      </w:pPr>
      <w:r>
        <w:t xml:space="preserve">환경설정: models/segment_shap/requirements.txt, 실행 전 .env에 WATER_BASE_DIR 설정 필요(README 참고).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08bb37ec6b17d862dee6980a94891d56972b11.png"/><Relationship Id="rId8" Type="http://schemas.openxmlformats.org/officeDocument/2006/relationships/image" Target="media/f395896203ea92c104d4f1157bbf6f3fd7255e1d.png"/><Relationship Id="rId9" Type="http://schemas.openxmlformats.org/officeDocument/2006/relationships/image" Target="media/bad39e8df2dcaac24a77b06ce7fac5d0c0bd845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2026-06-22T09:35:45.395Z</dcterms:created>
  <dcterms:modified xsi:type="dcterms:W3CDTF">2026-06-22T09:35:45.395Z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